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D163A7">
      <w:pPr>
        <w:spacing w:before="0" w:beforeLines="0" w:after="0" w:afterLines="0" w:line="240" w:lineRule="auto"/>
        <w:ind w:left="0" w:leftChars="0" w:right="0" w:rightChars="0" w:firstLine="0" w:firstLineChars="0"/>
        <w:jc w:val="center"/>
        <w:rPr>
          <w:rFonts w:hint="eastAsia"/>
          <w:b/>
          <w:bCs/>
          <w:sz w:val="40"/>
          <w:szCs w:val="48"/>
          <w:highlight w:val="none"/>
          <w:lang w:eastAsia="zh-CN"/>
        </w:rPr>
      </w:pPr>
    </w:p>
    <w:p w14:paraId="471B9FAC">
      <w:pPr>
        <w:spacing w:before="0" w:beforeLines="0" w:after="0" w:afterLines="0" w:line="240" w:lineRule="auto"/>
        <w:ind w:left="0" w:leftChars="0" w:right="0" w:rightChars="0" w:firstLine="0" w:firstLineChars="0"/>
        <w:jc w:val="center"/>
        <w:outlineLvl w:val="0"/>
        <w:rPr>
          <w:rFonts w:hint="default"/>
          <w:b/>
          <w:bCs/>
          <w:sz w:val="60"/>
          <w:szCs w:val="112"/>
          <w:highlight w:val="none"/>
          <w:lang w:val="en-US" w:eastAsia="zh-CN"/>
        </w:rPr>
      </w:pPr>
      <w:r>
        <w:rPr>
          <w:rFonts w:hint="eastAsia"/>
          <w:b/>
          <w:bCs/>
          <w:sz w:val="60"/>
          <w:szCs w:val="112"/>
          <w:highlight w:val="none"/>
          <w:lang w:eastAsia="zh-CN"/>
        </w:rPr>
        <w:t>菏泽市立医院IVF双人工作站项目</w:t>
      </w:r>
    </w:p>
    <w:p w14:paraId="61FE5807">
      <w:pPr>
        <w:spacing w:before="0" w:beforeLines="0" w:after="0" w:afterLines="0" w:line="240" w:lineRule="auto"/>
        <w:ind w:left="0" w:leftChars="0" w:right="0" w:rightChars="0" w:firstLine="0" w:firstLineChars="0"/>
        <w:jc w:val="center"/>
        <w:rPr>
          <w:rFonts w:hint="eastAsia"/>
          <w:b/>
          <w:bCs/>
          <w:sz w:val="96"/>
          <w:szCs w:val="160"/>
          <w:highlight w:val="none"/>
          <w:lang w:eastAsia="zh-CN"/>
        </w:rPr>
      </w:pPr>
    </w:p>
    <w:p w14:paraId="49856A7C">
      <w:pPr>
        <w:spacing w:before="0" w:beforeLines="0" w:after="0" w:afterLines="0" w:line="240" w:lineRule="auto"/>
        <w:ind w:left="0" w:leftChars="0" w:right="0" w:rightChars="0" w:firstLine="0" w:firstLineChars="0"/>
        <w:jc w:val="center"/>
        <w:outlineLvl w:val="0"/>
        <w:rPr>
          <w:rFonts w:hint="eastAsia"/>
          <w:b/>
          <w:bCs/>
          <w:sz w:val="96"/>
          <w:szCs w:val="160"/>
          <w:highlight w:val="none"/>
          <w:lang w:eastAsia="zh-CN"/>
        </w:rPr>
      </w:pPr>
      <w:r>
        <w:rPr>
          <w:rFonts w:hint="eastAsia"/>
          <w:b/>
          <w:bCs/>
          <w:sz w:val="96"/>
          <w:szCs w:val="160"/>
          <w:highlight w:val="none"/>
          <w:lang w:eastAsia="zh-CN"/>
        </w:rPr>
        <w:t>竞争性磋商文件</w:t>
      </w:r>
    </w:p>
    <w:p w14:paraId="6ACA716F">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left="0" w:leftChars="0" w:right="105" w:rightChars="50" w:firstLine="480" w:firstLineChars="200"/>
        <w:jc w:val="left"/>
        <w:textAlignment w:val="auto"/>
        <w:rPr>
          <w:rFonts w:hint="eastAsia" w:ascii="宋体" w:hAnsi="宋体" w:eastAsia="宋体" w:cs="宋体"/>
          <w:b w:val="0"/>
          <w:bCs w:val="0"/>
          <w:sz w:val="24"/>
          <w:szCs w:val="24"/>
          <w:highlight w:val="none"/>
        </w:rPr>
      </w:pPr>
    </w:p>
    <w:p w14:paraId="4CB0955F">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right="105" w:rightChars="50"/>
        <w:jc w:val="center"/>
        <w:textAlignment w:val="auto"/>
        <w:outlineLvl w:val="0"/>
        <w:rPr>
          <w:rFonts w:hint="eastAsia" w:ascii="宋体" w:hAnsi="宋体" w:eastAsia="宋体" w:cs="宋体"/>
          <w:b/>
          <w:bCs/>
          <w:sz w:val="32"/>
          <w:szCs w:val="32"/>
          <w:highlight w:val="none"/>
          <w:lang w:eastAsia="zh-CN"/>
        </w:rPr>
      </w:pPr>
      <w:bookmarkStart w:id="0" w:name="_Toc28354"/>
      <w:bookmarkStart w:id="1" w:name="_Toc1507"/>
      <w:bookmarkStart w:id="2" w:name="_Toc13438"/>
      <w:r>
        <w:rPr>
          <w:rFonts w:hint="eastAsia" w:ascii="宋体" w:hAnsi="宋体" w:eastAsia="宋体" w:cs="宋体"/>
          <w:b/>
          <w:bCs/>
          <w:sz w:val="32"/>
          <w:szCs w:val="32"/>
          <w:highlight w:val="none"/>
        </w:rPr>
        <w:t>项目编号：</w:t>
      </w:r>
      <w:bookmarkEnd w:id="0"/>
      <w:bookmarkEnd w:id="1"/>
      <w:bookmarkEnd w:id="2"/>
      <w:r>
        <w:rPr>
          <w:rFonts w:hint="eastAsia" w:ascii="宋体" w:hAnsi="宋体" w:cs="宋体"/>
          <w:b/>
          <w:bCs/>
          <w:sz w:val="32"/>
          <w:szCs w:val="32"/>
          <w:highlight w:val="none"/>
          <w:lang w:eastAsia="zh-CN"/>
        </w:rPr>
        <w:t>SDGP371700000202502000167</w:t>
      </w:r>
    </w:p>
    <w:p w14:paraId="7CDA7FE2">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left="0" w:leftChars="0" w:right="105" w:rightChars="50" w:firstLine="643" w:firstLineChars="200"/>
        <w:jc w:val="center"/>
        <w:textAlignment w:val="auto"/>
        <w:rPr>
          <w:rFonts w:hint="eastAsia" w:ascii="宋体" w:hAnsi="宋体" w:eastAsia="宋体" w:cs="宋体"/>
          <w:b/>
          <w:bCs/>
          <w:sz w:val="32"/>
          <w:szCs w:val="32"/>
          <w:highlight w:val="none"/>
          <w:lang w:eastAsia="zh-CN"/>
        </w:rPr>
      </w:pPr>
    </w:p>
    <w:p w14:paraId="673A31C2">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left="0" w:leftChars="0" w:right="105" w:rightChars="50" w:firstLine="643" w:firstLineChars="200"/>
        <w:jc w:val="center"/>
        <w:textAlignment w:val="auto"/>
        <w:rPr>
          <w:rFonts w:hint="eastAsia" w:ascii="宋体" w:hAnsi="宋体" w:eastAsia="宋体" w:cs="宋体"/>
          <w:b/>
          <w:bCs/>
          <w:sz w:val="32"/>
          <w:szCs w:val="32"/>
          <w:highlight w:val="none"/>
          <w:lang w:eastAsia="zh-CN"/>
        </w:rPr>
      </w:pPr>
    </w:p>
    <w:p w14:paraId="0539825D">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left="0" w:leftChars="0" w:right="105" w:rightChars="50" w:firstLine="643" w:firstLineChars="200"/>
        <w:jc w:val="center"/>
        <w:textAlignment w:val="auto"/>
        <w:rPr>
          <w:rFonts w:hint="eastAsia" w:ascii="宋体" w:hAnsi="宋体" w:eastAsia="宋体" w:cs="宋体"/>
          <w:b/>
          <w:bCs/>
          <w:sz w:val="32"/>
          <w:szCs w:val="32"/>
          <w:highlight w:val="none"/>
          <w:lang w:eastAsia="zh-CN"/>
        </w:rPr>
      </w:pPr>
    </w:p>
    <w:p w14:paraId="4DF243F2">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left="0" w:leftChars="0" w:right="105" w:rightChars="50" w:firstLine="643" w:firstLineChars="200"/>
        <w:jc w:val="center"/>
        <w:textAlignment w:val="auto"/>
        <w:rPr>
          <w:rFonts w:hint="eastAsia" w:ascii="宋体" w:hAnsi="宋体" w:eastAsia="宋体" w:cs="宋体"/>
          <w:b/>
          <w:bCs/>
          <w:sz w:val="32"/>
          <w:szCs w:val="32"/>
          <w:highlight w:val="none"/>
          <w:lang w:eastAsia="zh-CN"/>
        </w:rPr>
      </w:pPr>
    </w:p>
    <w:p w14:paraId="581BFA41">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left="0" w:leftChars="0" w:right="105" w:rightChars="50" w:firstLine="643" w:firstLineChars="200"/>
        <w:jc w:val="center"/>
        <w:textAlignment w:val="auto"/>
        <w:rPr>
          <w:rFonts w:hint="eastAsia" w:ascii="宋体" w:hAnsi="宋体" w:eastAsia="宋体" w:cs="宋体"/>
          <w:b/>
          <w:bCs/>
          <w:sz w:val="32"/>
          <w:szCs w:val="32"/>
          <w:highlight w:val="none"/>
          <w:lang w:eastAsia="zh-CN"/>
        </w:rPr>
      </w:pPr>
    </w:p>
    <w:p w14:paraId="0338F88D">
      <w:pPr>
        <w:pStyle w:val="30"/>
        <w:rPr>
          <w:rFonts w:hint="eastAsia"/>
          <w:lang w:eastAsia="zh-CN"/>
        </w:rPr>
      </w:pPr>
    </w:p>
    <w:p w14:paraId="45D53605">
      <w:pPr>
        <w:pStyle w:val="24"/>
        <w:rPr>
          <w:rFonts w:hint="eastAsia"/>
          <w:highlight w:val="none"/>
          <w:lang w:eastAsia="zh-CN"/>
        </w:rPr>
      </w:pPr>
    </w:p>
    <w:p w14:paraId="367C5816">
      <w:pPr>
        <w:rPr>
          <w:rFonts w:hint="eastAsia"/>
          <w:highlight w:val="none"/>
          <w:lang w:eastAsia="zh-CN"/>
        </w:rPr>
      </w:pPr>
    </w:p>
    <w:p w14:paraId="37C9867E">
      <w:pPr>
        <w:pStyle w:val="24"/>
        <w:rPr>
          <w:rFonts w:hint="eastAsia"/>
          <w:highlight w:val="none"/>
          <w:lang w:eastAsia="zh-CN"/>
        </w:rPr>
      </w:pPr>
    </w:p>
    <w:p w14:paraId="76797068">
      <w:pPr>
        <w:pStyle w:val="138"/>
        <w:rPr>
          <w:rFonts w:hint="eastAsia"/>
          <w:highlight w:val="none"/>
          <w:lang w:eastAsia="zh-CN"/>
        </w:rPr>
      </w:pPr>
    </w:p>
    <w:p w14:paraId="214E6272">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right="105" w:rightChars="50" w:firstLine="1606" w:firstLineChars="500"/>
        <w:jc w:val="both"/>
        <w:textAlignment w:val="auto"/>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val="en-US" w:eastAsia="zh-CN"/>
        </w:rPr>
        <w:t>采  购</w:t>
      </w:r>
      <w:r>
        <w:rPr>
          <w:rFonts w:hint="eastAsia" w:ascii="宋体" w:hAnsi="宋体" w:eastAsia="宋体" w:cs="宋体"/>
          <w:b/>
          <w:bCs/>
          <w:sz w:val="32"/>
          <w:szCs w:val="32"/>
          <w:highlight w:val="none"/>
          <w:lang w:val="en-US" w:eastAsia="zh-CN"/>
        </w:rPr>
        <w:t xml:space="preserve"> </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人：</w:t>
      </w:r>
      <w:r>
        <w:rPr>
          <w:rFonts w:hint="eastAsia" w:ascii="宋体" w:hAnsi="宋体" w:cs="宋体"/>
          <w:b/>
          <w:bCs/>
          <w:sz w:val="32"/>
          <w:szCs w:val="32"/>
          <w:highlight w:val="none"/>
          <w:lang w:eastAsia="zh-CN"/>
        </w:rPr>
        <w:t>菏泽市立医院</w:t>
      </w:r>
      <w:r>
        <w:rPr>
          <w:rFonts w:hint="eastAsia" w:ascii="宋体" w:hAnsi="宋体" w:eastAsia="宋体" w:cs="宋体"/>
          <w:b/>
          <w:bCs/>
          <w:sz w:val="32"/>
          <w:szCs w:val="32"/>
          <w:highlight w:val="none"/>
          <w:lang w:eastAsia="zh-CN"/>
        </w:rPr>
        <w:tab/>
      </w:r>
      <w:r>
        <w:rPr>
          <w:rFonts w:hint="eastAsia" w:ascii="宋体" w:hAnsi="宋体" w:eastAsia="宋体" w:cs="宋体"/>
          <w:b/>
          <w:bCs/>
          <w:sz w:val="32"/>
          <w:szCs w:val="32"/>
          <w:highlight w:val="none"/>
          <w:lang w:eastAsia="zh-CN"/>
        </w:rPr>
        <w:t xml:space="preserve">              </w:t>
      </w:r>
    </w:p>
    <w:p w14:paraId="0B64192A">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right="105" w:rightChars="50"/>
        <w:jc w:val="center"/>
        <w:textAlignment w:val="auto"/>
        <w:outlineLvl w:val="0"/>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val="en-US" w:eastAsia="zh-CN"/>
        </w:rPr>
        <w:t xml:space="preserve">  </w:t>
      </w:r>
      <w:bookmarkStart w:id="3" w:name="_Toc21241"/>
      <w:bookmarkStart w:id="4" w:name="_Toc24230"/>
      <w:bookmarkStart w:id="5" w:name="_Toc30"/>
      <w:r>
        <w:rPr>
          <w:rFonts w:hint="eastAsia" w:ascii="宋体" w:hAnsi="宋体" w:cs="宋体"/>
          <w:b/>
          <w:bCs/>
          <w:sz w:val="32"/>
          <w:szCs w:val="32"/>
          <w:highlight w:val="none"/>
          <w:lang w:eastAsia="zh-CN"/>
        </w:rPr>
        <w:t>采购代理机构</w:t>
      </w:r>
      <w:r>
        <w:rPr>
          <w:rFonts w:hint="eastAsia" w:ascii="宋体" w:hAnsi="宋体" w:eastAsia="宋体" w:cs="宋体"/>
          <w:b/>
          <w:bCs/>
          <w:sz w:val="32"/>
          <w:szCs w:val="32"/>
          <w:highlight w:val="none"/>
          <w:lang w:eastAsia="zh-CN"/>
        </w:rPr>
        <w:t>：山东华平项目管理有限公司</w:t>
      </w:r>
      <w:bookmarkEnd w:id="3"/>
      <w:bookmarkEnd w:id="4"/>
      <w:bookmarkEnd w:id="5"/>
    </w:p>
    <w:p w14:paraId="7676C14A">
      <w:pPr>
        <w:keepNext w:val="0"/>
        <w:keepLines w:val="0"/>
        <w:pageBreakBefore w:val="0"/>
        <w:widowControl w:val="0"/>
        <w:kinsoku/>
        <w:wordWrap/>
        <w:overflowPunct/>
        <w:topLinePunct w:val="0"/>
        <w:autoSpaceDE/>
        <w:autoSpaceDN/>
        <w:bidi w:val="0"/>
        <w:adjustRightInd/>
        <w:snapToGrid/>
        <w:spacing w:before="0" w:beforeLines="50" w:beforeAutospacing="0" w:afterAutospacing="0" w:line="360" w:lineRule="auto"/>
        <w:ind w:right="105" w:rightChars="50" w:firstLine="1606" w:firstLineChars="500"/>
        <w:jc w:val="both"/>
        <w:textAlignment w:val="auto"/>
        <w:outlineLvl w:val="0"/>
        <w:rPr>
          <w:rFonts w:hint="default" w:ascii="宋体" w:hAnsi="宋体" w:eastAsia="宋体" w:cs="宋体"/>
          <w:b/>
          <w:bCs/>
          <w:sz w:val="32"/>
          <w:szCs w:val="32"/>
          <w:highlight w:val="none"/>
          <w:lang w:val="en-US" w:eastAsia="zh-CN"/>
        </w:rPr>
      </w:pPr>
      <w:bookmarkStart w:id="6" w:name="_Toc31066"/>
      <w:bookmarkStart w:id="7" w:name="_Toc32435"/>
      <w:bookmarkStart w:id="8" w:name="_Toc10956"/>
      <w:r>
        <w:rPr>
          <w:rFonts w:hint="eastAsia" w:ascii="宋体" w:hAnsi="宋体" w:eastAsia="宋体" w:cs="宋体"/>
          <w:b/>
          <w:bCs/>
          <w:sz w:val="32"/>
          <w:szCs w:val="32"/>
          <w:highlight w:val="none"/>
          <w:lang w:eastAsia="zh-CN"/>
        </w:rPr>
        <w:t>日</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期：</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lang w:val="en-US" w:eastAsia="zh-CN"/>
        </w:rPr>
        <w:t>202</w:t>
      </w:r>
      <w:r>
        <w:rPr>
          <w:rFonts w:hint="eastAsia" w:ascii="宋体" w:hAnsi="宋体" w:cs="宋体"/>
          <w:b/>
          <w:bCs/>
          <w:sz w:val="32"/>
          <w:szCs w:val="32"/>
          <w:highlight w:val="none"/>
          <w:lang w:val="en-US" w:eastAsia="zh-CN"/>
        </w:rPr>
        <w:t xml:space="preserve">5 </w:t>
      </w:r>
      <w:r>
        <w:rPr>
          <w:rFonts w:hint="eastAsia" w:ascii="宋体" w:hAnsi="宋体" w:eastAsia="宋体" w:cs="宋体"/>
          <w:b/>
          <w:bCs/>
          <w:sz w:val="32"/>
          <w:szCs w:val="32"/>
          <w:highlight w:val="none"/>
          <w:lang w:val="en-US" w:eastAsia="zh-CN"/>
        </w:rPr>
        <w:t>年</w:t>
      </w:r>
      <w:r>
        <w:rPr>
          <w:rFonts w:hint="eastAsia" w:ascii="宋体" w:hAnsi="宋体" w:cs="宋体"/>
          <w:b/>
          <w:bCs/>
          <w:sz w:val="32"/>
          <w:szCs w:val="32"/>
          <w:highlight w:val="none"/>
          <w:lang w:val="en-US" w:eastAsia="zh-CN"/>
        </w:rPr>
        <w:t xml:space="preserve"> 08 </w:t>
      </w:r>
      <w:r>
        <w:rPr>
          <w:rFonts w:hint="eastAsia" w:ascii="宋体" w:hAnsi="宋体" w:eastAsia="宋体" w:cs="宋体"/>
          <w:b/>
          <w:bCs/>
          <w:sz w:val="32"/>
          <w:szCs w:val="32"/>
          <w:highlight w:val="none"/>
          <w:lang w:val="en-US" w:eastAsia="zh-CN"/>
        </w:rPr>
        <w:t>月</w:t>
      </w:r>
      <w:bookmarkEnd w:id="6"/>
      <w:bookmarkEnd w:id="7"/>
      <w:bookmarkEnd w:id="8"/>
    </w:p>
    <w:p w14:paraId="54AC846B">
      <w:pPr>
        <w:pageBreakBefore w:val="0"/>
        <w:kinsoku/>
        <w:overflowPunct/>
        <w:topLinePunct w:val="0"/>
        <w:bidi w:val="0"/>
        <w:spacing w:after="10" w:line="360" w:lineRule="auto"/>
        <w:ind w:left="0" w:leftChars="0" w:right="0" w:rightChars="0" w:firstLine="643" w:firstLineChars="200"/>
        <w:rPr>
          <w:rFonts w:hint="eastAsia" w:ascii="宋体" w:hAnsi="宋体" w:eastAsia="宋体" w:cs="宋体"/>
          <w:b/>
          <w:bCs/>
          <w:color w:val="auto"/>
          <w:sz w:val="32"/>
          <w:szCs w:val="32"/>
          <w:highlight w:val="none"/>
        </w:rPr>
        <w:sectPr>
          <w:headerReference r:id="rId3" w:type="default"/>
          <w:footerReference r:id="rId4" w:type="default"/>
          <w:pgSz w:w="11907" w:h="16840"/>
          <w:pgMar w:top="1701" w:right="1417" w:bottom="1701" w:left="1417" w:header="907" w:footer="850" w:gutter="0"/>
          <w:pgNumType w:fmt="decimal"/>
          <w:cols w:space="720" w:num="1"/>
          <w:rtlGutter w:val="1"/>
          <w:docGrid w:linePitch="290" w:charSpace="-3931"/>
        </w:sectPr>
      </w:pPr>
    </w:p>
    <w:p w14:paraId="68D90CBF">
      <w:pPr>
        <w:pageBreakBefore w:val="0"/>
        <w:kinsoku/>
        <w:overflowPunct/>
        <w:topLinePunct w:val="0"/>
        <w:bidi w:val="0"/>
        <w:spacing w:after="10" w:line="360" w:lineRule="auto"/>
        <w:ind w:left="0" w:leftChars="0" w:right="0" w:rightChars="0" w:firstLine="803" w:firstLineChars="200"/>
        <w:rPr>
          <w:highlight w:val="none"/>
        </w:rPr>
      </w:pPr>
      <w:r>
        <w:rPr>
          <w:rFonts w:hint="eastAsia" w:ascii="宋体" w:hAnsi="宋体" w:eastAsia="宋体" w:cs="宋体"/>
          <w:b/>
          <w:bCs/>
          <w:color w:val="auto"/>
          <w:sz w:val="40"/>
          <w:szCs w:val="40"/>
          <w:highlight w:val="none"/>
        </w:rPr>
        <w:fldChar w:fldCharType="begin"/>
      </w:r>
      <w:r>
        <w:rPr>
          <w:rFonts w:hint="eastAsia" w:ascii="宋体" w:hAnsi="宋体" w:eastAsia="宋体" w:cs="宋体"/>
          <w:b/>
          <w:bCs/>
          <w:color w:val="auto"/>
          <w:sz w:val="40"/>
          <w:szCs w:val="40"/>
          <w:highlight w:val="none"/>
        </w:rPr>
        <w:instrText xml:space="preserve">ADDIN CNKISM.UserStyle</w:instrText>
      </w:r>
      <w:r>
        <w:rPr>
          <w:rFonts w:hint="eastAsia" w:ascii="宋体" w:hAnsi="宋体" w:eastAsia="宋体" w:cs="宋体"/>
          <w:b/>
          <w:bCs/>
          <w:color w:val="auto"/>
          <w:sz w:val="40"/>
          <w:szCs w:val="40"/>
          <w:highlight w:val="none"/>
        </w:rPr>
        <w:fldChar w:fldCharType="end"/>
      </w:r>
      <w:r>
        <w:rPr>
          <w:rFonts w:hint="eastAsia" w:ascii="宋体" w:hAnsi="宋体" w:eastAsia="宋体" w:cs="宋体"/>
          <w:b/>
          <w:bCs/>
          <w:sz w:val="40"/>
          <w:szCs w:val="40"/>
          <w:highlight w:val="none"/>
        </w:rPr>
        <w:tab/>
      </w:r>
      <w:bookmarkStart w:id="9" w:name="_Toc300"/>
    </w:p>
    <w:sdt>
      <w:sdtPr>
        <w:rPr>
          <w:rFonts w:hint="eastAsia" w:asciiTheme="minorEastAsia" w:hAnsiTheme="minorEastAsia" w:eastAsiaTheme="minorEastAsia" w:cstheme="minorEastAsia"/>
          <w:b/>
          <w:bCs/>
          <w:kern w:val="2"/>
          <w:sz w:val="40"/>
          <w:szCs w:val="40"/>
          <w:highlight w:val="none"/>
          <w:lang w:val="en-US" w:eastAsia="zh-CN" w:bidi="ar-SA"/>
        </w:rPr>
        <w:id w:val="147479934"/>
        <w15:color w:val="DBDBDB"/>
      </w:sdtPr>
      <w:sdtEndPr>
        <w:rPr>
          <w:rFonts w:hint="eastAsia" w:asciiTheme="minorEastAsia" w:hAnsiTheme="minorEastAsia" w:eastAsiaTheme="minorEastAsia" w:cstheme="minorEastAsia"/>
          <w:b/>
          <w:bCs/>
          <w:kern w:val="0"/>
          <w:sz w:val="24"/>
          <w:szCs w:val="24"/>
          <w:highlight w:val="none"/>
          <w:lang w:val="en-US" w:eastAsia="zh-CN" w:bidi="ar-SA"/>
        </w:rPr>
      </w:sdtEndPr>
      <w:sdtContent>
        <w:p w14:paraId="18B994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sz w:val="40"/>
              <w:szCs w:val="40"/>
              <w:highlight w:val="none"/>
            </w:rPr>
          </w:pPr>
          <w:r>
            <w:rPr>
              <w:rFonts w:hint="eastAsia" w:asciiTheme="minorEastAsia" w:hAnsiTheme="minorEastAsia" w:eastAsiaTheme="minorEastAsia" w:cstheme="minorEastAsia"/>
              <w:b/>
              <w:bCs/>
              <w:sz w:val="40"/>
              <w:szCs w:val="40"/>
              <w:highlight w:val="none"/>
            </w:rPr>
            <w:t>目</w:t>
          </w:r>
          <w:r>
            <w:rPr>
              <w:rFonts w:hint="eastAsia" w:asciiTheme="minorEastAsia" w:hAnsiTheme="minorEastAsia" w:eastAsiaTheme="minorEastAsia" w:cstheme="minorEastAsia"/>
              <w:b/>
              <w:bCs/>
              <w:sz w:val="40"/>
              <w:szCs w:val="40"/>
              <w:highlight w:val="none"/>
              <w:lang w:val="en-US" w:eastAsia="zh-CN"/>
            </w:rPr>
            <w:t xml:space="preserve">  </w:t>
          </w:r>
          <w:r>
            <w:rPr>
              <w:rFonts w:hint="eastAsia" w:asciiTheme="minorEastAsia" w:hAnsiTheme="minorEastAsia" w:eastAsiaTheme="minorEastAsia" w:cstheme="minorEastAsia"/>
              <w:b/>
              <w:bCs/>
              <w:sz w:val="40"/>
              <w:szCs w:val="40"/>
              <w:highlight w:val="none"/>
            </w:rPr>
            <w:t>录</w:t>
          </w:r>
        </w:p>
        <w:p w14:paraId="15DB8F29">
          <w:pPr>
            <w:pStyle w:val="53"/>
            <w:tabs>
              <w:tab w:val="right" w:leader="dot" w:pos="9073"/>
            </w:tabs>
            <w:spacing w:line="48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TOC \o "1-2" \h \u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 w:val="0"/>
              <w:bCs w:val="0"/>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_Toc7530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kern w:val="44"/>
              <w:sz w:val="28"/>
              <w:szCs w:val="28"/>
              <w:lang w:val="en-US" w:eastAsia="zh-CN" w:bidi="ar-SA"/>
            </w:rPr>
            <w:t>第一章 竞争性磋商公告</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_Toc7530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highlight w:val="none"/>
            </w:rPr>
            <w:fldChar w:fldCharType="end"/>
          </w:r>
        </w:p>
        <w:p w14:paraId="61A966DD">
          <w:pPr>
            <w:pStyle w:val="53"/>
            <w:tabs>
              <w:tab w:val="right" w:leader="dot" w:pos="9073"/>
            </w:tabs>
            <w:spacing w:line="48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_Toc22787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lang w:val="en-US" w:eastAsia="zh-CN"/>
            </w:rPr>
            <w:t>第二章  供应商须知</w:t>
          </w:r>
          <w:r>
            <w:rPr>
              <w:rFonts w:hint="eastAsia" w:asciiTheme="minorEastAsia" w:hAnsiTheme="minorEastAsia" w:eastAsiaTheme="minorEastAsia" w:cstheme="minorEastAsia"/>
              <w:b w:val="0"/>
              <w:bCs w:val="0"/>
              <w:sz w:val="28"/>
              <w:szCs w:val="28"/>
            </w:rPr>
            <w:tab/>
          </w:r>
          <w:bookmarkStart w:id="395" w:name="_GoBack"/>
          <w:bookmarkEnd w:id="395"/>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_Toc22787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10</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highlight w:val="none"/>
            </w:rPr>
            <w:fldChar w:fldCharType="end"/>
          </w:r>
        </w:p>
        <w:p w14:paraId="16634F43">
          <w:pPr>
            <w:pStyle w:val="53"/>
            <w:tabs>
              <w:tab w:val="right" w:leader="dot" w:pos="9073"/>
            </w:tabs>
            <w:spacing w:line="48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_Toc19112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lang w:val="en-US" w:eastAsia="zh-CN"/>
            </w:rPr>
            <w:t>第三章 评分办法</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_Toc19112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36</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highlight w:val="none"/>
            </w:rPr>
            <w:fldChar w:fldCharType="end"/>
          </w:r>
        </w:p>
        <w:p w14:paraId="58D0F28F">
          <w:pPr>
            <w:pStyle w:val="53"/>
            <w:tabs>
              <w:tab w:val="right" w:leader="dot" w:pos="9073"/>
            </w:tabs>
            <w:spacing w:line="48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_Toc9676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lang w:val="en-US" w:eastAsia="zh-CN"/>
            </w:rPr>
            <w:t>第四章 采购内容及项目要求</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_Toc9676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highlight w:val="none"/>
            </w:rPr>
            <w:fldChar w:fldCharType="end"/>
          </w:r>
        </w:p>
        <w:p w14:paraId="45854E3E">
          <w:pPr>
            <w:pStyle w:val="53"/>
            <w:tabs>
              <w:tab w:val="right" w:leader="dot" w:pos="9073"/>
            </w:tabs>
            <w:spacing w:line="48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_Toc24503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sz w:val="28"/>
              <w:szCs w:val="28"/>
              <w:lang w:val="en-US" w:eastAsia="zh-CN"/>
            </w:rPr>
            <w:t>第五章  合同条款及格式（仅供参考）</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_Toc24503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48</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highlight w:val="none"/>
            </w:rPr>
            <w:fldChar w:fldCharType="end"/>
          </w:r>
        </w:p>
        <w:p w14:paraId="5D9FE4C5">
          <w:pPr>
            <w:pStyle w:val="62"/>
            <w:tabs>
              <w:tab w:val="right" w:leader="dot" w:pos="9073"/>
              <w:tab w:val="clear" w:pos="8597"/>
            </w:tabs>
            <w:spacing w:line="600" w:lineRule="auto"/>
            <w:ind w:left="0" w:leftChars="0" w:firstLine="0" w:firstLineChars="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highlight w:val="none"/>
            </w:rPr>
            <w:fldChar w:fldCharType="begin"/>
          </w:r>
          <w:r>
            <w:rPr>
              <w:rFonts w:hint="eastAsia" w:asciiTheme="minorEastAsia" w:hAnsiTheme="minorEastAsia" w:eastAsiaTheme="minorEastAsia" w:cstheme="minorEastAsia"/>
              <w:b w:val="0"/>
              <w:bCs w:val="0"/>
              <w:sz w:val="28"/>
              <w:szCs w:val="28"/>
              <w:highlight w:val="none"/>
            </w:rPr>
            <w:instrText xml:space="preserve"> HYPERLINK \l _Toc25760 </w:instrText>
          </w:r>
          <w:r>
            <w:rPr>
              <w:rFonts w:hint="eastAsia" w:asciiTheme="minorEastAsia" w:hAnsiTheme="minorEastAsia" w:eastAsiaTheme="minorEastAsia" w:cstheme="minorEastAsia"/>
              <w:b w:val="0"/>
              <w:bCs w:val="0"/>
              <w:sz w:val="28"/>
              <w:szCs w:val="28"/>
              <w:highlight w:val="none"/>
            </w:rPr>
            <w:fldChar w:fldCharType="separate"/>
          </w:r>
          <w:r>
            <w:rPr>
              <w:rFonts w:hint="eastAsia" w:asciiTheme="minorEastAsia" w:hAnsiTheme="minorEastAsia" w:eastAsiaTheme="minorEastAsia" w:cstheme="minorEastAsia"/>
              <w:b w:val="0"/>
              <w:bCs w:val="0"/>
              <w:kern w:val="44"/>
              <w:sz w:val="28"/>
              <w:szCs w:val="28"/>
              <w:lang w:val="en-US" w:eastAsia="zh-CN" w:bidi="ar-SA"/>
            </w:rPr>
            <w:t>第六章  响应文件格式</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_Toc25760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highlight w:val="none"/>
            </w:rPr>
            <w:fldChar w:fldCharType="end"/>
          </w:r>
        </w:p>
        <w:p w14:paraId="65E0DD21">
          <w:pPr>
            <w:pStyle w:val="75"/>
            <w:keepNext w:val="0"/>
            <w:keepLines w:val="0"/>
            <w:pageBreakBefore w:val="0"/>
            <w:widowControl w:val="0"/>
            <w:kinsoku/>
            <w:wordWrap/>
            <w:overflowPunct/>
            <w:topLinePunct w:val="0"/>
            <w:autoSpaceDE/>
            <w:autoSpaceDN/>
            <w:bidi w:val="0"/>
            <w:adjustRightInd/>
            <w:snapToGrid/>
            <w:spacing w:after="0" w:line="600" w:lineRule="auto"/>
            <w:ind w:left="0" w:leftChars="0" w:firstLine="560" w:firstLineChars="200"/>
            <w:textAlignment w:val="auto"/>
            <w:rPr>
              <w:rFonts w:hint="eastAsia" w:asciiTheme="minorEastAsia" w:hAnsiTheme="minorEastAsia" w:eastAsiaTheme="minorEastAsia" w:cstheme="minorEastAsia"/>
              <w:b/>
              <w:kern w:val="0"/>
              <w:sz w:val="24"/>
              <w:szCs w:val="24"/>
              <w:highlight w:val="none"/>
              <w:lang w:val="en-US" w:eastAsia="zh-CN" w:bidi="ar-SA"/>
            </w:rPr>
            <w:sectPr>
              <w:footerReference r:id="rId5" w:type="default"/>
              <w:pgSz w:w="11907" w:h="16840"/>
              <w:pgMar w:top="1701" w:right="1417" w:bottom="1701" w:left="1417" w:header="907" w:footer="850" w:gutter="0"/>
              <w:pgNumType w:fmt="decimal" w:start="1"/>
              <w:cols w:space="720" w:num="1"/>
              <w:rtlGutter w:val="1"/>
              <w:docGrid w:linePitch="290" w:charSpace="-3931"/>
            </w:sectPr>
          </w:pPr>
          <w:r>
            <w:rPr>
              <w:rFonts w:hint="eastAsia" w:asciiTheme="minorEastAsia" w:hAnsiTheme="minorEastAsia" w:eastAsiaTheme="minorEastAsia" w:cstheme="minorEastAsia"/>
              <w:sz w:val="28"/>
              <w:szCs w:val="28"/>
              <w:highlight w:val="none"/>
            </w:rPr>
            <w:fldChar w:fldCharType="end"/>
          </w:r>
        </w:p>
      </w:sdtContent>
    </w:sdt>
    <w:bookmarkEnd w:id="9"/>
    <w:p w14:paraId="2EDF7490">
      <w:pPr>
        <w:pStyle w:val="2"/>
        <w:numPr>
          <w:ilvl w:val="0"/>
          <w:numId w:val="2"/>
        </w:numPr>
        <w:bidi w:val="0"/>
        <w:jc w:val="center"/>
        <w:rPr>
          <w:rFonts w:hint="eastAsia"/>
          <w:lang w:val="en-US" w:eastAsia="zh-CN"/>
        </w:rPr>
      </w:pPr>
      <w:bookmarkStart w:id="10" w:name="_Toc18227"/>
      <w:bookmarkEnd w:id="10"/>
      <w:bookmarkStart w:id="11" w:name="_Toc7530"/>
      <w:bookmarkStart w:id="12" w:name="_Toc25085"/>
      <w:bookmarkStart w:id="13" w:name="_Toc24920"/>
      <w:r>
        <w:rPr>
          <w:rFonts w:hint="eastAsia"/>
          <w:lang w:val="en-US" w:eastAsia="zh-CN"/>
        </w:rPr>
        <w:t xml:space="preserve"> 竞争性磋商公告</w:t>
      </w:r>
      <w:bookmarkEnd w:id="11"/>
    </w:p>
    <w:p w14:paraId="613D352C">
      <w:pPr>
        <w:pStyle w:val="2"/>
        <w:pageBreakBefore w:val="0"/>
        <w:widowControl w:val="0"/>
        <w:numPr>
          <w:ilvl w:val="0"/>
          <w:numId w:val="0"/>
        </w:numPr>
        <w:kinsoku/>
        <w:wordWrap/>
        <w:overflowPunct/>
        <w:topLinePunct w:val="0"/>
        <w:autoSpaceDE/>
        <w:autoSpaceDN/>
        <w:bidi w:val="0"/>
        <w:adjustRightInd/>
        <w:snapToGrid/>
        <w:spacing w:before="146" w:beforeLines="50" w:after="0" w:line="360" w:lineRule="auto"/>
        <w:ind w:right="0" w:rightChars="0" w:firstLine="480" w:firstLineChars="200"/>
        <w:jc w:val="left"/>
        <w:textAlignment w:val="auto"/>
        <w:outlineLvl w:val="1"/>
        <w:rPr>
          <w:rFonts w:hint="eastAsia" w:ascii="宋体" w:hAnsi="宋体" w:cs="宋体"/>
          <w:b w:val="0"/>
          <w:bCs w:val="0"/>
          <w:kern w:val="0"/>
          <w:sz w:val="24"/>
          <w:highlight w:val="none"/>
          <w:lang w:val="en-US" w:eastAsia="zh-CN"/>
        </w:rPr>
      </w:pPr>
      <w:bookmarkStart w:id="14" w:name="_Toc21927"/>
      <w:bookmarkStart w:id="15" w:name="_Toc17385"/>
      <w:bookmarkStart w:id="16" w:name="_Toc12864"/>
      <w:bookmarkStart w:id="17" w:name="_Toc27430"/>
      <w:r>
        <w:rPr>
          <w:rFonts w:hint="eastAsia" w:ascii="宋体" w:hAnsi="宋体" w:cs="宋体"/>
          <w:b w:val="0"/>
          <w:bCs w:val="0"/>
          <w:kern w:val="0"/>
          <w:sz w:val="24"/>
          <w:highlight w:val="none"/>
          <w:lang w:val="en-US" w:eastAsia="zh-CN"/>
        </w:rPr>
        <w:t>项目概况：菏泽市立医院IVF双人工作站项目的潜在供应商请登录赢标电子招标采购交易平台（菏泽专区）http://hz.fzbidding.com/自行下载竞争性磋商文件，并于2025-09-01 14:30:00（北京时间）前递交响应文件。</w:t>
      </w:r>
      <w:bookmarkEnd w:id="14"/>
    </w:p>
    <w:p w14:paraId="526B19E3">
      <w:pPr>
        <w:pStyle w:val="2"/>
        <w:pageBreakBefore w:val="0"/>
        <w:widowControl w:val="0"/>
        <w:numPr>
          <w:ilvl w:val="0"/>
          <w:numId w:val="0"/>
        </w:numPr>
        <w:kinsoku/>
        <w:wordWrap/>
        <w:overflowPunct/>
        <w:topLinePunct w:val="0"/>
        <w:autoSpaceDE/>
        <w:autoSpaceDN/>
        <w:bidi w:val="0"/>
        <w:adjustRightInd/>
        <w:snapToGrid/>
        <w:spacing w:before="146" w:beforeLines="50" w:after="0" w:line="360" w:lineRule="auto"/>
        <w:ind w:right="0" w:rightChars="0" w:firstLine="482" w:firstLineChars="200"/>
        <w:jc w:val="left"/>
        <w:textAlignment w:val="auto"/>
        <w:outlineLvl w:val="1"/>
        <w:rPr>
          <w:rFonts w:hint="eastAsia" w:ascii="宋体" w:hAnsi="宋体" w:cs="宋体"/>
          <w:b/>
          <w:bCs/>
          <w:kern w:val="0"/>
          <w:sz w:val="24"/>
          <w:highlight w:val="none"/>
          <w:lang w:val="en-US" w:eastAsia="zh-CN"/>
        </w:rPr>
      </w:pPr>
      <w:bookmarkStart w:id="18" w:name="_Toc31960"/>
      <w:r>
        <w:rPr>
          <w:rFonts w:hint="eastAsia" w:ascii="宋体" w:hAnsi="宋体" w:cs="宋体"/>
          <w:b/>
          <w:bCs/>
          <w:kern w:val="0"/>
          <w:sz w:val="24"/>
          <w:highlight w:val="none"/>
          <w:lang w:val="en-US" w:eastAsia="zh-CN"/>
        </w:rPr>
        <w:t>一、项目基本情况</w:t>
      </w:r>
      <w:bookmarkEnd w:id="18"/>
    </w:p>
    <w:p w14:paraId="621ADA8E">
      <w:pPr>
        <w:keepNext w:val="0"/>
        <w:keepLines w:val="0"/>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default" w:asciiTheme="minorEastAsia" w:hAnsiTheme="minorEastAsia" w:eastAsiaTheme="minorEastAsia" w:cstheme="minorEastAsia"/>
          <w:color w:val="auto"/>
          <w:sz w:val="24"/>
          <w:szCs w:val="24"/>
          <w:highlight w:val="none"/>
          <w:shd w:val="clear" w:color="auto" w:fill="FFFFFF"/>
          <w:lang w:val="en-US"/>
        </w:rPr>
      </w:pPr>
      <w:r>
        <w:rPr>
          <w:rFonts w:hint="eastAsia" w:asciiTheme="minorEastAsia" w:hAnsiTheme="minorEastAsia" w:eastAsiaTheme="minorEastAsia" w:cstheme="minorEastAsia"/>
          <w:color w:val="auto"/>
          <w:sz w:val="24"/>
          <w:szCs w:val="24"/>
          <w:highlight w:val="none"/>
          <w:shd w:val="clear" w:color="auto" w:fill="FFFFFF"/>
        </w:rPr>
        <w:t>项目名称：</w:t>
      </w:r>
      <w:r>
        <w:rPr>
          <w:rFonts w:hint="eastAsia" w:asciiTheme="minorEastAsia" w:hAnsiTheme="minorEastAsia" w:eastAsiaTheme="minorEastAsia" w:cstheme="minorEastAsia"/>
          <w:color w:val="auto"/>
          <w:sz w:val="24"/>
          <w:szCs w:val="24"/>
          <w:highlight w:val="none"/>
          <w:shd w:val="clear" w:color="auto" w:fill="FFFFFF"/>
          <w:lang w:val="en-US" w:eastAsia="zh-CN"/>
        </w:rPr>
        <w:t>菏泽市立医院IVF双人工作站项目</w:t>
      </w:r>
    </w:p>
    <w:p w14:paraId="0B06B80E">
      <w:pPr>
        <w:keepNext w:val="0"/>
        <w:keepLines w:val="0"/>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shd w:val="clear" w:color="auto" w:fill="FFFFFF"/>
          <w:lang w:val="en-US" w:eastAsia="zh-CN"/>
        </w:rPr>
      </w:pPr>
      <w:bookmarkStart w:id="19" w:name="_Toc8190"/>
      <w:r>
        <w:rPr>
          <w:rFonts w:hint="eastAsia" w:asciiTheme="minorEastAsia" w:hAnsiTheme="minorEastAsia" w:eastAsiaTheme="minorEastAsia" w:cstheme="minorEastAsia"/>
          <w:color w:val="auto"/>
          <w:sz w:val="24"/>
          <w:szCs w:val="24"/>
          <w:highlight w:val="none"/>
          <w:shd w:val="clear" w:color="auto" w:fill="FFFFFF"/>
        </w:rPr>
        <w:t>项目编号：</w:t>
      </w:r>
      <w:bookmarkEnd w:id="19"/>
      <w:r>
        <w:rPr>
          <w:rFonts w:hint="eastAsia" w:asciiTheme="minorEastAsia" w:hAnsiTheme="minorEastAsia" w:eastAsiaTheme="minorEastAsia" w:cstheme="minorEastAsia"/>
          <w:color w:val="auto"/>
          <w:sz w:val="24"/>
          <w:szCs w:val="24"/>
          <w:highlight w:val="none"/>
          <w:shd w:val="clear" w:color="auto" w:fill="FFFFFF"/>
          <w:lang w:eastAsia="zh-CN"/>
        </w:rPr>
        <w:t>SDGP371700000202502000167</w:t>
      </w:r>
    </w:p>
    <w:p w14:paraId="053E161E">
      <w:pPr>
        <w:keepNext w:val="0"/>
        <w:keepLines w:val="0"/>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shd w:val="clear" w:color="auto" w:fill="FFFFFF"/>
          <w:lang w:val="en-US" w:eastAsia="zh-CN"/>
        </w:rPr>
      </w:pPr>
      <w:bookmarkStart w:id="20" w:name="_Toc4877"/>
      <w:r>
        <w:rPr>
          <w:rFonts w:hint="eastAsia" w:asciiTheme="minorEastAsia" w:hAnsiTheme="minorEastAsia" w:eastAsiaTheme="minorEastAsia" w:cstheme="minorEastAsia"/>
          <w:color w:val="auto"/>
          <w:sz w:val="24"/>
          <w:szCs w:val="24"/>
          <w:highlight w:val="none"/>
          <w:shd w:val="clear" w:color="auto" w:fill="FFFFFF"/>
          <w:lang w:val="en-US" w:eastAsia="zh-CN"/>
        </w:rPr>
        <w:t>采购方式：竞争性磋商</w:t>
      </w:r>
      <w:bookmarkEnd w:id="20"/>
    </w:p>
    <w:bookmarkEnd w:id="12"/>
    <w:bookmarkEnd w:id="13"/>
    <w:bookmarkEnd w:id="15"/>
    <w:bookmarkEnd w:id="16"/>
    <w:bookmarkEnd w:id="17"/>
    <w:p w14:paraId="573A1C50">
      <w:pPr>
        <w:pStyle w:val="2"/>
        <w:pageBreakBefore w:val="0"/>
        <w:widowControl w:val="0"/>
        <w:numPr>
          <w:ilvl w:val="0"/>
          <w:numId w:val="0"/>
        </w:numPr>
        <w:kinsoku/>
        <w:wordWrap/>
        <w:overflowPunct/>
        <w:topLinePunct w:val="0"/>
        <w:autoSpaceDE/>
        <w:autoSpaceDN/>
        <w:bidi w:val="0"/>
        <w:adjustRightInd/>
        <w:snapToGrid/>
        <w:spacing w:before="146" w:beforeLines="50" w:after="0" w:line="360" w:lineRule="auto"/>
        <w:ind w:right="0" w:rightChars="0" w:firstLine="482" w:firstLineChars="200"/>
        <w:jc w:val="left"/>
        <w:textAlignment w:val="auto"/>
        <w:outlineLvl w:val="1"/>
        <w:rPr>
          <w:rFonts w:hint="eastAsia" w:ascii="宋体" w:hAnsi="宋体" w:cs="宋体"/>
          <w:b/>
          <w:bCs/>
          <w:kern w:val="0"/>
          <w:sz w:val="24"/>
          <w:highlight w:val="none"/>
          <w:lang w:val="en-US" w:eastAsia="zh-CN"/>
        </w:rPr>
      </w:pPr>
      <w:bookmarkStart w:id="21" w:name="_Toc23940"/>
      <w:bookmarkStart w:id="22" w:name="_Toc15728"/>
      <w:bookmarkStart w:id="23" w:name="_Toc22900"/>
      <w:bookmarkStart w:id="24" w:name="_Toc9938"/>
      <w:bookmarkStart w:id="25" w:name="_Toc9896"/>
      <w:r>
        <w:rPr>
          <w:rFonts w:hint="eastAsia" w:ascii="宋体" w:hAnsi="宋体" w:cs="宋体"/>
          <w:b/>
          <w:bCs/>
          <w:kern w:val="0"/>
          <w:sz w:val="24"/>
          <w:highlight w:val="none"/>
          <w:lang w:val="en-US" w:eastAsia="zh-CN"/>
        </w:rPr>
        <w:t>二、</w:t>
      </w:r>
      <w:bookmarkEnd w:id="21"/>
      <w:bookmarkEnd w:id="22"/>
      <w:bookmarkEnd w:id="23"/>
      <w:bookmarkEnd w:id="24"/>
      <w:bookmarkEnd w:id="25"/>
      <w:r>
        <w:rPr>
          <w:rFonts w:hint="eastAsia" w:ascii="宋体" w:hAnsi="宋体" w:cs="宋体"/>
          <w:b/>
          <w:bCs/>
          <w:kern w:val="0"/>
          <w:sz w:val="24"/>
          <w:highlight w:val="none"/>
          <w:lang w:val="en-US" w:eastAsia="zh-CN"/>
        </w:rPr>
        <w:t>采购需求</w:t>
      </w:r>
      <w:r>
        <w:rPr>
          <w:rFonts w:hint="eastAsia" w:ascii="宋体" w:hAnsi="宋体" w:cs="宋体"/>
          <w:b/>
          <w:bCs/>
          <w:kern w:val="0"/>
          <w:sz w:val="24"/>
          <w:highlight w:val="none"/>
          <w:lang w:val="en-US" w:eastAsia="zh-CN"/>
        </w:rPr>
        <w:tab/>
      </w:r>
    </w:p>
    <w:tbl>
      <w:tblPr>
        <w:tblStyle w:val="76"/>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20"/>
        <w:gridCol w:w="717"/>
        <w:gridCol w:w="5600"/>
        <w:gridCol w:w="1216"/>
      </w:tblGrid>
      <w:tr w14:paraId="2146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0" w:type="dxa"/>
            <w:vAlign w:val="center"/>
          </w:tcPr>
          <w:p w14:paraId="4CE755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标包</w:t>
            </w:r>
          </w:p>
        </w:tc>
        <w:tc>
          <w:tcPr>
            <w:tcW w:w="1220" w:type="dxa"/>
            <w:vAlign w:val="center"/>
          </w:tcPr>
          <w:p w14:paraId="115EE9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717" w:type="dxa"/>
            <w:vAlign w:val="center"/>
          </w:tcPr>
          <w:p w14:paraId="5C3DE8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数量</w:t>
            </w:r>
          </w:p>
        </w:tc>
        <w:tc>
          <w:tcPr>
            <w:tcW w:w="5600" w:type="dxa"/>
            <w:vAlign w:val="center"/>
          </w:tcPr>
          <w:p w14:paraId="27874C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cs="宋体"/>
                <w:kern w:val="0"/>
                <w:sz w:val="24"/>
                <w:szCs w:val="24"/>
                <w:highlight w:val="none"/>
                <w:lang w:eastAsia="zh-CN"/>
              </w:rPr>
              <w:t>供应商</w:t>
            </w:r>
            <w:r>
              <w:rPr>
                <w:rFonts w:hint="eastAsia" w:ascii="宋体" w:hAnsi="宋体" w:eastAsia="宋体" w:cs="宋体"/>
                <w:kern w:val="0"/>
                <w:sz w:val="24"/>
                <w:szCs w:val="24"/>
                <w:highlight w:val="none"/>
              </w:rPr>
              <w:t>资格要求</w:t>
            </w:r>
          </w:p>
        </w:tc>
        <w:tc>
          <w:tcPr>
            <w:tcW w:w="1216" w:type="dxa"/>
            <w:vAlign w:val="center"/>
          </w:tcPr>
          <w:p w14:paraId="22F12C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eastAsia="zh-CN"/>
              </w:rPr>
              <w:t>预算金额（元）</w:t>
            </w:r>
          </w:p>
        </w:tc>
      </w:tr>
      <w:tr w14:paraId="3A91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48F23D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p>
          <w:p w14:paraId="10FD55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lang w:val="en-US" w:eastAsia="zh-CN"/>
              </w:rPr>
            </w:pPr>
          </w:p>
        </w:tc>
        <w:tc>
          <w:tcPr>
            <w:tcW w:w="1220" w:type="dxa"/>
            <w:vAlign w:val="center"/>
          </w:tcPr>
          <w:p w14:paraId="665348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sz w:val="24"/>
                <w:szCs w:val="24"/>
                <w:highlight w:val="none"/>
                <w:lang w:val="en-US" w:eastAsia="zh-CN"/>
              </w:rPr>
            </w:pPr>
            <w:r>
              <w:rPr>
                <w:rFonts w:hint="eastAsia" w:ascii="宋体" w:hAnsi="宋体" w:cs="宋体"/>
                <w:b w:val="0"/>
                <w:bCs w:val="0"/>
                <w:kern w:val="0"/>
                <w:sz w:val="24"/>
                <w:highlight w:val="none"/>
                <w:lang w:val="en-US" w:eastAsia="zh-CN"/>
              </w:rPr>
              <w:t>菏泽市立医院IVF双人工作站项目</w:t>
            </w:r>
          </w:p>
        </w:tc>
        <w:tc>
          <w:tcPr>
            <w:tcW w:w="717" w:type="dxa"/>
            <w:vAlign w:val="center"/>
          </w:tcPr>
          <w:p w14:paraId="5A3D1C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5600" w:type="dxa"/>
            <w:vAlign w:val="center"/>
          </w:tcPr>
          <w:p w14:paraId="69FFE9E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供应商须</w:t>
            </w:r>
            <w:r>
              <w:rPr>
                <w:rFonts w:hint="eastAsia" w:ascii="宋体" w:hAnsi="宋体" w:eastAsia="宋体" w:cs="宋体"/>
                <w:sz w:val="24"/>
                <w:szCs w:val="24"/>
                <w:highlight w:val="none"/>
              </w:rPr>
              <w:t>在中国境内注册</w:t>
            </w:r>
            <w:r>
              <w:rPr>
                <w:rFonts w:hint="eastAsia" w:ascii="宋体" w:hAnsi="宋体" w:cs="宋体"/>
                <w:sz w:val="24"/>
                <w:szCs w:val="24"/>
                <w:highlight w:val="none"/>
                <w:lang w:eastAsia="zh-CN"/>
              </w:rPr>
              <w:t>，符合《中华人民共和国政府采购法》第二十二条规定的要求</w:t>
            </w:r>
            <w:r>
              <w:rPr>
                <w:rFonts w:hint="eastAsia" w:ascii="宋体" w:hAnsi="宋体" w:eastAsia="宋体" w:cs="宋体"/>
                <w:sz w:val="24"/>
                <w:szCs w:val="24"/>
                <w:highlight w:val="none"/>
              </w:rPr>
              <w:t>，并在人员、设备、资金等方面具有承担本项目的能力</w:t>
            </w:r>
            <w:r>
              <w:rPr>
                <w:rFonts w:hint="eastAsia" w:ascii="宋体" w:hAnsi="宋体" w:cs="宋体"/>
                <w:sz w:val="24"/>
                <w:szCs w:val="24"/>
                <w:highlight w:val="none"/>
                <w:lang w:eastAsia="zh-CN"/>
              </w:rPr>
              <w:t>；</w:t>
            </w:r>
          </w:p>
          <w:p w14:paraId="4B78DF9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供应商若</w:t>
            </w:r>
            <w:r>
              <w:rPr>
                <w:rFonts w:hint="eastAsia" w:ascii="宋体" w:hAnsi="宋体" w:eastAsia="宋体" w:cs="宋体"/>
                <w:sz w:val="24"/>
                <w:szCs w:val="24"/>
                <w:highlight w:val="none"/>
              </w:rPr>
              <w:t>为制造商</w:t>
            </w:r>
            <w:r>
              <w:rPr>
                <w:rFonts w:hint="eastAsia" w:ascii="宋体" w:hAnsi="宋体" w:eastAsia="宋体" w:cs="宋体"/>
                <w:sz w:val="24"/>
                <w:szCs w:val="24"/>
                <w:highlight w:val="none"/>
                <w:lang w:eastAsia="zh-CN"/>
              </w:rPr>
              <w:t>，须按照《医疗器械生产监督管理办法》（国家市场监督管理总局令第53号）的规定提供所投医疗设备的医疗器械生产许可证或生产备案凭证</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第一类医疗器械提供医疗器械生产备案凭证（如有附表，须提供附表），第二、三类医疗器械提供医疗器械生产许可证（如有附表，须提供附表）</w:t>
            </w:r>
            <w:r>
              <w:rPr>
                <w:rFonts w:hint="eastAsia" w:ascii="宋体" w:hAnsi="宋体" w:cs="宋体"/>
                <w:sz w:val="24"/>
                <w:szCs w:val="24"/>
                <w:highlight w:val="none"/>
                <w:lang w:eastAsia="zh-CN"/>
              </w:rPr>
              <w:t>；</w:t>
            </w:r>
          </w:p>
          <w:p w14:paraId="75E174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供应商若</w:t>
            </w:r>
            <w:r>
              <w:rPr>
                <w:rFonts w:hint="eastAsia" w:ascii="宋体" w:hAnsi="宋体" w:eastAsia="宋体" w:cs="宋体"/>
                <w:sz w:val="24"/>
                <w:szCs w:val="24"/>
                <w:highlight w:val="none"/>
              </w:rPr>
              <w:t>为代理商</w:t>
            </w:r>
            <w:r>
              <w:rPr>
                <w:rFonts w:hint="eastAsia" w:ascii="宋体" w:hAnsi="宋体" w:eastAsia="宋体" w:cs="宋体"/>
                <w:sz w:val="24"/>
                <w:szCs w:val="24"/>
                <w:highlight w:val="none"/>
                <w:lang w:eastAsia="zh-CN"/>
              </w:rPr>
              <w:t>，须按照《医疗器械经营监督管理办法》（国家市场监督管理总局令第54号）的规定提供医疗器械经营许可证或经营备案凭证</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第二类医疗器械提供医疗器械经营备案凭证，第三类医疗器械提供医疗器械经营许可证；</w:t>
            </w:r>
          </w:p>
          <w:p w14:paraId="15E3170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eastAsia="zh-CN"/>
              </w:rPr>
              <w:t>供应商须按照《医疗器械注册与备案管理办法》（国家市场监督管理总局令第47号）的规定提供所投设备的医疗器械注册证或备案凭证</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第一类医疗器械提供医疗器械备案凭证（如有附表，须提供附表），第二、三类医疗器械提供医疗器械注册证（如有附表，须提供附表）；</w:t>
            </w:r>
          </w:p>
          <w:p w14:paraId="4F64FD7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供应商</w:t>
            </w:r>
            <w:r>
              <w:rPr>
                <w:rFonts w:hint="eastAsia" w:ascii="宋体" w:hAnsi="宋体" w:cs="宋体"/>
                <w:sz w:val="24"/>
                <w:szCs w:val="24"/>
                <w:highlight w:val="none"/>
                <w:lang w:eastAsia="zh-CN"/>
              </w:rPr>
              <w:t>若投报进口产品，</w:t>
            </w:r>
            <w:r>
              <w:rPr>
                <w:rFonts w:hint="eastAsia" w:ascii="宋体" w:hAnsi="宋体" w:cs="宋体"/>
                <w:sz w:val="24"/>
                <w:szCs w:val="24"/>
                <w:highlight w:val="none"/>
                <w:lang w:val="en-US" w:eastAsia="zh-CN"/>
              </w:rPr>
              <w:t>须</w:t>
            </w:r>
            <w:r>
              <w:rPr>
                <w:rFonts w:hint="eastAsia" w:ascii="宋体" w:hAnsi="宋体" w:cs="宋体"/>
                <w:sz w:val="24"/>
                <w:szCs w:val="24"/>
                <w:highlight w:val="none"/>
                <w:lang w:eastAsia="zh-CN"/>
              </w:rPr>
              <w:t>提供所投产品生产厂家或中国总代理商针对本项目出具的逐级授权书；</w:t>
            </w:r>
          </w:p>
          <w:p w14:paraId="6846160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eastAsia="zh-CN"/>
              </w:rPr>
              <w:t>落实政府采购政策需满足的资格要求：本项目非专门面向中小企业采购。</w:t>
            </w:r>
          </w:p>
          <w:p w14:paraId="4FFFCD5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供应商须提供菏泽市政府采购供应商资格信用承诺函；</w:t>
            </w:r>
          </w:p>
          <w:p w14:paraId="6B438AB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本项目不接受联合体投标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资格审查方式为</w:t>
            </w:r>
            <w:r>
              <w:rPr>
                <w:rFonts w:hint="eastAsia" w:ascii="宋体" w:hAnsi="宋体" w:eastAsia="宋体" w:cs="宋体"/>
                <w:sz w:val="24"/>
                <w:szCs w:val="24"/>
                <w:highlight w:val="none"/>
              </w:rPr>
              <w:t>资格后审。</w:t>
            </w:r>
          </w:p>
        </w:tc>
        <w:tc>
          <w:tcPr>
            <w:tcW w:w="1216" w:type="dxa"/>
            <w:vAlign w:val="center"/>
          </w:tcPr>
          <w:p w14:paraId="7CC625F0">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0" w:firstLineChars="0"/>
              <w:jc w:val="left"/>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1200000.00</w:t>
            </w:r>
          </w:p>
        </w:tc>
      </w:tr>
    </w:tbl>
    <w:p w14:paraId="5C264047">
      <w:pPr>
        <w:pStyle w:val="2"/>
        <w:pageBreakBefore w:val="0"/>
        <w:widowControl w:val="0"/>
        <w:numPr>
          <w:ilvl w:val="0"/>
          <w:numId w:val="0"/>
        </w:numPr>
        <w:kinsoku/>
        <w:wordWrap/>
        <w:overflowPunct/>
        <w:topLinePunct w:val="0"/>
        <w:autoSpaceDE/>
        <w:autoSpaceDN/>
        <w:bidi w:val="0"/>
        <w:adjustRightInd/>
        <w:snapToGrid/>
        <w:spacing w:before="146" w:beforeLines="50" w:after="0" w:line="360" w:lineRule="auto"/>
        <w:ind w:right="0" w:rightChars="0" w:firstLine="482" w:firstLineChars="200"/>
        <w:jc w:val="left"/>
        <w:textAlignment w:val="auto"/>
        <w:outlineLvl w:val="1"/>
        <w:rPr>
          <w:rFonts w:hint="eastAsia" w:ascii="宋体" w:hAnsi="宋体" w:cs="宋体"/>
          <w:b/>
          <w:bCs/>
          <w:kern w:val="0"/>
          <w:sz w:val="24"/>
          <w:highlight w:val="none"/>
          <w:lang w:val="en-US" w:eastAsia="zh-CN"/>
        </w:rPr>
      </w:pPr>
      <w:bookmarkStart w:id="26" w:name="_Toc13311"/>
      <w:r>
        <w:rPr>
          <w:rFonts w:hint="eastAsia" w:ascii="宋体" w:hAnsi="宋体" w:cs="宋体"/>
          <w:b/>
          <w:bCs/>
          <w:kern w:val="0"/>
          <w:sz w:val="24"/>
          <w:highlight w:val="none"/>
          <w:lang w:val="en-US" w:eastAsia="zh-CN"/>
        </w:rPr>
        <w:t>三、获取竞争性磋商文件</w:t>
      </w:r>
    </w:p>
    <w:p w14:paraId="519A0EAB">
      <w:pPr>
        <w:keepNext w:val="0"/>
        <w:keepLines w:val="0"/>
        <w:pageBreakBefore w:val="0"/>
        <w:widowControl w:val="0"/>
        <w:numPr>
          <w:ilvl w:val="0"/>
          <w:numId w:val="0"/>
        </w:numPr>
        <w:kinsoku/>
        <w:wordWrap/>
        <w:overflowPunct/>
        <w:topLinePunct w:val="0"/>
        <w:autoSpaceDE/>
        <w:autoSpaceDN/>
        <w:bidi w:val="0"/>
        <w:adjustRightInd/>
        <w:snapToGrid/>
        <w:spacing w:before="146" w:beforeLines="50" w:line="360" w:lineRule="auto"/>
        <w:ind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asciiTheme="minorEastAsia" w:hAnsiTheme="minorEastAsia" w:eastAsiaTheme="minorEastAsia" w:cstheme="minorEastAsia"/>
          <w:color w:val="auto"/>
          <w:sz w:val="24"/>
          <w:szCs w:val="24"/>
          <w:highlight w:val="none"/>
          <w:shd w:val="clear" w:color="auto" w:fill="FFFFFF"/>
        </w:rPr>
        <w:t>时间：</w:t>
      </w:r>
      <w:r>
        <w:rPr>
          <w:rFonts w:hint="eastAsia" w:asciiTheme="minorEastAsia" w:hAnsiTheme="minorEastAsia" w:eastAsiaTheme="minorEastAsia" w:cstheme="minorEastAsia"/>
          <w:color w:val="auto"/>
          <w:sz w:val="24"/>
          <w:szCs w:val="24"/>
          <w:highlight w:val="none"/>
          <w:shd w:val="clear" w:color="auto" w:fill="FFFFFF"/>
          <w:lang w:eastAsia="zh-CN"/>
        </w:rPr>
        <w:t>投标截止时间前均可下载</w:t>
      </w:r>
      <w:r>
        <w:rPr>
          <w:rFonts w:hint="eastAsia" w:asciiTheme="minorEastAsia" w:hAnsiTheme="minorEastAsia" w:eastAsiaTheme="minorEastAsia" w:cstheme="minorEastAsia"/>
          <w:color w:val="auto"/>
          <w:sz w:val="24"/>
          <w:szCs w:val="24"/>
          <w:highlight w:val="none"/>
          <w:shd w:val="clear" w:color="auto" w:fill="FFFFFF"/>
        </w:rPr>
        <w:t>。</w:t>
      </w:r>
    </w:p>
    <w:p w14:paraId="29E2AD24">
      <w:pPr>
        <w:keepNext w:val="0"/>
        <w:keepLines w:val="0"/>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val="en-US" w:eastAsia="zh-CN"/>
        </w:rPr>
        <w:t>2、</w:t>
      </w:r>
      <w:r>
        <w:rPr>
          <w:rFonts w:hint="eastAsia" w:asciiTheme="minorEastAsia" w:hAnsiTheme="minorEastAsia" w:eastAsiaTheme="minorEastAsia" w:cstheme="minorEastAsia"/>
          <w:color w:val="auto"/>
          <w:sz w:val="24"/>
          <w:szCs w:val="24"/>
          <w:highlight w:val="none"/>
          <w:shd w:val="clear" w:color="auto" w:fill="FFFFFF"/>
        </w:rPr>
        <w:t>地点：登录</w:t>
      </w:r>
      <w:r>
        <w:rPr>
          <w:rFonts w:hint="eastAsia" w:asciiTheme="minorEastAsia" w:hAnsiTheme="minorEastAsia" w:eastAsiaTheme="minorEastAsia" w:cstheme="minorEastAsia"/>
          <w:color w:val="auto"/>
          <w:sz w:val="24"/>
          <w:szCs w:val="24"/>
          <w:highlight w:val="none"/>
          <w:shd w:val="clear" w:color="auto" w:fill="FFFFFF"/>
          <w:lang w:eastAsia="zh-CN"/>
        </w:rPr>
        <w:t>赢标电子招标采购交易平台菏泽专区（https://hz.fzbidding.com/）</w:t>
      </w:r>
      <w:r>
        <w:rPr>
          <w:rFonts w:hint="eastAsia" w:asciiTheme="minorEastAsia" w:hAnsiTheme="minorEastAsia" w:eastAsiaTheme="minorEastAsia" w:cstheme="minorEastAsia"/>
          <w:color w:val="auto"/>
          <w:sz w:val="24"/>
          <w:szCs w:val="24"/>
          <w:highlight w:val="none"/>
          <w:shd w:val="clear" w:color="auto" w:fill="FFFFFF"/>
        </w:rPr>
        <w:t>下载</w:t>
      </w:r>
      <w:r>
        <w:rPr>
          <w:rFonts w:hint="eastAsia" w:asciiTheme="minorEastAsia" w:hAnsiTheme="minorEastAsia" w:eastAsiaTheme="minorEastAsia" w:cstheme="minorEastAsia"/>
          <w:color w:val="auto"/>
          <w:sz w:val="24"/>
          <w:szCs w:val="24"/>
          <w:highlight w:val="none"/>
          <w:shd w:val="clear" w:color="auto" w:fill="FFFFFF"/>
          <w:lang w:eastAsia="zh-CN"/>
        </w:rPr>
        <w:t>竞争性磋商文件</w:t>
      </w:r>
      <w:r>
        <w:rPr>
          <w:rFonts w:hint="eastAsia" w:asciiTheme="minorEastAsia" w:hAnsiTheme="minorEastAsia" w:eastAsiaTheme="minorEastAsia" w:cstheme="minorEastAsia"/>
          <w:color w:val="auto"/>
          <w:sz w:val="24"/>
          <w:szCs w:val="24"/>
          <w:highlight w:val="none"/>
          <w:shd w:val="clear" w:color="auto" w:fill="FFFFFF"/>
        </w:rPr>
        <w:t>。</w:t>
      </w:r>
    </w:p>
    <w:p w14:paraId="73553E5C">
      <w:pPr>
        <w:keepNext w:val="0"/>
        <w:keepLines w:val="0"/>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3、</w:t>
      </w:r>
      <w:r>
        <w:rPr>
          <w:rFonts w:hint="eastAsia" w:asciiTheme="minorEastAsia" w:hAnsiTheme="minorEastAsia" w:eastAsiaTheme="minorEastAsia" w:cstheme="minorEastAsia"/>
          <w:color w:val="auto"/>
          <w:sz w:val="24"/>
          <w:szCs w:val="24"/>
          <w:highlight w:val="none"/>
          <w:shd w:val="clear" w:color="auto" w:fill="FFFFFF"/>
        </w:rPr>
        <w:t>方式：①</w:t>
      </w:r>
      <w:r>
        <w:rPr>
          <w:rFonts w:hint="eastAsia" w:asciiTheme="minorEastAsia" w:hAnsiTheme="minorEastAsia" w:eastAsiaTheme="minorEastAsia" w:cstheme="minorEastAsia"/>
          <w:color w:val="auto"/>
          <w:sz w:val="24"/>
          <w:szCs w:val="24"/>
          <w:highlight w:val="none"/>
          <w:shd w:val="clear" w:color="auto" w:fill="FFFFFF"/>
          <w:lang w:eastAsia="zh-CN"/>
        </w:rPr>
        <w:t>供应商须</w:t>
      </w:r>
      <w:r>
        <w:rPr>
          <w:rFonts w:hint="eastAsia" w:asciiTheme="minorEastAsia" w:hAnsiTheme="minorEastAsia" w:eastAsiaTheme="minorEastAsia" w:cstheme="minorEastAsia"/>
          <w:color w:val="auto"/>
          <w:sz w:val="24"/>
          <w:szCs w:val="24"/>
          <w:highlight w:val="none"/>
          <w:shd w:val="clear" w:color="auto" w:fill="FFFFFF"/>
        </w:rPr>
        <w:t>于上述时间内登录山东省政府采购信息公开平台注册账号，</w:t>
      </w:r>
      <w:r>
        <w:rPr>
          <w:rFonts w:hint="eastAsia" w:asciiTheme="minorEastAsia" w:hAnsiTheme="minorEastAsia" w:eastAsiaTheme="minorEastAsia" w:cstheme="minorEastAsia"/>
          <w:b w:val="0"/>
          <w:bCs w:val="0"/>
          <w:color w:val="auto"/>
          <w:sz w:val="24"/>
          <w:szCs w:val="24"/>
          <w:highlight w:val="none"/>
          <w:shd w:val="clear" w:color="auto" w:fill="FFFFFF"/>
        </w:rPr>
        <w:t>未在中国山东政府采购网注册的</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供应商</w:t>
      </w:r>
      <w:r>
        <w:rPr>
          <w:rFonts w:hint="eastAsia" w:asciiTheme="minorEastAsia" w:hAnsiTheme="minorEastAsia" w:eastAsiaTheme="minorEastAsia" w:cstheme="minorEastAsia"/>
          <w:b w:val="0"/>
          <w:bCs w:val="0"/>
          <w:color w:val="auto"/>
          <w:sz w:val="24"/>
          <w:szCs w:val="24"/>
          <w:highlight w:val="none"/>
          <w:shd w:val="clear" w:color="auto" w:fill="FFFFFF"/>
        </w:rPr>
        <w:t>不具备参与本项目的投标资格</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，所造成的一切后</w:t>
      </w:r>
      <w:r>
        <w:rPr>
          <w:rFonts w:hint="eastAsia" w:asciiTheme="minorEastAsia" w:hAnsiTheme="minorEastAsia" w:eastAsiaTheme="minorEastAsia" w:cstheme="minorEastAsia"/>
          <w:color w:val="auto"/>
          <w:sz w:val="24"/>
          <w:szCs w:val="24"/>
          <w:highlight w:val="none"/>
          <w:shd w:val="clear" w:color="auto" w:fill="FFFFFF"/>
          <w:lang w:eastAsia="zh-CN"/>
        </w:rPr>
        <w:t>果由供应商自行承担。</w:t>
      </w:r>
    </w:p>
    <w:p w14:paraId="499BFF44">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shd w:val="clear" w:color="auto" w:fill="FFFFFF"/>
          <w:lang w:eastAsia="zh-CN"/>
        </w:rPr>
      </w:pPr>
      <w:bookmarkStart w:id="27" w:name="_Toc4489"/>
      <w:bookmarkStart w:id="28" w:name="_Toc31145"/>
      <w:bookmarkStart w:id="29" w:name="_Toc13594"/>
      <w:bookmarkStart w:id="30" w:name="_Toc19037"/>
      <w:bookmarkStart w:id="31" w:name="_Toc24539"/>
      <w:r>
        <w:rPr>
          <w:rFonts w:hint="eastAsia" w:asciiTheme="minorEastAsia" w:hAnsiTheme="minorEastAsia" w:eastAsiaTheme="minorEastAsia" w:cstheme="minorEastAsia"/>
          <w:color w:val="auto"/>
          <w:sz w:val="24"/>
          <w:szCs w:val="24"/>
          <w:highlight w:val="none"/>
          <w:shd w:val="clear" w:color="auto" w:fill="FFFFFF"/>
          <w:lang w:eastAsia="zh-CN"/>
        </w:rPr>
        <w:t>②本项目为网上交易，供应商须在上述时间内登录赢标电子招标采购交易平台菏泽专区（https://hz.fzbidding.com/）注册账号并下载竞争性磋商文件。</w:t>
      </w:r>
      <w:bookmarkEnd w:id="27"/>
      <w:bookmarkStart w:id="32" w:name="_Toc11869"/>
      <w:r>
        <w:rPr>
          <w:rFonts w:hint="eastAsia" w:asciiTheme="minorEastAsia" w:hAnsiTheme="minorEastAsia" w:eastAsiaTheme="minorEastAsia" w:cstheme="minorEastAsia"/>
          <w:color w:val="auto"/>
          <w:sz w:val="24"/>
          <w:szCs w:val="24"/>
          <w:highlight w:val="none"/>
          <w:shd w:val="clear" w:color="auto" w:fill="FFFFFF"/>
          <w:lang w:eastAsia="zh-CN"/>
        </w:rPr>
        <w:t>竞争性磋商文件一经发布，视作已发放给所有供应商，发布时间即为发出竞争性磋商公告的时间，各供应商应随时关注项目信息并及时下载浏览各类澄清答疑，代理机构将不再逐一通知。供应商未按要求进行投标备案并下载竞争性磋商文件的（包括各类澄清答疑），无法参与本项目投标，所造成的一切后果由供应商自行承担。</w:t>
      </w:r>
      <w:bookmarkEnd w:id="32"/>
    </w:p>
    <w:p w14:paraId="5974CD30">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shd w:val="clear" w:color="auto" w:fill="FFFFFF"/>
          <w:lang w:eastAsia="zh-CN"/>
        </w:rPr>
      </w:pPr>
      <w:bookmarkStart w:id="33" w:name="_Toc5078"/>
      <w:r>
        <w:rPr>
          <w:rFonts w:hint="eastAsia" w:asciiTheme="minorEastAsia" w:hAnsiTheme="minorEastAsia" w:eastAsiaTheme="minorEastAsia" w:cstheme="minorEastAsia"/>
          <w:color w:val="auto"/>
          <w:sz w:val="24"/>
          <w:szCs w:val="24"/>
          <w:highlight w:val="none"/>
          <w:shd w:val="clear" w:color="auto" w:fill="FFFFFF"/>
          <w:lang w:eastAsia="zh-CN"/>
        </w:rPr>
        <w:t>③供应商编制响应文件需使用企业CA，供应商在获取竞争性磋商文件后应进行企业 CA 办理。CA 注册有一定周期，请及时办理以免影响本次投标。未及时进行网站注册及CA办理的供应商所造成的投标失败，后果由其自负。详见菏泽市公共资源配置公共服务平台相关通知。</w:t>
      </w:r>
      <w:bookmarkEnd w:id="33"/>
    </w:p>
    <w:p w14:paraId="3D8F558E">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2" w:firstLineChars="200"/>
        <w:jc w:val="left"/>
        <w:textAlignment w:val="auto"/>
        <w:outlineLvl w:val="1"/>
        <w:rPr>
          <w:rFonts w:hint="eastAsia" w:asciiTheme="minorEastAsia" w:hAnsiTheme="minorEastAsia" w:eastAsiaTheme="minorEastAsia" w:cstheme="minorEastAsia"/>
          <w:b/>
          <w:bCs/>
          <w:kern w:val="0"/>
          <w:sz w:val="24"/>
          <w:szCs w:val="24"/>
          <w:highlight w:val="none"/>
          <w:lang w:eastAsia="zh-CN"/>
        </w:rPr>
      </w:pPr>
      <w:bookmarkStart w:id="34" w:name="_Toc13949"/>
      <w:r>
        <w:rPr>
          <w:rFonts w:hint="eastAsia" w:asciiTheme="minorEastAsia" w:hAnsiTheme="minorEastAsia" w:eastAsiaTheme="minorEastAsia" w:cstheme="minorEastAsia"/>
          <w:b/>
          <w:bCs/>
          <w:kern w:val="0"/>
          <w:sz w:val="24"/>
          <w:szCs w:val="24"/>
          <w:highlight w:val="none"/>
          <w:lang w:eastAsia="zh-CN"/>
        </w:rPr>
        <w:t>四</w:t>
      </w:r>
      <w:r>
        <w:rPr>
          <w:rFonts w:hint="eastAsia" w:asciiTheme="minorEastAsia" w:hAnsiTheme="minorEastAsia" w:eastAsiaTheme="minorEastAsia" w:cstheme="minorEastAsia"/>
          <w:b/>
          <w:bCs/>
          <w:kern w:val="0"/>
          <w:sz w:val="24"/>
          <w:szCs w:val="24"/>
          <w:highlight w:val="none"/>
        </w:rPr>
        <w:t>、</w:t>
      </w:r>
      <w:bookmarkEnd w:id="26"/>
      <w:bookmarkEnd w:id="28"/>
      <w:r>
        <w:rPr>
          <w:rFonts w:hint="eastAsia" w:asciiTheme="minorEastAsia" w:hAnsiTheme="minorEastAsia" w:eastAsiaTheme="minorEastAsia" w:cstheme="minorEastAsia"/>
          <w:b/>
          <w:bCs/>
          <w:kern w:val="0"/>
          <w:sz w:val="24"/>
          <w:szCs w:val="24"/>
          <w:highlight w:val="none"/>
          <w:lang w:eastAsia="zh-CN"/>
        </w:rPr>
        <w:t>递</w:t>
      </w:r>
      <w:r>
        <w:rPr>
          <w:rFonts w:hint="eastAsia" w:asciiTheme="minorEastAsia" w:hAnsiTheme="minorEastAsia" w:eastAsiaTheme="minorEastAsia" w:cstheme="minorEastAsia"/>
          <w:b/>
          <w:bCs/>
          <w:kern w:val="0"/>
          <w:sz w:val="24"/>
          <w:szCs w:val="24"/>
          <w:highlight w:val="none"/>
        </w:rPr>
        <w:t>交</w:t>
      </w:r>
      <w:r>
        <w:rPr>
          <w:rFonts w:hint="eastAsia" w:asciiTheme="minorEastAsia" w:hAnsiTheme="minorEastAsia" w:eastAsiaTheme="minorEastAsia" w:cstheme="minorEastAsia"/>
          <w:b/>
          <w:bCs/>
          <w:kern w:val="0"/>
          <w:sz w:val="24"/>
          <w:szCs w:val="24"/>
          <w:highlight w:val="none"/>
          <w:lang w:eastAsia="zh-CN"/>
        </w:rPr>
        <w:t>响应文件</w:t>
      </w:r>
      <w:r>
        <w:rPr>
          <w:rFonts w:hint="eastAsia" w:asciiTheme="minorEastAsia" w:hAnsiTheme="minorEastAsia" w:eastAsiaTheme="minorEastAsia" w:cstheme="minorEastAsia"/>
          <w:b/>
          <w:bCs/>
          <w:kern w:val="0"/>
          <w:sz w:val="24"/>
          <w:szCs w:val="24"/>
          <w:highlight w:val="none"/>
        </w:rPr>
        <w:t>截止时间和地点</w:t>
      </w:r>
      <w:bookmarkEnd w:id="29"/>
      <w:bookmarkEnd w:id="30"/>
      <w:bookmarkEnd w:id="31"/>
      <w:bookmarkEnd w:id="34"/>
    </w:p>
    <w:p w14:paraId="3E1830B2">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lang w:val="zh-CN" w:eastAsia="zh-CN"/>
        </w:rPr>
        <w:t>时间：</w:t>
      </w:r>
      <w:r>
        <w:rPr>
          <w:rFonts w:hint="eastAsia" w:asciiTheme="minorEastAsia" w:hAnsiTheme="minorEastAsia" w:eastAsiaTheme="minorEastAsia" w:cstheme="minorEastAsia"/>
          <w:color w:val="auto"/>
          <w:sz w:val="24"/>
          <w:szCs w:val="24"/>
          <w:highlight w:val="none"/>
          <w:shd w:val="clear" w:color="auto" w:fill="FFFFFF"/>
          <w:lang w:val="en-US" w:eastAsia="zh-CN"/>
        </w:rPr>
        <w:t>2025</w:t>
      </w:r>
      <w:r>
        <w:rPr>
          <w:rFonts w:hint="eastAsia" w:asciiTheme="minorEastAsia" w:hAnsiTheme="minorEastAsia" w:eastAsiaTheme="minorEastAsia" w:cstheme="minorEastAsia"/>
          <w:color w:val="auto"/>
          <w:sz w:val="24"/>
          <w:szCs w:val="24"/>
          <w:highlight w:val="none"/>
          <w:shd w:val="clear" w:color="auto" w:fill="FFFFFF"/>
        </w:rPr>
        <w:t>年</w:t>
      </w:r>
      <w:r>
        <w:rPr>
          <w:rFonts w:hint="eastAsia" w:asciiTheme="minorEastAsia" w:hAnsiTheme="minorEastAsia" w:eastAsiaTheme="minorEastAsia" w:cstheme="minorEastAsia"/>
          <w:color w:val="auto"/>
          <w:sz w:val="24"/>
          <w:szCs w:val="24"/>
          <w:highlight w:val="none"/>
          <w:shd w:val="clear" w:color="auto" w:fill="FFFFFF"/>
          <w:lang w:val="en-US" w:eastAsia="zh-CN"/>
        </w:rPr>
        <w:t>09</w:t>
      </w:r>
      <w:r>
        <w:rPr>
          <w:rFonts w:hint="eastAsia" w:asciiTheme="minorEastAsia" w:hAnsiTheme="minorEastAsia" w:eastAsiaTheme="minorEastAsia" w:cstheme="minorEastAsia"/>
          <w:color w:val="auto"/>
          <w:sz w:val="24"/>
          <w:szCs w:val="24"/>
          <w:highlight w:val="none"/>
          <w:shd w:val="clear" w:color="auto" w:fill="FFFFFF"/>
        </w:rPr>
        <w:t>月</w:t>
      </w:r>
      <w:r>
        <w:rPr>
          <w:rFonts w:hint="eastAsia" w:asciiTheme="minorEastAsia" w:hAnsiTheme="minorEastAsia" w:eastAsiaTheme="minorEastAsia" w:cstheme="minorEastAsia"/>
          <w:color w:val="auto"/>
          <w:sz w:val="24"/>
          <w:szCs w:val="24"/>
          <w:highlight w:val="none"/>
          <w:shd w:val="clear" w:color="auto" w:fill="FFFFFF"/>
          <w:lang w:val="en-US" w:eastAsia="zh-CN"/>
        </w:rPr>
        <w:t>01</w:t>
      </w:r>
      <w:r>
        <w:rPr>
          <w:rFonts w:hint="eastAsia" w:asciiTheme="minorEastAsia" w:hAnsiTheme="minorEastAsia" w:eastAsiaTheme="minorEastAsia" w:cstheme="minorEastAsia"/>
          <w:color w:val="auto"/>
          <w:sz w:val="24"/>
          <w:szCs w:val="24"/>
          <w:highlight w:val="none"/>
          <w:shd w:val="clear" w:color="auto" w:fill="FFFFFF"/>
        </w:rPr>
        <w:t>日</w:t>
      </w:r>
      <w:r>
        <w:rPr>
          <w:rFonts w:hint="eastAsia" w:asciiTheme="minorEastAsia" w:hAnsiTheme="minorEastAsia" w:eastAsiaTheme="minorEastAsia" w:cstheme="minorEastAsia"/>
          <w:color w:val="auto"/>
          <w:sz w:val="24"/>
          <w:szCs w:val="24"/>
          <w:highlight w:val="none"/>
          <w:shd w:val="clear" w:color="auto" w:fill="FFFFFF"/>
          <w:lang w:val="en-US" w:eastAsia="zh-CN"/>
        </w:rPr>
        <w:t>14时30分</w:t>
      </w:r>
      <w:r>
        <w:rPr>
          <w:rFonts w:hint="eastAsia" w:asciiTheme="minorEastAsia" w:hAnsiTheme="minorEastAsia" w:eastAsiaTheme="minorEastAsia" w:cstheme="minorEastAsia"/>
          <w:color w:val="auto"/>
          <w:sz w:val="24"/>
          <w:szCs w:val="24"/>
          <w:highlight w:val="none"/>
          <w:shd w:val="clear" w:color="auto" w:fill="FFFFFF"/>
        </w:rPr>
        <w:t>（北京时间</w:t>
      </w:r>
      <w:r>
        <w:rPr>
          <w:rFonts w:hint="eastAsia" w:asciiTheme="minorEastAsia" w:hAnsiTheme="minorEastAsia" w:eastAsiaTheme="minorEastAsia" w:cstheme="minorEastAsia"/>
          <w:color w:val="auto"/>
          <w:sz w:val="24"/>
          <w:szCs w:val="24"/>
          <w:highlight w:val="none"/>
          <w:shd w:val="clear" w:color="auto" w:fill="FFFFFF"/>
          <w:lang w:eastAsia="zh-CN"/>
        </w:rPr>
        <w:t>）；</w:t>
      </w:r>
    </w:p>
    <w:p w14:paraId="4DB6E3A9">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rPr>
          <w:rFonts w:hint="eastAsia" w:ascii="宋体" w:hAnsi="宋体" w:eastAsia="宋体"/>
          <w:sz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lang w:val="zh-CN" w:eastAsia="zh-CN"/>
        </w:rPr>
        <w:t>地点：</w:t>
      </w:r>
      <w:bookmarkStart w:id="35" w:name="_Toc11120"/>
      <w:bookmarkStart w:id="36" w:name="_Toc11755"/>
      <w:bookmarkStart w:id="37" w:name="_Toc21572"/>
      <w:r>
        <w:rPr>
          <w:rFonts w:hint="eastAsia" w:ascii="宋体" w:hAnsi="宋体" w:eastAsia="宋体" w:cs="宋体"/>
          <w:b w:val="0"/>
          <w:bCs w:val="0"/>
          <w:sz w:val="24"/>
          <w:szCs w:val="24"/>
          <w:highlight w:val="none"/>
        </w:rPr>
        <w:t>本次招标为网上交易，</w:t>
      </w:r>
      <w:bookmarkStart w:id="38" w:name="_Toc7310"/>
      <w:bookmarkStart w:id="39" w:name="_Toc14650"/>
      <w:r>
        <w:rPr>
          <w:rFonts w:hint="eastAsia" w:ascii="宋体" w:hAnsi="宋体"/>
          <w:color w:val="auto"/>
          <w:sz w:val="24"/>
          <w:highlight w:val="none"/>
          <w:lang w:eastAsia="zh-CN"/>
        </w:rPr>
        <w:t>供应商</w:t>
      </w:r>
      <w:r>
        <w:rPr>
          <w:rFonts w:hint="eastAsia" w:ascii="宋体" w:hAnsi="宋体" w:eastAsia="宋体"/>
          <w:color w:val="auto"/>
          <w:sz w:val="24"/>
          <w:highlight w:val="none"/>
          <w:lang w:eastAsia="zh-CN"/>
        </w:rPr>
        <w:t>须</w:t>
      </w:r>
      <w:r>
        <w:rPr>
          <w:rFonts w:hint="eastAsia" w:ascii="宋体" w:hAnsi="宋体" w:eastAsia="宋体"/>
          <w:color w:val="auto"/>
          <w:sz w:val="24"/>
          <w:highlight w:val="none"/>
        </w:rPr>
        <w:t>通过</w:t>
      </w:r>
      <w:r>
        <w:rPr>
          <w:rFonts w:hint="eastAsia" w:ascii="宋体" w:hAnsi="宋体" w:cs="宋体"/>
          <w:color w:val="auto"/>
          <w:sz w:val="24"/>
          <w:highlight w:val="none"/>
          <w:shd w:val="clear" w:color="auto" w:fill="FFFFFF"/>
          <w:lang w:val="en-US" w:eastAsia="zh-CN"/>
        </w:rPr>
        <w:t>赢标电子招标采购交易平台菏泽专区（https://hz.fzbidding.com/）</w:t>
      </w:r>
      <w:r>
        <w:rPr>
          <w:rFonts w:hint="eastAsia" w:ascii="宋体" w:hAnsi="宋体" w:eastAsia="宋体"/>
          <w:color w:val="auto"/>
          <w:sz w:val="24"/>
          <w:highlight w:val="none"/>
        </w:rPr>
        <w:t>上传经 CA 加密的电子</w:t>
      </w:r>
      <w:r>
        <w:rPr>
          <w:rFonts w:hint="eastAsia" w:ascii="宋体" w:hAnsi="宋体"/>
          <w:color w:val="auto"/>
          <w:sz w:val="24"/>
          <w:highlight w:val="none"/>
          <w:lang w:eastAsia="zh-CN"/>
        </w:rPr>
        <w:t>响应文件</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逾期未完成上传的</w:t>
      </w:r>
      <w:r>
        <w:rPr>
          <w:rFonts w:hint="eastAsia" w:ascii="宋体" w:hAnsi="宋体"/>
          <w:color w:val="auto"/>
          <w:sz w:val="24"/>
          <w:highlight w:val="none"/>
          <w:lang w:eastAsia="zh-CN"/>
        </w:rPr>
        <w:t>响应文件</w:t>
      </w:r>
      <w:r>
        <w:rPr>
          <w:rFonts w:hint="eastAsia" w:ascii="宋体" w:hAnsi="宋体" w:eastAsia="宋体"/>
          <w:color w:val="auto"/>
          <w:sz w:val="24"/>
          <w:highlight w:val="none"/>
        </w:rPr>
        <w:t>，</w:t>
      </w:r>
      <w:r>
        <w:rPr>
          <w:rFonts w:hint="eastAsia" w:ascii="宋体" w:hAnsi="宋体"/>
          <w:color w:val="auto"/>
          <w:sz w:val="24"/>
          <w:highlight w:val="none"/>
          <w:lang w:eastAsia="zh-CN"/>
        </w:rPr>
        <w:t>采购人</w:t>
      </w:r>
      <w:r>
        <w:rPr>
          <w:rFonts w:hint="eastAsia" w:ascii="宋体" w:hAnsi="宋体" w:eastAsia="宋体"/>
          <w:color w:val="auto"/>
          <w:sz w:val="24"/>
          <w:highlight w:val="none"/>
        </w:rPr>
        <w:t>将拒收。</w:t>
      </w:r>
      <w:bookmarkEnd w:id="38"/>
      <w:bookmarkEnd w:id="39"/>
      <w:bookmarkStart w:id="40" w:name="_Toc22438"/>
      <w:bookmarkStart w:id="41" w:name="_Toc8723"/>
      <w:r>
        <w:rPr>
          <w:rFonts w:hint="eastAsia" w:ascii="宋体" w:hAnsi="宋体" w:eastAsia="宋体"/>
          <w:sz w:val="24"/>
          <w:highlight w:val="none"/>
        </w:rPr>
        <w:t>因未在规定时间内下载</w:t>
      </w:r>
      <w:r>
        <w:rPr>
          <w:rFonts w:hint="eastAsia" w:ascii="宋体" w:hAnsi="宋体"/>
          <w:sz w:val="24"/>
          <w:highlight w:val="none"/>
          <w:lang w:eastAsia="zh-CN"/>
        </w:rPr>
        <w:t>竞争性磋商文件</w:t>
      </w:r>
      <w:r>
        <w:rPr>
          <w:rFonts w:hint="eastAsia" w:ascii="宋体" w:hAnsi="宋体" w:eastAsia="宋体"/>
          <w:sz w:val="24"/>
          <w:highlight w:val="none"/>
        </w:rPr>
        <w:t>，导致无法上传</w:t>
      </w:r>
      <w:r>
        <w:rPr>
          <w:rFonts w:hint="eastAsia" w:ascii="宋体" w:hAnsi="宋体"/>
          <w:sz w:val="24"/>
          <w:highlight w:val="none"/>
          <w:lang w:eastAsia="zh-CN"/>
        </w:rPr>
        <w:t>响应文件</w:t>
      </w:r>
      <w:r>
        <w:rPr>
          <w:rFonts w:hint="eastAsia" w:ascii="宋体" w:hAnsi="宋体" w:eastAsia="宋体"/>
          <w:sz w:val="24"/>
          <w:highlight w:val="none"/>
        </w:rPr>
        <w:t>等后果自负。</w:t>
      </w:r>
      <w:bookmarkEnd w:id="40"/>
      <w:bookmarkEnd w:id="41"/>
      <w:r>
        <w:rPr>
          <w:rFonts w:hint="eastAsia" w:ascii="宋体" w:hAnsi="宋体" w:eastAsia="宋体"/>
          <w:sz w:val="24"/>
          <w:highlight w:val="none"/>
          <w:lang w:val="en-US" w:eastAsia="zh-CN"/>
        </w:rPr>
        <w:t xml:space="preserve"> </w:t>
      </w:r>
    </w:p>
    <w:p w14:paraId="2768E429">
      <w:pPr>
        <w:pStyle w:val="2"/>
        <w:pageBreakBefore w:val="0"/>
        <w:widowControl w:val="0"/>
        <w:kinsoku/>
        <w:wordWrap/>
        <w:overflowPunct/>
        <w:topLinePunct w:val="0"/>
        <w:autoSpaceDE/>
        <w:autoSpaceDN/>
        <w:bidi w:val="0"/>
        <w:adjustRightInd/>
        <w:snapToGrid/>
        <w:spacing w:before="146" w:beforeLines="50" w:after="0" w:line="360" w:lineRule="auto"/>
        <w:ind w:left="0" w:leftChars="0" w:right="0" w:rightChars="0" w:firstLine="482" w:firstLineChars="200"/>
        <w:jc w:val="left"/>
        <w:textAlignment w:val="auto"/>
        <w:outlineLvl w:val="1"/>
        <w:rPr>
          <w:rFonts w:hint="eastAsia" w:asciiTheme="minorEastAsia" w:hAnsiTheme="minorEastAsia" w:eastAsiaTheme="minorEastAsia" w:cstheme="minorEastAsia"/>
          <w:b/>
          <w:bCs/>
          <w:kern w:val="0"/>
          <w:sz w:val="24"/>
          <w:szCs w:val="24"/>
          <w:highlight w:val="none"/>
          <w:lang w:eastAsia="zh-CN"/>
        </w:rPr>
      </w:pPr>
      <w:bookmarkStart w:id="42" w:name="_Toc24978"/>
      <w:bookmarkStart w:id="43" w:name="_Toc132"/>
      <w:bookmarkStart w:id="44" w:name="_Toc32363"/>
      <w:r>
        <w:rPr>
          <w:rFonts w:hint="eastAsia" w:asciiTheme="minorEastAsia" w:hAnsiTheme="minorEastAsia" w:eastAsiaTheme="minorEastAsia" w:cstheme="minorEastAsia"/>
          <w:b/>
          <w:bCs/>
          <w:kern w:val="0"/>
          <w:sz w:val="24"/>
          <w:szCs w:val="24"/>
          <w:highlight w:val="none"/>
          <w:lang w:eastAsia="zh-CN"/>
        </w:rPr>
        <w:t>五、开标时间和地点</w:t>
      </w:r>
      <w:bookmarkEnd w:id="42"/>
      <w:bookmarkEnd w:id="43"/>
      <w:bookmarkEnd w:id="44"/>
    </w:p>
    <w:p w14:paraId="32B44885">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lang w:val="zh-CN" w:eastAsia="zh-CN"/>
        </w:rPr>
        <w:t>时间：</w:t>
      </w:r>
      <w:r>
        <w:rPr>
          <w:rFonts w:hint="eastAsia" w:asciiTheme="minorEastAsia" w:hAnsiTheme="minorEastAsia" w:eastAsiaTheme="minorEastAsia" w:cstheme="minorEastAsia"/>
          <w:color w:val="auto"/>
          <w:sz w:val="24"/>
          <w:szCs w:val="24"/>
          <w:highlight w:val="none"/>
          <w:shd w:val="clear" w:color="auto" w:fill="FFFFFF"/>
          <w:lang w:val="en-US" w:eastAsia="zh-CN"/>
        </w:rPr>
        <w:t>2025</w:t>
      </w:r>
      <w:r>
        <w:rPr>
          <w:rFonts w:hint="eastAsia" w:asciiTheme="minorEastAsia" w:hAnsiTheme="minorEastAsia" w:eastAsiaTheme="minorEastAsia" w:cstheme="minorEastAsia"/>
          <w:color w:val="auto"/>
          <w:sz w:val="24"/>
          <w:szCs w:val="24"/>
          <w:highlight w:val="none"/>
          <w:shd w:val="clear" w:color="auto" w:fill="FFFFFF"/>
        </w:rPr>
        <w:t>年</w:t>
      </w:r>
      <w:r>
        <w:rPr>
          <w:rFonts w:hint="eastAsia" w:asciiTheme="minorEastAsia" w:hAnsiTheme="minorEastAsia" w:eastAsiaTheme="minorEastAsia" w:cstheme="minorEastAsia"/>
          <w:color w:val="auto"/>
          <w:sz w:val="24"/>
          <w:szCs w:val="24"/>
          <w:highlight w:val="none"/>
          <w:shd w:val="clear" w:color="auto" w:fill="FFFFFF"/>
          <w:lang w:val="en-US" w:eastAsia="zh-CN"/>
        </w:rPr>
        <w:t>09</w:t>
      </w:r>
      <w:r>
        <w:rPr>
          <w:rFonts w:hint="eastAsia" w:asciiTheme="minorEastAsia" w:hAnsiTheme="minorEastAsia" w:eastAsiaTheme="minorEastAsia" w:cstheme="minorEastAsia"/>
          <w:color w:val="auto"/>
          <w:sz w:val="24"/>
          <w:szCs w:val="24"/>
          <w:highlight w:val="none"/>
          <w:shd w:val="clear" w:color="auto" w:fill="FFFFFF"/>
        </w:rPr>
        <w:t>月</w:t>
      </w:r>
      <w:r>
        <w:rPr>
          <w:rFonts w:hint="eastAsia" w:asciiTheme="minorEastAsia" w:hAnsiTheme="minorEastAsia" w:eastAsiaTheme="minorEastAsia" w:cstheme="minorEastAsia"/>
          <w:color w:val="auto"/>
          <w:sz w:val="24"/>
          <w:szCs w:val="24"/>
          <w:highlight w:val="none"/>
          <w:shd w:val="clear" w:color="auto" w:fill="FFFFFF"/>
          <w:lang w:val="en-US" w:eastAsia="zh-CN"/>
        </w:rPr>
        <w:t>01</w:t>
      </w:r>
      <w:r>
        <w:rPr>
          <w:rFonts w:hint="eastAsia" w:asciiTheme="minorEastAsia" w:hAnsiTheme="minorEastAsia" w:eastAsiaTheme="minorEastAsia" w:cstheme="minorEastAsia"/>
          <w:color w:val="auto"/>
          <w:sz w:val="24"/>
          <w:szCs w:val="24"/>
          <w:highlight w:val="none"/>
          <w:shd w:val="clear" w:color="auto" w:fill="FFFFFF"/>
        </w:rPr>
        <w:t>日</w:t>
      </w:r>
      <w:r>
        <w:rPr>
          <w:rFonts w:hint="eastAsia" w:asciiTheme="minorEastAsia" w:hAnsiTheme="minorEastAsia" w:eastAsiaTheme="minorEastAsia" w:cstheme="minorEastAsia"/>
          <w:color w:val="auto"/>
          <w:sz w:val="24"/>
          <w:szCs w:val="24"/>
          <w:highlight w:val="none"/>
          <w:shd w:val="clear" w:color="auto" w:fill="FFFFFF"/>
          <w:lang w:val="en-US" w:eastAsia="zh-CN"/>
        </w:rPr>
        <w:t>14时30分</w:t>
      </w:r>
      <w:r>
        <w:rPr>
          <w:rFonts w:hint="eastAsia" w:asciiTheme="minorEastAsia" w:hAnsiTheme="minorEastAsia" w:eastAsiaTheme="minorEastAsia" w:cstheme="minorEastAsia"/>
          <w:color w:val="auto"/>
          <w:sz w:val="24"/>
          <w:szCs w:val="24"/>
          <w:highlight w:val="none"/>
          <w:shd w:val="clear" w:color="auto" w:fill="FFFFFF"/>
        </w:rPr>
        <w:t>（北京时间</w:t>
      </w:r>
      <w:r>
        <w:rPr>
          <w:rFonts w:hint="eastAsia" w:asciiTheme="minorEastAsia" w:hAnsiTheme="minorEastAsia" w:eastAsiaTheme="minorEastAsia" w:cstheme="minorEastAsia"/>
          <w:color w:val="auto"/>
          <w:sz w:val="24"/>
          <w:szCs w:val="24"/>
          <w:highlight w:val="none"/>
          <w:shd w:val="clear" w:color="auto" w:fill="FFFFFF"/>
          <w:lang w:eastAsia="zh-CN"/>
        </w:rPr>
        <w:t>）；</w:t>
      </w:r>
    </w:p>
    <w:p w14:paraId="07D27279">
      <w:pPr>
        <w:keepNext w:val="0"/>
        <w:keepLines w:val="0"/>
        <w:pageBreakBefore w:val="0"/>
        <w:kinsoku/>
        <w:wordWrap/>
        <w:overflowPunct/>
        <w:topLinePunct w:val="0"/>
        <w:autoSpaceDE/>
        <w:autoSpaceDN/>
        <w:bidi w:val="0"/>
        <w:adjustRightInd/>
        <w:snapToGrid/>
        <w:spacing w:before="146" w:beforeLines="50" w:beforeAutospacing="0" w:after="0" w:afterAutospacing="0" w:line="360" w:lineRule="auto"/>
        <w:ind w:leftChars="0" w:right="0" w:rightChars="0" w:firstLine="480" w:firstLineChars="200"/>
        <w:jc w:val="left"/>
        <w:textAlignment w:val="auto"/>
        <w:rPr>
          <w:rFonts w:hint="eastAsia"/>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lang w:val="zh-CN" w:eastAsia="zh-CN"/>
        </w:rPr>
        <w:t>地点：</w:t>
      </w:r>
      <w:r>
        <w:rPr>
          <w:rFonts w:hint="eastAsia" w:ascii="宋体" w:hAnsi="宋体" w:eastAsia="宋体"/>
          <w:sz w:val="24"/>
          <w:highlight w:val="none"/>
          <w:lang w:val="en-US" w:eastAsia="zh-CN"/>
        </w:rPr>
        <w:t>本项目实行不见面开标，不接受</w:t>
      </w:r>
      <w:r>
        <w:rPr>
          <w:rFonts w:hint="eastAsia" w:ascii="宋体" w:hAnsi="宋体"/>
          <w:sz w:val="24"/>
          <w:highlight w:val="none"/>
          <w:lang w:val="en-US" w:eastAsia="zh-CN"/>
        </w:rPr>
        <w:t>供应商</w:t>
      </w:r>
      <w:r>
        <w:rPr>
          <w:rFonts w:hint="eastAsia" w:ascii="宋体" w:hAnsi="宋体" w:eastAsia="宋体"/>
          <w:sz w:val="24"/>
          <w:highlight w:val="none"/>
          <w:lang w:val="en-US" w:eastAsia="zh-CN"/>
        </w:rPr>
        <w:t>来现场开标。</w:t>
      </w:r>
      <w:r>
        <w:rPr>
          <w:rFonts w:hint="eastAsia" w:ascii="宋体" w:hAnsi="宋体"/>
          <w:sz w:val="24"/>
          <w:highlight w:val="none"/>
          <w:lang w:val="en-US" w:eastAsia="zh-CN"/>
        </w:rPr>
        <w:t>供应商</w:t>
      </w:r>
      <w:r>
        <w:rPr>
          <w:rFonts w:hint="eastAsia" w:ascii="宋体" w:hAnsi="宋体" w:eastAsia="宋体"/>
          <w:sz w:val="24"/>
          <w:highlight w:val="none"/>
          <w:lang w:val="en-US" w:eastAsia="zh-CN"/>
        </w:rPr>
        <w:t>应当按照</w:t>
      </w:r>
      <w:r>
        <w:rPr>
          <w:rFonts w:hint="eastAsia" w:ascii="宋体" w:hAnsi="宋体"/>
          <w:sz w:val="24"/>
          <w:highlight w:val="none"/>
          <w:lang w:val="en-US" w:eastAsia="zh-CN"/>
        </w:rPr>
        <w:t>竞争性磋商文件</w:t>
      </w:r>
      <w:r>
        <w:rPr>
          <w:rFonts w:hint="eastAsia" w:ascii="宋体" w:hAnsi="宋体" w:eastAsia="宋体"/>
          <w:sz w:val="24"/>
          <w:highlight w:val="none"/>
          <w:lang w:val="en-US" w:eastAsia="zh-CN"/>
        </w:rPr>
        <w:t>要求，准时于线上开标大厅参加开标活动，并使用CA在规定的时间内自行完成解密。若</w:t>
      </w:r>
      <w:r>
        <w:rPr>
          <w:rFonts w:hint="eastAsia" w:ascii="宋体" w:hAnsi="宋体"/>
          <w:sz w:val="24"/>
          <w:highlight w:val="none"/>
          <w:lang w:val="en-US" w:eastAsia="zh-CN"/>
        </w:rPr>
        <w:t>供应商</w:t>
      </w:r>
      <w:r>
        <w:rPr>
          <w:rFonts w:hint="eastAsia" w:ascii="宋体" w:hAnsi="宋体" w:eastAsia="宋体"/>
          <w:sz w:val="24"/>
          <w:highlight w:val="none"/>
          <w:lang w:val="en-US" w:eastAsia="zh-CN"/>
        </w:rPr>
        <w:t>在规定时间内未完成电子</w:t>
      </w:r>
      <w:r>
        <w:rPr>
          <w:rFonts w:hint="eastAsia" w:ascii="宋体" w:hAnsi="宋体"/>
          <w:sz w:val="24"/>
          <w:highlight w:val="none"/>
          <w:lang w:val="en-US" w:eastAsia="zh-CN"/>
        </w:rPr>
        <w:t>响应文件</w:t>
      </w:r>
      <w:r>
        <w:rPr>
          <w:rFonts w:hint="eastAsia" w:ascii="宋体" w:hAnsi="宋体" w:eastAsia="宋体"/>
          <w:sz w:val="24"/>
          <w:highlight w:val="none"/>
          <w:lang w:val="en-US" w:eastAsia="zh-CN"/>
        </w:rPr>
        <w:t>解密操作，视为放弃该项目投标。</w:t>
      </w:r>
      <w:r>
        <w:rPr>
          <w:rFonts w:hint="eastAsia" w:ascii="宋体" w:hAnsi="宋体"/>
          <w:sz w:val="24"/>
          <w:highlight w:val="none"/>
          <w:lang w:val="en-US" w:eastAsia="zh-CN"/>
        </w:rPr>
        <w:t>供应商</w:t>
      </w:r>
      <w:r>
        <w:rPr>
          <w:rFonts w:hint="eastAsia" w:ascii="宋体" w:hAnsi="宋体" w:eastAsia="宋体"/>
          <w:sz w:val="24"/>
          <w:highlight w:val="none"/>
          <w:lang w:val="en-US" w:eastAsia="zh-CN"/>
        </w:rPr>
        <w:t>应提前做好有关设施、设备配置安装工作，确保自己的电脑环境、CA锁、网络等状况良好，以免影响其参与招标活动。因</w:t>
      </w:r>
      <w:r>
        <w:rPr>
          <w:rFonts w:hint="eastAsia" w:ascii="宋体" w:hAnsi="宋体"/>
          <w:sz w:val="24"/>
          <w:highlight w:val="none"/>
          <w:lang w:val="en-US" w:eastAsia="zh-CN"/>
        </w:rPr>
        <w:t>供应商</w:t>
      </w:r>
      <w:r>
        <w:rPr>
          <w:rFonts w:hint="eastAsia" w:ascii="宋体" w:hAnsi="宋体" w:eastAsia="宋体"/>
          <w:sz w:val="24"/>
          <w:highlight w:val="none"/>
          <w:lang w:val="en-US" w:eastAsia="zh-CN"/>
        </w:rPr>
        <w:t>自身软硬件配备不齐全或发生故障等问题而导致在交互过程中出现不稳定或中断等情况的，由</w:t>
      </w:r>
      <w:r>
        <w:rPr>
          <w:rFonts w:hint="eastAsia" w:ascii="宋体" w:hAnsi="宋体"/>
          <w:sz w:val="24"/>
          <w:highlight w:val="none"/>
          <w:lang w:val="en-US" w:eastAsia="zh-CN"/>
        </w:rPr>
        <w:t>供应商</w:t>
      </w:r>
      <w:r>
        <w:rPr>
          <w:rFonts w:hint="eastAsia" w:ascii="宋体" w:hAnsi="宋体" w:eastAsia="宋体"/>
          <w:sz w:val="24"/>
          <w:highlight w:val="none"/>
          <w:lang w:val="en-US" w:eastAsia="zh-CN"/>
        </w:rPr>
        <w:t>自身承担一切后果。</w:t>
      </w:r>
    </w:p>
    <w:p w14:paraId="7AD5F667">
      <w:pPr>
        <w:pStyle w:val="2"/>
        <w:pageBreakBefore w:val="0"/>
        <w:widowControl w:val="0"/>
        <w:kinsoku/>
        <w:wordWrap/>
        <w:overflowPunct/>
        <w:topLinePunct w:val="0"/>
        <w:autoSpaceDE/>
        <w:autoSpaceDN/>
        <w:bidi w:val="0"/>
        <w:adjustRightInd/>
        <w:snapToGrid/>
        <w:spacing w:before="146" w:beforeLines="50" w:after="0" w:line="360" w:lineRule="auto"/>
        <w:ind w:left="0" w:leftChars="0" w:right="0" w:rightChars="0" w:firstLine="482" w:firstLineChars="200"/>
        <w:jc w:val="left"/>
        <w:textAlignment w:val="auto"/>
        <w:outlineLvl w:val="1"/>
        <w:rPr>
          <w:rFonts w:hint="eastAsia" w:asciiTheme="minorEastAsia" w:hAnsiTheme="minorEastAsia" w:eastAsiaTheme="minorEastAsia" w:cstheme="minorEastAsia"/>
          <w:b w:val="0"/>
          <w:bCs w:val="0"/>
          <w:kern w:val="0"/>
          <w:sz w:val="24"/>
          <w:szCs w:val="24"/>
          <w:highlight w:val="none"/>
          <w:lang w:eastAsia="zh-CN"/>
        </w:rPr>
      </w:pPr>
      <w:bookmarkStart w:id="45" w:name="_Toc997"/>
      <w:bookmarkStart w:id="46" w:name="_Toc8183"/>
      <w:bookmarkStart w:id="47" w:name="_Toc19176"/>
      <w:r>
        <w:rPr>
          <w:rFonts w:hint="eastAsia" w:asciiTheme="minorEastAsia" w:hAnsiTheme="minorEastAsia" w:eastAsiaTheme="minorEastAsia" w:cstheme="minorEastAsia"/>
          <w:b/>
          <w:bCs/>
          <w:kern w:val="0"/>
          <w:sz w:val="24"/>
          <w:szCs w:val="24"/>
          <w:highlight w:val="none"/>
          <w:lang w:eastAsia="zh-CN"/>
        </w:rPr>
        <w:t>六、公告期限</w:t>
      </w:r>
      <w:r>
        <w:rPr>
          <w:rFonts w:hint="eastAsia" w:asciiTheme="minorEastAsia" w:hAnsiTheme="minorEastAsia" w:eastAsiaTheme="minorEastAsia" w:cstheme="minorEastAsia"/>
          <w:b w:val="0"/>
          <w:bCs w:val="0"/>
          <w:kern w:val="0"/>
          <w:sz w:val="24"/>
          <w:szCs w:val="24"/>
          <w:highlight w:val="none"/>
          <w:lang w:eastAsia="zh-CN"/>
        </w:rPr>
        <w:t>：</w:t>
      </w:r>
      <w:bookmarkEnd w:id="35"/>
      <w:bookmarkEnd w:id="36"/>
      <w:r>
        <w:rPr>
          <w:rFonts w:hint="eastAsia" w:asciiTheme="minorEastAsia" w:hAnsiTheme="minorEastAsia" w:eastAsiaTheme="minorEastAsia" w:cstheme="minorEastAsia"/>
          <w:b w:val="0"/>
          <w:bCs w:val="0"/>
          <w:kern w:val="0"/>
          <w:sz w:val="24"/>
          <w:szCs w:val="24"/>
          <w:highlight w:val="none"/>
          <w:lang w:eastAsia="zh-CN"/>
        </w:rPr>
        <w:t>自本公告发布之日起</w:t>
      </w:r>
      <w:r>
        <w:rPr>
          <w:rFonts w:hint="eastAsia" w:asciiTheme="minorEastAsia" w:hAnsiTheme="minorEastAsia" w:eastAsiaTheme="minorEastAsia" w:cstheme="minorEastAsia"/>
          <w:b w:val="0"/>
          <w:bCs w:val="0"/>
          <w:kern w:val="0"/>
          <w:sz w:val="24"/>
          <w:szCs w:val="24"/>
          <w:highlight w:val="none"/>
          <w:lang w:val="en-US" w:eastAsia="zh-CN"/>
        </w:rPr>
        <w:t>3</w:t>
      </w:r>
      <w:r>
        <w:rPr>
          <w:rFonts w:hint="eastAsia" w:asciiTheme="minorEastAsia" w:hAnsiTheme="minorEastAsia" w:eastAsiaTheme="minorEastAsia" w:cstheme="minorEastAsia"/>
          <w:b w:val="0"/>
          <w:bCs w:val="0"/>
          <w:kern w:val="0"/>
          <w:sz w:val="24"/>
          <w:szCs w:val="24"/>
          <w:highlight w:val="none"/>
          <w:lang w:eastAsia="zh-CN"/>
        </w:rPr>
        <w:t>个工作日</w:t>
      </w:r>
      <w:bookmarkEnd w:id="37"/>
      <w:bookmarkEnd w:id="45"/>
      <w:bookmarkEnd w:id="46"/>
      <w:r>
        <w:rPr>
          <w:rFonts w:hint="eastAsia" w:asciiTheme="minorEastAsia" w:hAnsiTheme="minorEastAsia" w:eastAsiaTheme="minorEastAsia" w:cstheme="minorEastAsia"/>
          <w:b w:val="0"/>
          <w:bCs w:val="0"/>
          <w:kern w:val="0"/>
          <w:sz w:val="24"/>
          <w:szCs w:val="24"/>
          <w:highlight w:val="none"/>
          <w:lang w:eastAsia="zh-CN"/>
        </w:rPr>
        <w:t>。</w:t>
      </w:r>
      <w:bookmarkEnd w:id="47"/>
    </w:p>
    <w:p w14:paraId="1037A4CF">
      <w:pPr>
        <w:pStyle w:val="2"/>
        <w:pageBreakBefore w:val="0"/>
        <w:widowControl w:val="0"/>
        <w:kinsoku/>
        <w:wordWrap/>
        <w:overflowPunct/>
        <w:topLinePunct w:val="0"/>
        <w:autoSpaceDE/>
        <w:autoSpaceDN/>
        <w:bidi w:val="0"/>
        <w:adjustRightInd/>
        <w:snapToGrid/>
        <w:spacing w:before="146" w:beforeLines="50" w:after="0" w:line="360" w:lineRule="auto"/>
        <w:ind w:left="0" w:leftChars="0" w:right="0" w:rightChars="0" w:firstLine="482" w:firstLineChars="200"/>
        <w:jc w:val="left"/>
        <w:textAlignment w:val="auto"/>
        <w:outlineLvl w:val="1"/>
        <w:rPr>
          <w:rFonts w:hint="eastAsia" w:asciiTheme="minorEastAsia" w:hAnsiTheme="minorEastAsia" w:eastAsiaTheme="minorEastAsia" w:cstheme="minorEastAsia"/>
          <w:b/>
          <w:bCs/>
          <w:kern w:val="0"/>
          <w:sz w:val="24"/>
          <w:szCs w:val="24"/>
          <w:highlight w:val="none"/>
          <w:lang w:eastAsia="zh-CN"/>
        </w:rPr>
      </w:pPr>
      <w:bookmarkStart w:id="48" w:name="_Toc18798"/>
      <w:bookmarkStart w:id="49" w:name="_Toc559"/>
      <w:r>
        <w:rPr>
          <w:rFonts w:hint="eastAsia" w:asciiTheme="minorEastAsia" w:hAnsiTheme="minorEastAsia" w:eastAsiaTheme="minorEastAsia" w:cstheme="minorEastAsia"/>
          <w:b/>
          <w:bCs/>
          <w:kern w:val="0"/>
          <w:sz w:val="24"/>
          <w:szCs w:val="24"/>
          <w:highlight w:val="none"/>
          <w:lang w:eastAsia="zh-CN"/>
        </w:rPr>
        <w:t>七、</w:t>
      </w:r>
      <w:bookmarkEnd w:id="48"/>
      <w:bookmarkEnd w:id="49"/>
      <w:r>
        <w:rPr>
          <w:rFonts w:hint="eastAsia" w:asciiTheme="minorEastAsia" w:hAnsiTheme="minorEastAsia" w:eastAsiaTheme="minorEastAsia" w:cstheme="minorEastAsia"/>
          <w:b/>
          <w:bCs/>
          <w:kern w:val="0"/>
          <w:sz w:val="24"/>
          <w:szCs w:val="24"/>
          <w:highlight w:val="none"/>
          <w:lang w:eastAsia="zh-CN"/>
        </w:rPr>
        <w:t>其他补充事宜：</w:t>
      </w:r>
    </w:p>
    <w:p w14:paraId="49FED033">
      <w:pPr>
        <w:pageBreakBefore w:val="0"/>
        <w:widowControl w:val="0"/>
        <w:kinsoku/>
        <w:wordWrap/>
        <w:overflowPunct/>
        <w:topLinePunct w:val="0"/>
        <w:autoSpaceDE/>
        <w:autoSpaceDN/>
        <w:bidi w:val="0"/>
        <w:adjustRightInd/>
        <w:snapToGrid/>
        <w:spacing w:before="146" w:beforeLines="50" w:beforeAutospacing="0" w:afterAutospacing="0" w:line="360" w:lineRule="auto"/>
        <w:ind w:left="0" w:leftChars="0" w:right="0" w:rightChars="0" w:firstLine="480" w:firstLineChars="200"/>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1、</w:t>
      </w:r>
      <w:r>
        <w:rPr>
          <w:rFonts w:hint="eastAsia" w:asciiTheme="minorEastAsia" w:hAnsiTheme="minorEastAsia" w:eastAsiaTheme="minorEastAsia" w:cstheme="minorEastAsia"/>
          <w:b w:val="0"/>
          <w:bCs w:val="0"/>
          <w:sz w:val="24"/>
          <w:szCs w:val="24"/>
          <w:highlight w:val="none"/>
        </w:rPr>
        <w:t>发布公告的媒介：本次</w:t>
      </w:r>
      <w:r>
        <w:rPr>
          <w:rFonts w:hint="eastAsia" w:asciiTheme="minorEastAsia" w:hAnsiTheme="minorEastAsia" w:eastAsiaTheme="minorEastAsia" w:cstheme="minorEastAsia"/>
          <w:b w:val="0"/>
          <w:bCs w:val="0"/>
          <w:sz w:val="24"/>
          <w:szCs w:val="24"/>
          <w:highlight w:val="none"/>
          <w:lang w:eastAsia="zh-CN"/>
        </w:rPr>
        <w:t>竞争性磋商公告</w:t>
      </w:r>
      <w:r>
        <w:rPr>
          <w:rFonts w:hint="eastAsia" w:asciiTheme="minorEastAsia" w:hAnsiTheme="minorEastAsia" w:eastAsiaTheme="minorEastAsia" w:cstheme="minorEastAsia"/>
          <w:b w:val="0"/>
          <w:bCs w:val="0"/>
          <w:sz w:val="24"/>
          <w:szCs w:val="24"/>
          <w:highlight w:val="none"/>
        </w:rPr>
        <w:t>在</w:t>
      </w:r>
      <w:r>
        <w:rPr>
          <w:rFonts w:hint="eastAsia" w:asciiTheme="minorEastAsia" w:hAnsiTheme="minorEastAsia" w:eastAsiaTheme="minorEastAsia" w:cstheme="minorEastAsia"/>
          <w:color w:val="auto"/>
          <w:kern w:val="2"/>
          <w:sz w:val="24"/>
          <w:szCs w:val="24"/>
          <w:highlight w:val="none"/>
          <w:shd w:val="clear" w:color="auto" w:fill="FFFFFF"/>
          <w:lang w:val="en-US" w:eastAsia="zh-CN" w:bidi="ar-SA"/>
        </w:rPr>
        <w:t>山东省政府采购信息公开平台</w:t>
      </w:r>
      <w:r>
        <w:rPr>
          <w:rFonts w:hint="eastAsia" w:asciiTheme="minorEastAsia" w:hAnsiTheme="minorEastAsia" w:eastAsiaTheme="minorEastAsia" w:cstheme="minorEastAsia"/>
          <w:color w:val="auto"/>
          <w:sz w:val="24"/>
          <w:szCs w:val="24"/>
          <w:highlight w:val="none"/>
          <w:shd w:val="clear" w:color="auto" w:fill="FFFFFF"/>
          <w:lang w:eastAsia="zh-CN"/>
        </w:rPr>
        <w:t>、赢标电子招标采购交易平台菏泽专区</w:t>
      </w:r>
      <w:r>
        <w:rPr>
          <w:rFonts w:hint="eastAsia" w:asciiTheme="minorEastAsia" w:hAnsiTheme="minorEastAsia" w:eastAsiaTheme="minorEastAsia" w:cstheme="minorEastAsia"/>
          <w:b w:val="0"/>
          <w:bCs w:val="0"/>
          <w:sz w:val="24"/>
          <w:szCs w:val="24"/>
          <w:highlight w:val="none"/>
        </w:rPr>
        <w:t>发布。</w:t>
      </w:r>
    </w:p>
    <w:p w14:paraId="0747624F">
      <w:pPr>
        <w:pageBreakBefore w:val="0"/>
        <w:widowControl w:val="0"/>
        <w:kinsoku/>
        <w:wordWrap/>
        <w:overflowPunct/>
        <w:topLinePunct w:val="0"/>
        <w:autoSpaceDE/>
        <w:autoSpaceDN/>
        <w:bidi w:val="0"/>
        <w:adjustRightInd/>
        <w:snapToGrid/>
        <w:spacing w:before="146" w:beforeLines="50" w:beforeAutospacing="0" w:afterAutospacing="0" w:line="360" w:lineRule="auto"/>
        <w:ind w:left="0" w:leftChars="0" w:right="0" w:rightChars="0" w:firstLine="480" w:firstLineChars="200"/>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rPr>
        <w:t>接收质疑的方式按照法规规定在有效期内提交合格的质疑函（原件扫描件）到sdhpxmgl3659@163.com，并电话告知：</w:t>
      </w:r>
      <w:r>
        <w:rPr>
          <w:rFonts w:hint="eastAsia" w:asciiTheme="minorEastAsia" w:hAnsiTheme="minorEastAsia" w:eastAsiaTheme="minorEastAsia" w:cstheme="minorEastAsia"/>
          <w:b w:val="0"/>
          <w:bCs w:val="0"/>
          <w:sz w:val="24"/>
          <w:szCs w:val="24"/>
          <w:highlight w:val="none"/>
          <w:lang w:val="en-US" w:eastAsia="zh-CN"/>
        </w:rPr>
        <w:t>17852007052</w:t>
      </w:r>
      <w:r>
        <w:rPr>
          <w:rFonts w:hint="eastAsia" w:asciiTheme="minorEastAsia" w:hAnsiTheme="minorEastAsia" w:eastAsiaTheme="minorEastAsia" w:cstheme="minorEastAsia"/>
          <w:b w:val="0"/>
          <w:bCs w:val="0"/>
          <w:sz w:val="24"/>
          <w:szCs w:val="24"/>
          <w:highlight w:val="none"/>
        </w:rPr>
        <w:t>。</w:t>
      </w:r>
      <w:bookmarkStart w:id="50" w:name="_Toc27723"/>
      <w:bookmarkStart w:id="51" w:name="_Toc27383"/>
    </w:p>
    <w:p w14:paraId="39A3FF9D">
      <w:pPr>
        <w:pStyle w:val="2"/>
        <w:pageBreakBefore w:val="0"/>
        <w:widowControl w:val="0"/>
        <w:kinsoku/>
        <w:wordWrap/>
        <w:overflowPunct/>
        <w:topLinePunct w:val="0"/>
        <w:autoSpaceDE/>
        <w:autoSpaceDN/>
        <w:bidi w:val="0"/>
        <w:adjustRightInd/>
        <w:snapToGrid/>
        <w:spacing w:before="146" w:beforeLines="50" w:after="0" w:line="360" w:lineRule="auto"/>
        <w:ind w:left="0" w:leftChars="0" w:right="0" w:rightChars="0" w:firstLine="482" w:firstLineChars="200"/>
        <w:jc w:val="left"/>
        <w:textAlignment w:val="auto"/>
        <w:outlineLvl w:val="1"/>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八、对本次采购提出询问，请按以下方式联系：</w:t>
      </w:r>
    </w:p>
    <w:p w14:paraId="59F91A04">
      <w:pPr>
        <w:pageBreakBefore w:val="0"/>
        <w:widowControl w:val="0"/>
        <w:kinsoku/>
        <w:wordWrap/>
        <w:overflowPunct/>
        <w:topLinePunct w:val="0"/>
        <w:autoSpaceDE/>
        <w:autoSpaceDN/>
        <w:bidi w:val="0"/>
        <w:adjustRightInd/>
        <w:snapToGrid/>
        <w:spacing w:before="146" w:beforeLines="50" w:beforeAutospacing="0" w:afterAutospacing="0" w:line="360" w:lineRule="auto"/>
        <w:ind w:left="0" w:leftChars="0" w:right="0" w:rightChars="0"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1、</w:t>
      </w:r>
      <w:r>
        <w:rPr>
          <w:rFonts w:hint="eastAsia" w:asciiTheme="minorEastAsia" w:hAnsiTheme="minorEastAsia" w:eastAsiaTheme="minorEastAsia" w:cstheme="minorEastAsia"/>
          <w:b w:val="0"/>
          <w:bCs w:val="0"/>
          <w:sz w:val="24"/>
          <w:szCs w:val="24"/>
          <w:highlight w:val="none"/>
          <w:lang w:eastAsia="zh-CN"/>
        </w:rPr>
        <w:t>采购人信息</w:t>
      </w:r>
    </w:p>
    <w:p w14:paraId="4F1C6FA5">
      <w:pPr>
        <w:pageBreakBefore w:val="0"/>
        <w:widowControl w:val="0"/>
        <w:kinsoku/>
        <w:wordWrap/>
        <w:overflowPunct/>
        <w:topLinePunct w:val="0"/>
        <w:autoSpaceDE/>
        <w:autoSpaceDN/>
        <w:bidi w:val="0"/>
        <w:adjustRightInd/>
        <w:snapToGrid/>
        <w:spacing w:before="146" w:beforeLines="50" w:beforeAutospacing="0" w:afterAutospacing="0" w:line="360" w:lineRule="auto"/>
        <w:ind w:left="0" w:leftChars="0" w:right="0" w:rightChars="0" w:firstLine="480" w:firstLineChars="200"/>
        <w:jc w:val="left"/>
        <w:textAlignment w:val="auto"/>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采购人：</w:t>
      </w:r>
      <w:bookmarkEnd w:id="50"/>
      <w:bookmarkEnd w:id="51"/>
      <w:r>
        <w:rPr>
          <w:rFonts w:hint="eastAsia" w:ascii="宋体" w:hAnsi="宋体" w:cs="宋体"/>
          <w:b w:val="0"/>
          <w:bCs w:val="0"/>
          <w:kern w:val="0"/>
          <w:sz w:val="24"/>
          <w:highlight w:val="none"/>
          <w:lang w:val="en-US" w:eastAsia="zh-CN"/>
        </w:rPr>
        <w:t>菏泽市立医院</w:t>
      </w:r>
      <w:r>
        <w:rPr>
          <w:rFonts w:hint="eastAsia" w:ascii="宋体" w:hAnsi="宋体" w:cs="宋体"/>
          <w:b w:val="0"/>
          <w:bCs w:val="0"/>
          <w:kern w:val="0"/>
          <w:sz w:val="24"/>
          <w:highlight w:val="none"/>
          <w:lang w:val="en-US" w:eastAsia="zh-CN"/>
        </w:rPr>
        <w:tab/>
      </w:r>
      <w:r>
        <w:rPr>
          <w:rFonts w:hint="eastAsia" w:ascii="宋体" w:hAnsi="宋体" w:cs="宋体"/>
          <w:b w:val="0"/>
          <w:bCs w:val="0"/>
          <w:kern w:val="0"/>
          <w:sz w:val="24"/>
          <w:highlight w:val="none"/>
          <w:lang w:val="en-US" w:eastAsia="zh-CN"/>
        </w:rPr>
        <w:t xml:space="preserve">              </w:t>
      </w:r>
    </w:p>
    <w:p w14:paraId="42758943">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宋体" w:hAnsi="宋体" w:cs="宋体"/>
          <w:b w:val="0"/>
          <w:bCs w:val="0"/>
          <w:kern w:val="0"/>
          <w:sz w:val="24"/>
          <w:highlight w:val="none"/>
          <w:lang w:val="en-US" w:eastAsia="zh-CN"/>
        </w:rPr>
      </w:pPr>
      <w:bookmarkStart w:id="52" w:name="_Toc6831"/>
      <w:r>
        <w:rPr>
          <w:rFonts w:hint="eastAsia" w:ascii="宋体" w:hAnsi="宋体" w:cs="宋体"/>
          <w:b w:val="0"/>
          <w:bCs w:val="0"/>
          <w:kern w:val="0"/>
          <w:sz w:val="24"/>
          <w:highlight w:val="none"/>
          <w:lang w:val="en-US" w:eastAsia="zh-CN"/>
        </w:rPr>
        <w:t>地址：菏泽市曹州路2888号  </w:t>
      </w:r>
      <w:bookmarkEnd w:id="52"/>
      <w:r>
        <w:rPr>
          <w:rFonts w:hint="eastAsia" w:ascii="宋体" w:hAnsi="宋体" w:cs="宋体"/>
          <w:b w:val="0"/>
          <w:bCs w:val="0"/>
          <w:kern w:val="0"/>
          <w:sz w:val="24"/>
          <w:highlight w:val="none"/>
          <w:lang w:val="en-US" w:eastAsia="zh-CN"/>
        </w:rPr>
        <w:t xml:space="preserve">       </w:t>
      </w:r>
    </w:p>
    <w:p w14:paraId="4903C853">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default" w:ascii="宋体" w:hAnsi="宋体" w:cs="宋体"/>
          <w:b w:val="0"/>
          <w:bCs w:val="0"/>
          <w:kern w:val="0"/>
          <w:sz w:val="24"/>
          <w:highlight w:val="none"/>
          <w:lang w:val="en-US" w:eastAsia="zh-CN"/>
        </w:rPr>
      </w:pPr>
      <w:bookmarkStart w:id="53" w:name="_Toc30464"/>
      <w:bookmarkStart w:id="54" w:name="_Toc20773"/>
      <w:bookmarkStart w:id="55" w:name="_Toc15482"/>
      <w:bookmarkStart w:id="56" w:name="_Toc6849"/>
      <w:bookmarkStart w:id="57" w:name="_Toc6205"/>
      <w:r>
        <w:rPr>
          <w:rFonts w:hint="eastAsia" w:ascii="宋体" w:hAnsi="宋体" w:cs="宋体"/>
          <w:b w:val="0"/>
          <w:bCs w:val="0"/>
          <w:kern w:val="0"/>
          <w:sz w:val="24"/>
          <w:highlight w:val="none"/>
          <w:lang w:val="en-US" w:eastAsia="zh-CN"/>
        </w:rPr>
        <w:t>联系人：</w:t>
      </w:r>
      <w:bookmarkEnd w:id="53"/>
      <w:bookmarkEnd w:id="54"/>
      <w:bookmarkEnd w:id="55"/>
      <w:bookmarkEnd w:id="56"/>
      <w:bookmarkEnd w:id="57"/>
      <w:r>
        <w:rPr>
          <w:rFonts w:hint="eastAsia" w:ascii="宋体" w:hAnsi="宋体" w:cs="宋体"/>
          <w:b w:val="0"/>
          <w:bCs w:val="0"/>
          <w:kern w:val="0"/>
          <w:sz w:val="24"/>
          <w:szCs w:val="24"/>
          <w:highlight w:val="none"/>
          <w:lang w:val="en-US" w:eastAsia="zh-CN"/>
        </w:rPr>
        <w:t>李主任  0530-5599020</w:t>
      </w:r>
    </w:p>
    <w:p w14:paraId="61D09DDE">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highlight w:val="none"/>
          <w:lang w:val="en-US" w:eastAsia="zh-CN"/>
        </w:rPr>
      </w:pPr>
      <w:bookmarkStart w:id="58" w:name="_Toc26066"/>
      <w:bookmarkStart w:id="59" w:name="_Toc8189"/>
      <w:bookmarkStart w:id="60" w:name="_Toc28925"/>
      <w:bookmarkStart w:id="61" w:name="_Toc7899"/>
      <w:r>
        <w:rPr>
          <w:rFonts w:hint="eastAsia" w:ascii="宋体" w:hAnsi="宋体" w:eastAsia="宋体" w:cs="宋体"/>
          <w:b w:val="0"/>
          <w:bCs w:val="0"/>
          <w:kern w:val="0"/>
          <w:sz w:val="24"/>
          <w:highlight w:val="none"/>
          <w:lang w:val="en-US" w:eastAsia="zh-CN"/>
        </w:rPr>
        <w:t>2、采购代理机构信息</w:t>
      </w:r>
    </w:p>
    <w:p w14:paraId="458605B1">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宋体" w:hAnsi="宋体" w:cs="宋体"/>
          <w:b w:val="0"/>
          <w:bCs w:val="0"/>
          <w:kern w:val="0"/>
          <w:sz w:val="24"/>
          <w:highlight w:val="none"/>
          <w:lang w:val="en-US" w:eastAsia="zh-CN"/>
        </w:rPr>
      </w:pPr>
      <w:bookmarkStart w:id="62" w:name="_Toc735"/>
      <w:r>
        <w:rPr>
          <w:rFonts w:hint="eastAsia" w:ascii="宋体" w:hAnsi="宋体" w:cs="宋体"/>
          <w:b w:val="0"/>
          <w:bCs w:val="0"/>
          <w:kern w:val="0"/>
          <w:sz w:val="24"/>
          <w:highlight w:val="none"/>
          <w:lang w:val="en-US" w:eastAsia="zh-CN"/>
        </w:rPr>
        <w:t>采购代理机构：山东华平项目管理有限公司</w:t>
      </w:r>
      <w:bookmarkEnd w:id="58"/>
      <w:bookmarkEnd w:id="59"/>
      <w:bookmarkEnd w:id="60"/>
      <w:bookmarkEnd w:id="61"/>
      <w:bookmarkEnd w:id="62"/>
    </w:p>
    <w:p w14:paraId="00C1B578">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highlight w:val="none"/>
          <w:lang w:val="en-US" w:eastAsia="zh-CN"/>
        </w:rPr>
      </w:pPr>
      <w:bookmarkStart w:id="63" w:name="_Toc30059"/>
      <w:bookmarkStart w:id="64" w:name="_Toc2078"/>
      <w:bookmarkStart w:id="65" w:name="_Toc17532"/>
      <w:bookmarkStart w:id="66" w:name="_Toc12940"/>
      <w:r>
        <w:rPr>
          <w:rFonts w:hint="eastAsia" w:ascii="宋体" w:hAnsi="宋体" w:eastAsia="宋体" w:cs="宋体"/>
          <w:b w:val="0"/>
          <w:bCs w:val="0"/>
          <w:kern w:val="0"/>
          <w:sz w:val="24"/>
          <w:highlight w:val="none"/>
          <w:lang w:val="en-US" w:eastAsia="zh-CN"/>
        </w:rPr>
        <w:t>地址：菏泽市经济开发区花香路588号</w:t>
      </w:r>
      <w:bookmarkEnd w:id="63"/>
      <w:bookmarkEnd w:id="64"/>
      <w:bookmarkEnd w:id="65"/>
      <w:bookmarkEnd w:id="66"/>
    </w:p>
    <w:p w14:paraId="58F4BCEB">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highlight w:val="none"/>
          <w:lang w:val="en-US" w:eastAsia="zh-CN"/>
        </w:rPr>
      </w:pPr>
      <w:bookmarkStart w:id="67" w:name="_Toc13805"/>
      <w:bookmarkStart w:id="68" w:name="_Toc21326"/>
      <w:bookmarkStart w:id="69" w:name="_Toc11054"/>
      <w:bookmarkStart w:id="70" w:name="_Toc29271"/>
      <w:r>
        <w:rPr>
          <w:rFonts w:hint="eastAsia" w:ascii="宋体" w:hAnsi="宋体" w:eastAsia="宋体" w:cs="宋体"/>
          <w:b w:val="0"/>
          <w:bCs w:val="0"/>
          <w:kern w:val="0"/>
          <w:sz w:val="24"/>
          <w:highlight w:val="none"/>
          <w:lang w:val="en-US" w:eastAsia="zh-CN"/>
        </w:rPr>
        <w:t>联系人：</w:t>
      </w:r>
      <w:bookmarkEnd w:id="67"/>
      <w:bookmarkEnd w:id="68"/>
      <w:r>
        <w:rPr>
          <w:rFonts w:hint="eastAsia" w:ascii="宋体" w:hAnsi="宋体" w:cs="宋体"/>
          <w:b w:val="0"/>
          <w:bCs w:val="0"/>
          <w:kern w:val="0"/>
          <w:sz w:val="24"/>
          <w:highlight w:val="none"/>
          <w:lang w:val="en-US" w:eastAsia="zh-CN"/>
        </w:rPr>
        <w:t>李文静</w:t>
      </w:r>
      <w:r>
        <w:rPr>
          <w:rFonts w:hint="eastAsia" w:ascii="宋体" w:hAnsi="宋体" w:eastAsia="宋体" w:cs="宋体"/>
          <w:b w:val="0"/>
          <w:bCs w:val="0"/>
          <w:kern w:val="0"/>
          <w:sz w:val="24"/>
          <w:highlight w:val="none"/>
          <w:lang w:val="en-US" w:eastAsia="zh-CN"/>
        </w:rPr>
        <w:t xml:space="preserve">  </w:t>
      </w:r>
      <w:bookmarkEnd w:id="69"/>
      <w:bookmarkEnd w:id="70"/>
      <w:r>
        <w:rPr>
          <w:rFonts w:hint="eastAsia" w:ascii="宋体" w:hAnsi="宋体" w:eastAsia="宋体" w:cs="宋体"/>
          <w:b w:val="0"/>
          <w:bCs w:val="0"/>
          <w:kern w:val="0"/>
          <w:sz w:val="24"/>
          <w:highlight w:val="none"/>
          <w:lang w:val="en-US" w:eastAsia="zh-CN"/>
        </w:rPr>
        <w:t>17852007052</w:t>
      </w:r>
    </w:p>
    <w:p w14:paraId="54C88528">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3、项目联系方式</w:t>
      </w:r>
    </w:p>
    <w:p w14:paraId="3634AA2C">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 xml:space="preserve">项目联系人：山东华平项目管理有限公司     </w:t>
      </w:r>
    </w:p>
    <w:p w14:paraId="4C48AE3C">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left"/>
        <w:textAlignment w:val="auto"/>
        <w:outlineLvl w:val="9"/>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联系方式：17852007052</w:t>
      </w:r>
      <w:r>
        <w:rPr>
          <w:rFonts w:hint="eastAsia" w:ascii="宋体" w:hAnsi="宋体" w:eastAsia="宋体" w:cs="宋体"/>
          <w:b w:val="0"/>
          <w:bCs w:val="0"/>
          <w:kern w:val="0"/>
          <w:sz w:val="24"/>
          <w:highlight w:val="none"/>
          <w:lang w:val="en-US" w:eastAsia="zh-CN"/>
        </w:rPr>
        <w:tab/>
      </w:r>
    </w:p>
    <w:p w14:paraId="438C30D6">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right"/>
        <w:textAlignment w:val="auto"/>
        <w:outlineLvl w:val="9"/>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2025年08月19日</w:t>
      </w:r>
    </w:p>
    <w:p w14:paraId="0AD4BED7">
      <w:pPr>
        <w:rPr>
          <w:rFonts w:hint="eastAsia"/>
          <w:lang w:val="en-US" w:eastAsia="zh-CN"/>
        </w:rPr>
      </w:pPr>
      <w:r>
        <w:rPr>
          <w:rFonts w:hint="eastAsia"/>
          <w:lang w:val="en-US" w:eastAsia="zh-CN"/>
        </w:rPr>
        <w:br w:type="page"/>
      </w:r>
    </w:p>
    <w:p w14:paraId="7BF53648">
      <w:pPr>
        <w:pStyle w:val="4"/>
        <w:bidi w:val="0"/>
        <w:jc w:val="center"/>
        <w:rPr>
          <w:rFonts w:hint="eastAsia"/>
          <w:lang w:val="en-US" w:eastAsia="zh-CN"/>
        </w:rPr>
      </w:pPr>
      <w:r>
        <w:rPr>
          <w:rFonts w:hint="eastAsia"/>
          <w:lang w:val="en-US" w:eastAsia="zh-CN"/>
        </w:rPr>
        <w:t>菏泽市立医院IVF双人工作站项目</w:t>
      </w:r>
    </w:p>
    <w:p w14:paraId="5930C623">
      <w:pPr>
        <w:pStyle w:val="4"/>
        <w:bidi w:val="0"/>
        <w:jc w:val="center"/>
        <w:rPr>
          <w:rFonts w:hint="eastAsia"/>
          <w:lang w:val="en-US" w:eastAsia="zh-CN"/>
        </w:rPr>
      </w:pPr>
      <w:r>
        <w:rPr>
          <w:rFonts w:hint="eastAsia"/>
          <w:lang w:val="en-US" w:eastAsia="zh-CN"/>
        </w:rPr>
        <w:t>变更公告</w:t>
      </w:r>
    </w:p>
    <w:p w14:paraId="698C47FA">
      <w:pPr>
        <w:pStyle w:val="2"/>
        <w:pageBreakBefore w:val="0"/>
        <w:widowControl w:val="0"/>
        <w:numPr>
          <w:ilvl w:val="0"/>
          <w:numId w:val="0"/>
        </w:numPr>
        <w:kinsoku/>
        <w:wordWrap/>
        <w:overflowPunct/>
        <w:topLinePunct w:val="0"/>
        <w:autoSpaceDE/>
        <w:autoSpaceDN/>
        <w:bidi w:val="0"/>
        <w:adjustRightInd/>
        <w:snapToGrid/>
        <w:spacing w:before="146" w:beforeLines="50" w:after="0" w:line="360" w:lineRule="auto"/>
        <w:ind w:right="0" w:rightChars="0" w:firstLine="482" w:firstLineChars="200"/>
        <w:jc w:val="left"/>
        <w:textAlignment w:val="auto"/>
        <w:outlineLvl w:val="1"/>
        <w:rPr>
          <w:rFonts w:hint="eastAsia" w:ascii="宋体" w:hAnsi="宋体" w:cs="宋体"/>
          <w:b w:val="0"/>
          <w:bCs w:val="0"/>
          <w:kern w:val="0"/>
          <w:sz w:val="24"/>
          <w:highlight w:val="none"/>
          <w:lang w:val="en-US" w:eastAsia="zh-CN"/>
        </w:rPr>
      </w:pPr>
      <w:r>
        <w:rPr>
          <w:rFonts w:hint="eastAsia" w:ascii="宋体" w:hAnsi="宋体" w:cs="宋体"/>
          <w:b/>
          <w:bCs/>
          <w:kern w:val="0"/>
          <w:sz w:val="24"/>
          <w:highlight w:val="none"/>
          <w:lang w:val="en-US" w:eastAsia="zh-CN"/>
        </w:rPr>
        <w:t>一、采购人：</w:t>
      </w:r>
      <w:r>
        <w:rPr>
          <w:rFonts w:hint="eastAsia" w:ascii="宋体" w:hAnsi="宋体" w:cs="宋体"/>
          <w:b w:val="0"/>
          <w:bCs w:val="0"/>
          <w:kern w:val="0"/>
          <w:sz w:val="24"/>
          <w:highlight w:val="none"/>
          <w:lang w:val="en-US" w:eastAsia="zh-CN"/>
        </w:rPr>
        <w:t>菏泽市立医院</w:t>
      </w:r>
      <w:r>
        <w:rPr>
          <w:rFonts w:hint="eastAsia" w:ascii="宋体" w:hAnsi="宋体" w:cs="宋体"/>
          <w:b w:val="0"/>
          <w:bCs w:val="0"/>
          <w:kern w:val="0"/>
          <w:sz w:val="24"/>
          <w:highlight w:val="none"/>
          <w:lang w:val="en-US" w:eastAsia="zh-CN"/>
        </w:rPr>
        <w:tab/>
      </w:r>
      <w:r>
        <w:rPr>
          <w:rFonts w:hint="eastAsia" w:ascii="宋体" w:hAnsi="宋体" w:cs="宋体"/>
          <w:b w:val="0"/>
          <w:bCs w:val="0"/>
          <w:kern w:val="0"/>
          <w:sz w:val="24"/>
          <w:highlight w:val="none"/>
          <w:lang w:val="en-US" w:eastAsia="zh-CN"/>
        </w:rPr>
        <w:t xml:space="preserve">              </w:t>
      </w:r>
    </w:p>
    <w:p w14:paraId="21A796A8">
      <w:pPr>
        <w:pStyle w:val="2"/>
        <w:pageBreakBefore w:val="0"/>
        <w:widowControl w:val="0"/>
        <w:numPr>
          <w:ilvl w:val="0"/>
          <w:numId w:val="0"/>
        </w:numPr>
        <w:kinsoku/>
        <w:wordWrap/>
        <w:overflowPunct/>
        <w:topLinePunct w:val="0"/>
        <w:autoSpaceDE/>
        <w:autoSpaceDN/>
        <w:bidi w:val="0"/>
        <w:adjustRightInd/>
        <w:snapToGrid/>
        <w:spacing w:before="146" w:beforeLines="50" w:after="0" w:line="360" w:lineRule="auto"/>
        <w:ind w:right="0" w:rightChars="0" w:firstLine="482" w:firstLineChars="200"/>
        <w:jc w:val="left"/>
        <w:textAlignment w:val="auto"/>
        <w:outlineLvl w:val="1"/>
        <w:rPr>
          <w:rFonts w:hint="eastAsia" w:ascii="宋体" w:hAnsi="宋体" w:cs="宋体"/>
          <w:b w:val="0"/>
          <w:bCs w:val="0"/>
          <w:kern w:val="0"/>
          <w:sz w:val="24"/>
          <w:highlight w:val="none"/>
          <w:lang w:val="en-US" w:eastAsia="zh-CN"/>
        </w:rPr>
      </w:pPr>
      <w:r>
        <w:rPr>
          <w:rFonts w:hint="eastAsia" w:ascii="宋体" w:hAnsi="宋体" w:cs="宋体"/>
          <w:b/>
          <w:bCs/>
          <w:kern w:val="0"/>
          <w:sz w:val="24"/>
          <w:highlight w:val="none"/>
          <w:lang w:val="en-US" w:eastAsia="zh-CN"/>
        </w:rPr>
        <w:t>二、采购代理机构：</w:t>
      </w:r>
      <w:r>
        <w:rPr>
          <w:rFonts w:hint="eastAsia" w:ascii="宋体" w:hAnsi="宋体" w:cs="宋体"/>
          <w:b w:val="0"/>
          <w:bCs w:val="0"/>
          <w:kern w:val="0"/>
          <w:sz w:val="24"/>
          <w:highlight w:val="none"/>
          <w:lang w:val="en-US" w:eastAsia="zh-CN"/>
        </w:rPr>
        <w:t>山东华平项目管理有限公司</w:t>
      </w:r>
    </w:p>
    <w:p w14:paraId="6FBD6C5A">
      <w:pPr>
        <w:keepNext w:val="0"/>
        <w:keepLines w:val="0"/>
        <w:pageBreakBefore w:val="0"/>
        <w:widowControl w:val="0"/>
        <w:kinsoku/>
        <w:wordWrap/>
        <w:overflowPunct/>
        <w:topLinePunct w:val="0"/>
        <w:autoSpaceDE/>
        <w:autoSpaceDN/>
        <w:bidi w:val="0"/>
        <w:adjustRightInd/>
        <w:snapToGrid/>
        <w:spacing w:before="146" w:beforeLines="50" w:line="360" w:lineRule="auto"/>
        <w:ind w:left="0" w:leftChars="0" w:right="0" w:rightChars="0" w:firstLine="482" w:firstLineChars="200"/>
        <w:jc w:val="left"/>
        <w:textAlignment w:val="auto"/>
        <w:outlineLvl w:val="9"/>
        <w:rPr>
          <w:rFonts w:hint="default" w:asciiTheme="minorEastAsia" w:hAnsiTheme="minorEastAsia" w:eastAsiaTheme="minorEastAsia" w:cstheme="minorEastAsia"/>
          <w:color w:val="auto"/>
          <w:sz w:val="24"/>
          <w:szCs w:val="24"/>
          <w:highlight w:val="none"/>
          <w:shd w:val="clear" w:color="auto" w:fill="FFFFFF"/>
          <w:lang w:val="en-US"/>
        </w:rPr>
      </w:pPr>
      <w:r>
        <w:rPr>
          <w:rFonts w:hint="eastAsia" w:ascii="宋体" w:hAnsi="宋体" w:cs="宋体"/>
          <w:b/>
          <w:bCs/>
          <w:kern w:val="0"/>
          <w:sz w:val="24"/>
          <w:highlight w:val="none"/>
          <w:lang w:val="en-US" w:eastAsia="zh-CN"/>
        </w:rPr>
        <w:t>三、</w:t>
      </w:r>
      <w:r>
        <w:rPr>
          <w:rFonts w:hint="eastAsia" w:asciiTheme="minorEastAsia" w:hAnsiTheme="minorEastAsia" w:eastAsiaTheme="minorEastAsia" w:cstheme="minorEastAsia"/>
          <w:b/>
          <w:bCs/>
          <w:color w:val="auto"/>
          <w:sz w:val="24"/>
          <w:szCs w:val="24"/>
          <w:highlight w:val="none"/>
          <w:shd w:val="clear" w:color="auto" w:fill="FFFFFF"/>
        </w:rPr>
        <w:t>项目名称：</w:t>
      </w:r>
      <w:r>
        <w:rPr>
          <w:rFonts w:hint="eastAsia" w:asciiTheme="minorEastAsia" w:hAnsiTheme="minorEastAsia" w:eastAsiaTheme="minorEastAsia" w:cstheme="minorEastAsia"/>
          <w:color w:val="auto"/>
          <w:sz w:val="24"/>
          <w:szCs w:val="24"/>
          <w:highlight w:val="none"/>
          <w:shd w:val="clear" w:color="auto" w:fill="FFFFFF"/>
          <w:lang w:val="en-US" w:eastAsia="zh-CN"/>
        </w:rPr>
        <w:t>菏泽市立医院IVF双人工作站项目</w:t>
      </w:r>
    </w:p>
    <w:p w14:paraId="1676D2B5">
      <w:pPr>
        <w:keepNext w:val="0"/>
        <w:keepLines w:val="0"/>
        <w:pageBreakBefore w:val="0"/>
        <w:widowControl w:val="0"/>
        <w:kinsoku/>
        <w:wordWrap/>
        <w:overflowPunct/>
        <w:topLinePunct w:val="0"/>
        <w:autoSpaceDE/>
        <w:autoSpaceDN/>
        <w:bidi w:val="0"/>
        <w:adjustRightInd/>
        <w:snapToGrid/>
        <w:spacing w:before="146" w:beforeLines="50"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b/>
          <w:bCs/>
          <w:color w:val="auto"/>
          <w:sz w:val="24"/>
          <w:szCs w:val="24"/>
          <w:highlight w:val="none"/>
          <w:shd w:val="clear" w:color="auto" w:fill="FFFFFF"/>
          <w:lang w:val="en-US" w:eastAsia="zh-CN"/>
        </w:rPr>
        <w:t>四、</w:t>
      </w:r>
      <w:r>
        <w:rPr>
          <w:rFonts w:hint="eastAsia" w:asciiTheme="minorEastAsia" w:hAnsiTheme="minorEastAsia" w:eastAsiaTheme="minorEastAsia" w:cstheme="minorEastAsia"/>
          <w:b/>
          <w:bCs/>
          <w:color w:val="auto"/>
          <w:sz w:val="24"/>
          <w:szCs w:val="24"/>
          <w:highlight w:val="none"/>
          <w:shd w:val="clear" w:color="auto" w:fill="FFFFFF"/>
        </w:rPr>
        <w:t>项目编号：</w:t>
      </w:r>
      <w:r>
        <w:rPr>
          <w:rFonts w:hint="eastAsia" w:asciiTheme="minorEastAsia" w:hAnsiTheme="minorEastAsia" w:eastAsiaTheme="minorEastAsia" w:cstheme="minorEastAsia"/>
          <w:color w:val="auto"/>
          <w:sz w:val="24"/>
          <w:szCs w:val="24"/>
          <w:highlight w:val="none"/>
          <w:shd w:val="clear" w:color="auto" w:fill="FFFFFF"/>
          <w:lang w:eastAsia="zh-CN"/>
        </w:rPr>
        <w:t>SDGP371700000202502000167</w:t>
      </w:r>
    </w:p>
    <w:p w14:paraId="66158C61">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lef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五、首次公告日期：</w:t>
      </w:r>
      <w:r>
        <w:rPr>
          <w:rFonts w:hint="eastAsia" w:asciiTheme="minorEastAsia" w:hAnsiTheme="minorEastAsia" w:eastAsiaTheme="minorEastAsia" w:cstheme="minorEastAsia"/>
          <w:sz w:val="24"/>
          <w:szCs w:val="32"/>
        </w:rPr>
        <w:t>2025年</w:t>
      </w:r>
      <w:r>
        <w:rPr>
          <w:rFonts w:hint="eastAsia" w:asciiTheme="minorEastAsia" w:hAnsiTheme="minorEastAsia" w:cstheme="minorEastAsia"/>
          <w:sz w:val="24"/>
          <w:szCs w:val="32"/>
          <w:lang w:val="en-US" w:eastAsia="zh-CN"/>
        </w:rPr>
        <w:t>08</w:t>
      </w:r>
      <w:r>
        <w:rPr>
          <w:rFonts w:hint="eastAsia" w:asciiTheme="minorEastAsia" w:hAnsiTheme="minorEastAsia" w:eastAsiaTheme="minorEastAsia" w:cstheme="minorEastAsia"/>
          <w:sz w:val="24"/>
          <w:szCs w:val="32"/>
        </w:rPr>
        <w:t>月</w:t>
      </w:r>
      <w:r>
        <w:rPr>
          <w:rFonts w:hint="eastAsia" w:asciiTheme="minorEastAsia" w:hAnsiTheme="minorEastAsia" w:cstheme="minorEastAsia"/>
          <w:sz w:val="24"/>
          <w:szCs w:val="32"/>
          <w:lang w:val="en-US" w:eastAsia="zh-CN"/>
        </w:rPr>
        <w:t>19</w:t>
      </w:r>
      <w:r>
        <w:rPr>
          <w:rFonts w:hint="eastAsia" w:asciiTheme="minorEastAsia" w:hAnsiTheme="minorEastAsia" w:eastAsiaTheme="minorEastAsia" w:cstheme="minorEastAsia"/>
          <w:sz w:val="24"/>
          <w:szCs w:val="32"/>
        </w:rPr>
        <w:t xml:space="preserve">日 </w:t>
      </w:r>
    </w:p>
    <w:p w14:paraId="2C99EBCB">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left"/>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六、</w:t>
      </w:r>
      <w:r>
        <w:rPr>
          <w:rFonts w:hint="eastAsia" w:asciiTheme="minorEastAsia" w:hAnsiTheme="minorEastAsia" w:cstheme="minorEastAsia"/>
          <w:b/>
          <w:bCs/>
          <w:sz w:val="24"/>
          <w:szCs w:val="32"/>
          <w:lang w:eastAsia="zh-CN"/>
        </w:rPr>
        <w:t>变更</w:t>
      </w:r>
      <w:r>
        <w:rPr>
          <w:rFonts w:hint="eastAsia" w:asciiTheme="minorEastAsia" w:hAnsiTheme="minorEastAsia" w:eastAsiaTheme="minorEastAsia" w:cstheme="minorEastAsia"/>
          <w:b/>
          <w:bCs/>
          <w:sz w:val="24"/>
          <w:szCs w:val="32"/>
        </w:rPr>
        <w:t>内容：</w:t>
      </w:r>
    </w:p>
    <w:p w14:paraId="01E7B600">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1、原竞争性磋商文件第二章供应商须知前附表内容：</w:t>
      </w:r>
    </w:p>
    <w:tbl>
      <w:tblPr>
        <w:tblStyle w:val="76"/>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59"/>
        <w:gridCol w:w="7084"/>
      </w:tblGrid>
      <w:tr w14:paraId="3409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78" w:type="dxa"/>
            <w:noWrap w:val="0"/>
            <w:vAlign w:val="center"/>
          </w:tcPr>
          <w:p w14:paraId="599224A4">
            <w:pPr>
              <w:keepNext w:val="0"/>
              <w:keepLines w:val="0"/>
              <w:pageBreakBefore w:val="0"/>
              <w:suppressLineNumbers w:val="0"/>
              <w:kinsoku/>
              <w:wordWrap/>
              <w:overflowPunct/>
              <w:topLinePunct w:val="0"/>
              <w:bidi w:val="0"/>
              <w:adjustRightInd w:val="0"/>
              <w:snapToGrid w:val="0"/>
              <w:spacing w:before="0"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559" w:type="dxa"/>
            <w:noWrap w:val="0"/>
            <w:vAlign w:val="center"/>
          </w:tcPr>
          <w:p w14:paraId="006CB73D">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sz w:val="24"/>
                <w:szCs w:val="24"/>
                <w:highlight w:val="none"/>
                <w:lang w:val="en-GB" w:eastAsia="zh-CN"/>
              </w:rPr>
              <w:t>供货安装期</w:t>
            </w:r>
          </w:p>
        </w:tc>
        <w:tc>
          <w:tcPr>
            <w:tcW w:w="7084" w:type="dxa"/>
            <w:noWrap w:val="0"/>
            <w:vAlign w:val="center"/>
          </w:tcPr>
          <w:p w14:paraId="7AF062F1">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签订合同后2个月内供货安装调试完毕（具体以院方通知为准）。</w:t>
            </w:r>
          </w:p>
        </w:tc>
      </w:tr>
    </w:tbl>
    <w:p w14:paraId="7530362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变更为：</w:t>
      </w:r>
    </w:p>
    <w:tbl>
      <w:tblPr>
        <w:tblStyle w:val="76"/>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59"/>
        <w:gridCol w:w="7084"/>
      </w:tblGrid>
      <w:tr w14:paraId="264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78" w:type="dxa"/>
            <w:noWrap w:val="0"/>
            <w:vAlign w:val="center"/>
          </w:tcPr>
          <w:p w14:paraId="20039857">
            <w:pPr>
              <w:keepNext w:val="0"/>
              <w:keepLines w:val="0"/>
              <w:pageBreakBefore w:val="0"/>
              <w:suppressLineNumbers w:val="0"/>
              <w:kinsoku/>
              <w:wordWrap/>
              <w:overflowPunct/>
              <w:topLinePunct w:val="0"/>
              <w:bidi w:val="0"/>
              <w:adjustRightInd w:val="0"/>
              <w:snapToGrid w:val="0"/>
              <w:spacing w:before="0"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559" w:type="dxa"/>
            <w:noWrap w:val="0"/>
            <w:vAlign w:val="center"/>
          </w:tcPr>
          <w:p w14:paraId="6979218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sz w:val="24"/>
                <w:szCs w:val="24"/>
                <w:highlight w:val="none"/>
                <w:lang w:val="en-GB" w:eastAsia="zh-CN"/>
              </w:rPr>
              <w:t>供货安装期</w:t>
            </w:r>
          </w:p>
        </w:tc>
        <w:tc>
          <w:tcPr>
            <w:tcW w:w="7084" w:type="dxa"/>
            <w:noWrap w:val="0"/>
            <w:vAlign w:val="center"/>
          </w:tcPr>
          <w:p w14:paraId="40BE8CD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签订合同后1个月内供货安装调试完毕（具体以院方通知为准）。</w:t>
            </w:r>
          </w:p>
        </w:tc>
      </w:tr>
    </w:tbl>
    <w:p w14:paraId="6A603270">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2、原竞争性磋商文件第四章采购内容及项目要求中：</w:t>
      </w:r>
    </w:p>
    <w:p w14:paraId="64D4F20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“保修期内，设备或附件发生故障，在接到买方仪器报修通知后，在24小时内予以应答，并在48小时内进行维修，保证仪器的正常工作……”</w:t>
      </w:r>
    </w:p>
    <w:p w14:paraId="64BFFA22">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变更为：</w:t>
      </w:r>
    </w:p>
    <w:p w14:paraId="7FF1AC5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“保修期内，设备或附件发生故障，在接到买方仪器报修通知后，在12小时内予以应答，并在24小时内进行维修，保证仪器的正常工作……”</w:t>
      </w:r>
    </w:p>
    <w:p w14:paraId="3AEE59A4">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3、竞争性磋商文件第三章评分细则变更，详见变更后的竞争性磋商文件。</w:t>
      </w:r>
    </w:p>
    <w:p w14:paraId="21C9D205">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4、竞争性磋商文件第四章补充以下服务要求：</w:t>
      </w:r>
    </w:p>
    <w:p w14:paraId="07D49F5C">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（一）为满足采购人获取人类辅助生殖技术资质所要求的鼠胚试验达标率，成交供应商需根据科室需求提供实验室操作所需鼠源及饲养材料，每月不少于40只（至少12个月），直至科室鼠胚试验结束。</w:t>
      </w:r>
    </w:p>
    <w:p w14:paraId="38A1334E">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（二）根据采购人需求为科室聘请老师进行人员培训。</w:t>
      </w:r>
    </w:p>
    <w:p w14:paraId="626B885E">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（三）根据采购人需求配备以下备品备件：</w:t>
      </w:r>
    </w:p>
    <w:p w14:paraId="402F9922">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360" w:lineRule="auto"/>
        <w:ind w:left="0" w:leftChars="0"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电动助吸器一个；</w:t>
      </w:r>
    </w:p>
    <w:p w14:paraId="5AC02BAE">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360" w:lineRule="auto"/>
        <w:ind w:left="0" w:leftChars="0"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微量移液器20ul两把。</w:t>
      </w:r>
    </w:p>
    <w:p w14:paraId="3F7EAACF">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360" w:lineRule="auto"/>
        <w:ind w:left="0" w:leftChars="0"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工作站专用摄像头5套。</w:t>
      </w:r>
    </w:p>
    <w:p w14:paraId="6E2C79E7">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5、原竞争性磋商公告及竞争性磋商文件中：</w:t>
      </w:r>
    </w:p>
    <w:p w14:paraId="1891AA8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“递交响应文件截止时间：2025年09月01日14时30分（北京时间）；</w:t>
      </w:r>
    </w:p>
    <w:p w14:paraId="67ABCB6E">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开标</w:t>
      </w:r>
      <w:r>
        <w:rPr>
          <w:rFonts w:hint="eastAsia" w:asciiTheme="minorEastAsia" w:hAnsiTheme="minorEastAsia" w:eastAsiaTheme="minorEastAsia" w:cstheme="minorEastAsia"/>
          <w:kern w:val="0"/>
          <w:sz w:val="24"/>
          <w:szCs w:val="24"/>
          <w:highlight w:val="none"/>
          <w:lang w:val="zh-CN" w:eastAsia="zh-CN"/>
        </w:rPr>
        <w:t>时间：</w:t>
      </w:r>
      <w:r>
        <w:rPr>
          <w:rFonts w:hint="eastAsia" w:asciiTheme="minorEastAsia" w:hAnsiTheme="minorEastAsia" w:eastAsiaTheme="minorEastAsia" w:cstheme="minorEastAsia"/>
          <w:color w:val="auto"/>
          <w:sz w:val="24"/>
          <w:szCs w:val="24"/>
          <w:highlight w:val="none"/>
          <w:shd w:val="clear" w:color="auto" w:fill="FFFFFF"/>
          <w:lang w:val="en-US" w:eastAsia="zh-CN"/>
        </w:rPr>
        <w:t>2025</w:t>
      </w:r>
      <w:r>
        <w:rPr>
          <w:rFonts w:hint="eastAsia" w:asciiTheme="minorEastAsia" w:hAnsiTheme="minorEastAsia" w:eastAsiaTheme="minorEastAsia" w:cstheme="minorEastAsia"/>
          <w:color w:val="auto"/>
          <w:sz w:val="24"/>
          <w:szCs w:val="24"/>
          <w:highlight w:val="none"/>
          <w:shd w:val="clear" w:color="auto" w:fill="FFFFFF"/>
        </w:rPr>
        <w:t>年</w:t>
      </w:r>
      <w:r>
        <w:rPr>
          <w:rFonts w:hint="eastAsia" w:asciiTheme="minorEastAsia" w:hAnsiTheme="minorEastAsia" w:eastAsiaTheme="minorEastAsia" w:cstheme="minorEastAsia"/>
          <w:color w:val="auto"/>
          <w:sz w:val="24"/>
          <w:szCs w:val="24"/>
          <w:highlight w:val="none"/>
          <w:shd w:val="clear" w:color="auto" w:fill="FFFFFF"/>
          <w:lang w:val="en-US" w:eastAsia="zh-CN"/>
        </w:rPr>
        <w:t>09</w:t>
      </w:r>
      <w:r>
        <w:rPr>
          <w:rFonts w:hint="eastAsia" w:asciiTheme="minorEastAsia" w:hAnsiTheme="minorEastAsia" w:eastAsiaTheme="minorEastAsia" w:cstheme="minorEastAsia"/>
          <w:color w:val="auto"/>
          <w:sz w:val="24"/>
          <w:szCs w:val="24"/>
          <w:highlight w:val="none"/>
          <w:shd w:val="clear" w:color="auto" w:fill="FFFFFF"/>
        </w:rPr>
        <w:t>月</w:t>
      </w:r>
      <w:r>
        <w:rPr>
          <w:rFonts w:hint="eastAsia" w:asciiTheme="minorEastAsia" w:hAnsiTheme="minorEastAsia" w:eastAsiaTheme="minorEastAsia" w:cstheme="minorEastAsia"/>
          <w:color w:val="auto"/>
          <w:sz w:val="24"/>
          <w:szCs w:val="24"/>
          <w:highlight w:val="none"/>
          <w:shd w:val="clear" w:color="auto" w:fill="FFFFFF"/>
          <w:lang w:val="en-US" w:eastAsia="zh-CN"/>
        </w:rPr>
        <w:t>01</w:t>
      </w:r>
      <w:r>
        <w:rPr>
          <w:rFonts w:hint="eastAsia" w:asciiTheme="minorEastAsia" w:hAnsiTheme="minorEastAsia" w:eastAsiaTheme="minorEastAsia" w:cstheme="minorEastAsia"/>
          <w:color w:val="auto"/>
          <w:sz w:val="24"/>
          <w:szCs w:val="24"/>
          <w:highlight w:val="none"/>
          <w:shd w:val="clear" w:color="auto" w:fill="FFFFFF"/>
        </w:rPr>
        <w:t>日</w:t>
      </w:r>
      <w:r>
        <w:rPr>
          <w:rFonts w:hint="eastAsia" w:asciiTheme="minorEastAsia" w:hAnsiTheme="minorEastAsia" w:eastAsiaTheme="minorEastAsia" w:cstheme="minorEastAsia"/>
          <w:color w:val="auto"/>
          <w:sz w:val="24"/>
          <w:szCs w:val="24"/>
          <w:highlight w:val="none"/>
          <w:shd w:val="clear" w:color="auto" w:fill="FFFFFF"/>
          <w:lang w:val="en-US" w:eastAsia="zh-CN"/>
        </w:rPr>
        <w:t>14时30分</w:t>
      </w:r>
      <w:r>
        <w:rPr>
          <w:rFonts w:hint="eastAsia" w:asciiTheme="minorEastAsia" w:hAnsiTheme="minorEastAsia" w:eastAsiaTheme="minorEastAsia" w:cstheme="minorEastAsia"/>
          <w:color w:val="auto"/>
          <w:sz w:val="24"/>
          <w:szCs w:val="24"/>
          <w:highlight w:val="none"/>
          <w:shd w:val="clear" w:color="auto" w:fill="FFFFFF"/>
        </w:rPr>
        <w:t>（北京时间</w:t>
      </w:r>
      <w:r>
        <w:rPr>
          <w:rFonts w:hint="eastAsia" w:asciiTheme="minorEastAsia" w:hAnsiTheme="minorEastAsia" w:eastAsiaTheme="minorEastAsia" w:cstheme="minorEastAsia"/>
          <w:color w:val="auto"/>
          <w:sz w:val="24"/>
          <w:szCs w:val="24"/>
          <w:highlight w:val="none"/>
          <w:shd w:val="clear" w:color="auto" w:fill="FFFFFF"/>
          <w:lang w:eastAsia="zh-CN"/>
        </w:rPr>
        <w:t>）。”</w:t>
      </w:r>
    </w:p>
    <w:p w14:paraId="33E33156">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变更为：</w:t>
      </w:r>
    </w:p>
    <w:p w14:paraId="5AEE53C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“递交响应文件截止时间：2025年09月08日14时30分（北京时间）；</w:t>
      </w:r>
    </w:p>
    <w:p w14:paraId="27E7A904">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开标</w:t>
      </w:r>
      <w:r>
        <w:rPr>
          <w:rFonts w:hint="eastAsia" w:asciiTheme="minorEastAsia" w:hAnsiTheme="minorEastAsia" w:eastAsiaTheme="minorEastAsia" w:cstheme="minorEastAsia"/>
          <w:kern w:val="0"/>
          <w:sz w:val="24"/>
          <w:szCs w:val="24"/>
          <w:highlight w:val="none"/>
          <w:lang w:val="zh-CN" w:eastAsia="zh-CN"/>
        </w:rPr>
        <w:t>时间：</w:t>
      </w:r>
      <w:r>
        <w:rPr>
          <w:rFonts w:hint="eastAsia" w:asciiTheme="minorEastAsia" w:hAnsiTheme="minorEastAsia" w:eastAsiaTheme="minorEastAsia" w:cstheme="minorEastAsia"/>
          <w:color w:val="auto"/>
          <w:sz w:val="24"/>
          <w:szCs w:val="24"/>
          <w:highlight w:val="none"/>
          <w:shd w:val="clear" w:color="auto" w:fill="FFFFFF"/>
          <w:lang w:val="en-US" w:eastAsia="zh-CN"/>
        </w:rPr>
        <w:t>2025</w:t>
      </w:r>
      <w:r>
        <w:rPr>
          <w:rFonts w:hint="eastAsia" w:asciiTheme="minorEastAsia" w:hAnsiTheme="minorEastAsia" w:eastAsiaTheme="minorEastAsia" w:cstheme="minorEastAsia"/>
          <w:color w:val="auto"/>
          <w:sz w:val="24"/>
          <w:szCs w:val="24"/>
          <w:highlight w:val="none"/>
          <w:shd w:val="clear" w:color="auto" w:fill="FFFFFF"/>
        </w:rPr>
        <w:t>年</w:t>
      </w:r>
      <w:r>
        <w:rPr>
          <w:rFonts w:hint="eastAsia" w:asciiTheme="minorEastAsia" w:hAnsiTheme="minorEastAsia" w:eastAsiaTheme="minorEastAsia" w:cstheme="minorEastAsia"/>
          <w:color w:val="auto"/>
          <w:sz w:val="24"/>
          <w:szCs w:val="24"/>
          <w:highlight w:val="none"/>
          <w:shd w:val="clear" w:color="auto" w:fill="FFFFFF"/>
          <w:lang w:val="en-US" w:eastAsia="zh-CN"/>
        </w:rPr>
        <w:t>09</w:t>
      </w:r>
      <w:r>
        <w:rPr>
          <w:rFonts w:hint="eastAsia" w:asciiTheme="minorEastAsia" w:hAnsiTheme="minorEastAsia" w:eastAsiaTheme="minorEastAsia" w:cstheme="minorEastAsia"/>
          <w:color w:val="auto"/>
          <w:sz w:val="24"/>
          <w:szCs w:val="24"/>
          <w:highlight w:val="none"/>
          <w:shd w:val="clear" w:color="auto" w:fill="FFFFFF"/>
        </w:rPr>
        <w:t>月</w:t>
      </w:r>
      <w:r>
        <w:rPr>
          <w:rFonts w:hint="eastAsia" w:asciiTheme="minorEastAsia" w:hAnsiTheme="minorEastAsia" w:eastAsiaTheme="minorEastAsia" w:cstheme="minorEastAsia"/>
          <w:color w:val="auto"/>
          <w:sz w:val="24"/>
          <w:szCs w:val="24"/>
          <w:highlight w:val="none"/>
          <w:shd w:val="clear" w:color="auto" w:fill="FFFFFF"/>
          <w:lang w:val="en-US" w:eastAsia="zh-CN"/>
        </w:rPr>
        <w:t>08</w:t>
      </w:r>
      <w:r>
        <w:rPr>
          <w:rFonts w:hint="eastAsia" w:asciiTheme="minorEastAsia" w:hAnsiTheme="minorEastAsia" w:eastAsiaTheme="minorEastAsia" w:cstheme="minorEastAsia"/>
          <w:color w:val="auto"/>
          <w:sz w:val="24"/>
          <w:szCs w:val="24"/>
          <w:highlight w:val="none"/>
          <w:shd w:val="clear" w:color="auto" w:fill="FFFFFF"/>
        </w:rPr>
        <w:t>日</w:t>
      </w:r>
      <w:r>
        <w:rPr>
          <w:rFonts w:hint="eastAsia" w:ascii="宋体" w:hAnsi="宋体" w:cs="宋体"/>
          <w:b w:val="0"/>
          <w:bCs/>
          <w:sz w:val="24"/>
          <w:highlight w:val="none"/>
          <w:lang w:val="en-US" w:eastAsia="zh-CN"/>
        </w:rPr>
        <w:t>14时30分</w:t>
      </w:r>
      <w:r>
        <w:rPr>
          <w:rFonts w:hint="eastAsia" w:asciiTheme="minorEastAsia" w:hAnsiTheme="minorEastAsia" w:eastAsiaTheme="minorEastAsia" w:cstheme="minorEastAsia"/>
          <w:color w:val="auto"/>
          <w:sz w:val="24"/>
          <w:szCs w:val="24"/>
          <w:highlight w:val="none"/>
          <w:shd w:val="clear" w:color="auto" w:fill="FFFFFF"/>
        </w:rPr>
        <w:t>（北京时间</w:t>
      </w:r>
      <w:r>
        <w:rPr>
          <w:rFonts w:hint="eastAsia" w:asciiTheme="minorEastAsia" w:hAnsiTheme="minorEastAsia" w:eastAsiaTheme="minorEastAsia" w:cstheme="minorEastAsia"/>
          <w:color w:val="auto"/>
          <w:sz w:val="24"/>
          <w:szCs w:val="24"/>
          <w:highlight w:val="none"/>
          <w:shd w:val="clear" w:color="auto" w:fill="FFFFFF"/>
          <w:lang w:eastAsia="zh-CN"/>
        </w:rPr>
        <w:t>）。</w:t>
      </w:r>
      <w:r>
        <w:rPr>
          <w:rFonts w:hint="eastAsia" w:ascii="宋体" w:hAnsi="宋体" w:cs="宋体"/>
          <w:b w:val="0"/>
          <w:bCs/>
          <w:sz w:val="24"/>
          <w:highlight w:val="none"/>
          <w:lang w:val="en-US" w:eastAsia="zh-CN"/>
        </w:rPr>
        <w:t>”</w:t>
      </w:r>
    </w:p>
    <w:p w14:paraId="32929A18">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20" w:firstLineChars="0"/>
        <w:jc w:val="left"/>
        <w:textAlignment w:val="auto"/>
        <w:rPr>
          <w:rFonts w:hint="eastAsia" w:asciiTheme="minorEastAsia" w:hAnsiTheme="minorEastAsia" w:cstheme="minorEastAsia"/>
          <w:b/>
          <w:bCs/>
          <w:sz w:val="24"/>
          <w:szCs w:val="32"/>
          <w:lang w:eastAsia="zh-CN"/>
        </w:rPr>
      </w:pPr>
      <w:r>
        <w:rPr>
          <w:rFonts w:hint="eastAsia" w:asciiTheme="minorEastAsia" w:hAnsiTheme="minorEastAsia" w:cstheme="minorEastAsia"/>
          <w:b/>
          <w:bCs/>
          <w:sz w:val="24"/>
          <w:szCs w:val="32"/>
          <w:lang w:eastAsia="zh-CN"/>
        </w:rPr>
        <w:t>磋商文件其他内容不变。</w:t>
      </w:r>
    </w:p>
    <w:p w14:paraId="6734FD2D">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left"/>
        <w:textAlignment w:val="auto"/>
        <w:rPr>
          <w:rFonts w:hint="eastAsia" w:asciiTheme="minorEastAsia" w:hAnsiTheme="minorEastAsia" w:eastAsiaTheme="minorEastAsia" w:cstheme="minorEastAsia"/>
          <w:b/>
          <w:bCs/>
          <w:sz w:val="24"/>
          <w:szCs w:val="32"/>
        </w:rPr>
      </w:pPr>
      <w:r>
        <w:rPr>
          <w:rFonts w:hint="eastAsia" w:asciiTheme="minorEastAsia" w:hAnsiTheme="minorEastAsia" w:cstheme="minorEastAsia"/>
          <w:b/>
          <w:bCs/>
          <w:sz w:val="24"/>
          <w:szCs w:val="32"/>
          <w:lang w:eastAsia="zh-CN"/>
        </w:rPr>
        <w:t>七</w:t>
      </w:r>
      <w:r>
        <w:rPr>
          <w:rFonts w:hint="eastAsia" w:asciiTheme="minorEastAsia" w:hAnsiTheme="minorEastAsia" w:eastAsiaTheme="minorEastAsia" w:cstheme="minorEastAsia"/>
          <w:b/>
          <w:bCs/>
          <w:sz w:val="24"/>
          <w:szCs w:val="32"/>
        </w:rPr>
        <w:t xml:space="preserve">、联系方式 </w:t>
      </w:r>
    </w:p>
    <w:p w14:paraId="007452C3">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采购人：菏泽市立医院</w:t>
      </w:r>
      <w:r>
        <w:rPr>
          <w:rFonts w:hint="eastAsia" w:ascii="宋体" w:hAnsi="宋体" w:cs="宋体"/>
          <w:b w:val="0"/>
          <w:bCs w:val="0"/>
          <w:kern w:val="0"/>
          <w:sz w:val="24"/>
          <w:highlight w:val="none"/>
          <w:lang w:val="en-US" w:eastAsia="zh-CN"/>
        </w:rPr>
        <w:tab/>
      </w:r>
      <w:r>
        <w:rPr>
          <w:rFonts w:hint="eastAsia" w:ascii="宋体" w:hAnsi="宋体" w:cs="宋体"/>
          <w:b w:val="0"/>
          <w:bCs w:val="0"/>
          <w:kern w:val="0"/>
          <w:sz w:val="24"/>
          <w:highlight w:val="none"/>
          <w:lang w:val="en-US" w:eastAsia="zh-CN"/>
        </w:rPr>
        <w:t xml:space="preserve">              </w:t>
      </w:r>
    </w:p>
    <w:p w14:paraId="121EE16D">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 xml:space="preserve">地址：菏泽市曹州路2888号         </w:t>
      </w:r>
    </w:p>
    <w:p w14:paraId="02D6F1A4">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联系人：李主任  0530-5599020</w:t>
      </w:r>
    </w:p>
    <w:p w14:paraId="247107D5">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采购代理机构：山东华平项目管理有限公司</w:t>
      </w:r>
    </w:p>
    <w:p w14:paraId="03C9167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地址：菏泽市经济开发区花香路588号</w:t>
      </w:r>
    </w:p>
    <w:p w14:paraId="6B946B4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pPr>
      <w:r>
        <w:rPr>
          <w:rFonts w:hint="eastAsia" w:ascii="宋体" w:hAnsi="宋体" w:cs="宋体"/>
          <w:b w:val="0"/>
          <w:bCs w:val="0"/>
          <w:kern w:val="0"/>
          <w:sz w:val="24"/>
          <w:highlight w:val="none"/>
          <w:lang w:val="en-US" w:eastAsia="zh-CN"/>
        </w:rPr>
        <w:t>联系人：李文静  17852007052</w:t>
      </w:r>
      <w:r>
        <w:rPr>
          <w:rFonts w:hint="eastAsia" w:asciiTheme="minorEastAsia" w:hAnsiTheme="minorEastAsia" w:cstheme="minorEastAsia"/>
          <w:sz w:val="24"/>
          <w:szCs w:val="32"/>
          <w:lang w:val="en-US" w:eastAsia="zh-CN"/>
        </w:rPr>
        <w:t xml:space="preserve">                        </w:t>
      </w:r>
    </w:p>
    <w:p w14:paraId="42229FE1">
      <w:pPr>
        <w:pageBreakBefore w:val="0"/>
        <w:widowControl w:val="0"/>
        <w:kinsoku/>
        <w:wordWrap/>
        <w:overflowPunct/>
        <w:topLinePunct w:val="0"/>
        <w:autoSpaceDE/>
        <w:autoSpaceDN/>
        <w:bidi w:val="0"/>
        <w:adjustRightInd/>
        <w:snapToGrid/>
        <w:spacing w:before="146" w:beforeLines="50" w:line="360" w:lineRule="auto"/>
        <w:ind w:left="0" w:leftChars="0" w:right="0" w:rightChars="0" w:firstLine="480" w:firstLineChars="200"/>
        <w:jc w:val="right"/>
        <w:textAlignment w:val="auto"/>
        <w:outlineLvl w:val="9"/>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2025年08月28日</w:t>
      </w:r>
    </w:p>
    <w:p w14:paraId="0D76157C">
      <w:pPr>
        <w:rPr>
          <w:rFonts w:hint="eastAsia" w:ascii="宋体" w:hAnsi="宋体" w:cs="宋体"/>
          <w:b/>
          <w:bCs/>
          <w:color w:val="000000"/>
          <w:kern w:val="0"/>
          <w:sz w:val="36"/>
          <w:szCs w:val="36"/>
          <w:lang w:eastAsia="zh-CN"/>
        </w:rPr>
      </w:pPr>
      <w:r>
        <w:rPr>
          <w:rFonts w:hint="eastAsia" w:ascii="宋体" w:hAnsi="宋体" w:cs="宋体"/>
          <w:b/>
          <w:bCs/>
          <w:color w:val="000000"/>
          <w:kern w:val="0"/>
          <w:sz w:val="36"/>
          <w:szCs w:val="36"/>
          <w:lang w:eastAsia="zh-CN"/>
        </w:rPr>
        <w:br w:type="page"/>
      </w:r>
    </w:p>
    <w:p w14:paraId="0F650962">
      <w:pPr>
        <w:pStyle w:val="2"/>
        <w:bidi w:val="0"/>
        <w:jc w:val="center"/>
        <w:rPr>
          <w:rFonts w:hint="eastAsia"/>
          <w:lang w:val="en-US" w:eastAsia="zh-CN"/>
        </w:rPr>
      </w:pPr>
      <w:bookmarkStart w:id="71" w:name="_Toc9845225"/>
      <w:bookmarkStart w:id="72" w:name="_Toc12613428"/>
      <w:bookmarkStart w:id="73" w:name="_Toc6916060"/>
      <w:bookmarkStart w:id="74" w:name="_Toc13581200"/>
      <w:bookmarkStart w:id="75" w:name="_Toc22787"/>
      <w:bookmarkStart w:id="76" w:name="_Toc12613392"/>
      <w:r>
        <w:rPr>
          <w:rFonts w:hint="eastAsia"/>
          <w:lang w:val="en-US" w:eastAsia="zh-CN"/>
        </w:rPr>
        <w:t>第二章  供应商须知</w:t>
      </w:r>
      <w:bookmarkEnd w:id="71"/>
      <w:bookmarkEnd w:id="72"/>
      <w:bookmarkEnd w:id="73"/>
      <w:bookmarkEnd w:id="74"/>
      <w:bookmarkEnd w:id="75"/>
      <w:bookmarkEnd w:id="76"/>
    </w:p>
    <w:p w14:paraId="02013515">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105" w:rightChars="50" w:firstLine="482" w:firstLineChars="200"/>
        <w:jc w:val="both"/>
        <w:textAlignment w:val="auto"/>
        <w:outlineLvl w:val="1"/>
        <w:rPr>
          <w:rFonts w:hint="eastAsia" w:ascii="宋体" w:hAnsi="宋体" w:eastAsia="宋体" w:cs="宋体"/>
          <w:sz w:val="24"/>
          <w:szCs w:val="24"/>
          <w:highlight w:val="none"/>
        </w:rPr>
      </w:pPr>
      <w:bookmarkStart w:id="77" w:name="_Toc12613429"/>
      <w:bookmarkStart w:id="78" w:name="_Toc429"/>
      <w:bookmarkStart w:id="79" w:name="_Toc9845226"/>
      <w:bookmarkStart w:id="80" w:name="_Toc12378"/>
      <w:bookmarkStart w:id="81" w:name="_Toc12613393"/>
      <w:bookmarkStart w:id="82" w:name="_Toc13581201"/>
      <w:bookmarkStart w:id="83" w:name="_Toc10944"/>
      <w:bookmarkStart w:id="84" w:name="_Toc6916061"/>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bookmarkEnd w:id="77"/>
      <w:bookmarkEnd w:id="78"/>
      <w:bookmarkEnd w:id="79"/>
      <w:bookmarkEnd w:id="80"/>
      <w:bookmarkEnd w:id="81"/>
      <w:bookmarkEnd w:id="82"/>
      <w:bookmarkEnd w:id="83"/>
      <w:bookmarkEnd w:id="84"/>
    </w:p>
    <w:tbl>
      <w:tblPr>
        <w:tblStyle w:val="76"/>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83"/>
        <w:gridCol w:w="1809"/>
        <w:gridCol w:w="7126"/>
      </w:tblGrid>
      <w:tr w14:paraId="48651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5" w:hRule="atLeast"/>
          <w:tblHeader/>
          <w:jc w:val="center"/>
        </w:trPr>
        <w:tc>
          <w:tcPr>
            <w:tcW w:w="583" w:type="dxa"/>
            <w:vAlign w:val="center"/>
          </w:tcPr>
          <w:p w14:paraId="75989AE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09" w:type="dxa"/>
            <w:vAlign w:val="center"/>
          </w:tcPr>
          <w:p w14:paraId="27C1F899">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  容</w:t>
            </w:r>
          </w:p>
        </w:tc>
        <w:tc>
          <w:tcPr>
            <w:tcW w:w="7126" w:type="dxa"/>
            <w:vAlign w:val="center"/>
          </w:tcPr>
          <w:p w14:paraId="7192F847">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说明或要求</w:t>
            </w:r>
          </w:p>
        </w:tc>
      </w:tr>
      <w:tr w14:paraId="17FDD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6605FED8">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09" w:type="dxa"/>
            <w:vAlign w:val="center"/>
          </w:tcPr>
          <w:p w14:paraId="14C95EE1">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项目名称</w:t>
            </w:r>
          </w:p>
        </w:tc>
        <w:tc>
          <w:tcPr>
            <w:tcW w:w="7126" w:type="dxa"/>
            <w:vAlign w:val="center"/>
          </w:tcPr>
          <w:p w14:paraId="1C19EF1C">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color w:val="FF0000"/>
                <w:sz w:val="24"/>
                <w:szCs w:val="24"/>
                <w:highlight w:val="none"/>
                <w:lang w:val="en-US" w:eastAsia="zh-CN"/>
              </w:rPr>
            </w:pPr>
            <w:r>
              <w:rPr>
                <w:rFonts w:hint="eastAsia" w:ascii="宋体" w:hAnsi="宋体" w:cs="宋体"/>
                <w:sz w:val="24"/>
                <w:szCs w:val="24"/>
                <w:highlight w:val="none"/>
                <w:lang w:eastAsia="zh-CN"/>
              </w:rPr>
              <w:t>菏泽市立医院IVF双人工作站项目</w:t>
            </w:r>
          </w:p>
        </w:tc>
      </w:tr>
      <w:tr w14:paraId="6F96D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6F52DB01">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09" w:type="dxa"/>
            <w:vAlign w:val="center"/>
          </w:tcPr>
          <w:p w14:paraId="11EC6A98">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项目</w:t>
            </w:r>
            <w:r>
              <w:rPr>
                <w:rFonts w:hint="eastAsia" w:ascii="宋体" w:hAnsi="宋体" w:eastAsia="宋体" w:cs="宋体"/>
                <w:b w:val="0"/>
                <w:bCs/>
                <w:sz w:val="24"/>
                <w:szCs w:val="24"/>
                <w:highlight w:val="none"/>
                <w:lang w:eastAsia="zh-CN"/>
              </w:rPr>
              <w:t>编号</w:t>
            </w:r>
          </w:p>
        </w:tc>
        <w:tc>
          <w:tcPr>
            <w:tcW w:w="7126" w:type="dxa"/>
            <w:vAlign w:val="center"/>
          </w:tcPr>
          <w:p w14:paraId="6F04E82E">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SDGP371700000202502000167</w:t>
            </w:r>
          </w:p>
        </w:tc>
      </w:tr>
      <w:tr w14:paraId="7FB2F4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4DB5CAC6">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09" w:type="dxa"/>
            <w:vAlign w:val="center"/>
          </w:tcPr>
          <w:p w14:paraId="1B110E35">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采购人</w:t>
            </w:r>
          </w:p>
        </w:tc>
        <w:tc>
          <w:tcPr>
            <w:tcW w:w="7126" w:type="dxa"/>
            <w:vAlign w:val="center"/>
          </w:tcPr>
          <w:p w14:paraId="2AEA72EA">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outlineLvl w:val="1"/>
              <w:rPr>
                <w:rFonts w:hint="eastAsia" w:ascii="宋体" w:hAnsi="宋体" w:cs="宋体"/>
                <w:b w:val="0"/>
                <w:bCs w:val="0"/>
                <w:kern w:val="0"/>
                <w:sz w:val="24"/>
                <w:szCs w:val="24"/>
                <w:highlight w:val="none"/>
                <w:lang w:val="en-US" w:eastAsia="zh-CN"/>
              </w:rPr>
            </w:pPr>
            <w:bookmarkStart w:id="85" w:name="_Toc13497"/>
            <w:r>
              <w:rPr>
                <w:rFonts w:hint="eastAsia" w:ascii="宋体" w:hAnsi="宋体" w:cs="宋体"/>
                <w:b w:val="0"/>
                <w:bCs w:val="0"/>
                <w:kern w:val="0"/>
                <w:sz w:val="24"/>
                <w:szCs w:val="24"/>
                <w:highlight w:val="none"/>
                <w:lang w:val="en-US" w:eastAsia="zh-CN"/>
              </w:rPr>
              <w:t>采购人：</w:t>
            </w:r>
            <w:bookmarkEnd w:id="85"/>
            <w:r>
              <w:rPr>
                <w:rFonts w:hint="eastAsia" w:ascii="宋体" w:hAnsi="宋体" w:cs="宋体"/>
                <w:b w:val="0"/>
                <w:bCs w:val="0"/>
                <w:kern w:val="0"/>
                <w:sz w:val="24"/>
                <w:szCs w:val="24"/>
                <w:highlight w:val="none"/>
                <w:lang w:val="en-US" w:eastAsia="zh-CN"/>
              </w:rPr>
              <w:t>菏泽市立医院</w:t>
            </w:r>
            <w:r>
              <w:rPr>
                <w:rFonts w:hint="eastAsia" w:ascii="宋体" w:hAnsi="宋体" w:cs="宋体"/>
                <w:b w:val="0"/>
                <w:bCs w:val="0"/>
                <w:kern w:val="0"/>
                <w:sz w:val="24"/>
                <w:szCs w:val="24"/>
                <w:highlight w:val="none"/>
                <w:lang w:val="en-US" w:eastAsia="zh-CN"/>
              </w:rPr>
              <w:tab/>
            </w:r>
            <w:r>
              <w:rPr>
                <w:rFonts w:hint="eastAsia" w:ascii="宋体" w:hAnsi="宋体" w:cs="宋体"/>
                <w:b w:val="0"/>
                <w:bCs w:val="0"/>
                <w:kern w:val="0"/>
                <w:sz w:val="24"/>
                <w:szCs w:val="24"/>
                <w:highlight w:val="none"/>
                <w:lang w:val="en-US" w:eastAsia="zh-CN"/>
              </w:rPr>
              <w:t xml:space="preserve">              </w:t>
            </w:r>
          </w:p>
          <w:p w14:paraId="73BF6726">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outlineLvl w:val="1"/>
              <w:rPr>
                <w:rFonts w:hint="eastAsia" w:ascii="宋体" w:hAnsi="宋体" w:cs="宋体"/>
                <w:b w:val="0"/>
                <w:bCs w:val="0"/>
                <w:kern w:val="0"/>
                <w:sz w:val="24"/>
                <w:szCs w:val="24"/>
                <w:highlight w:val="none"/>
                <w:lang w:val="en-US" w:eastAsia="zh-CN"/>
              </w:rPr>
            </w:pPr>
            <w:bookmarkStart w:id="86" w:name="_Toc26163"/>
            <w:r>
              <w:rPr>
                <w:rFonts w:hint="eastAsia" w:ascii="宋体" w:hAnsi="宋体" w:cs="宋体"/>
                <w:b w:val="0"/>
                <w:bCs w:val="0"/>
                <w:kern w:val="0"/>
                <w:sz w:val="24"/>
                <w:szCs w:val="24"/>
                <w:highlight w:val="none"/>
                <w:lang w:val="en-US" w:eastAsia="zh-CN"/>
              </w:rPr>
              <w:t>地址：菏泽市曹州路2888号  </w:t>
            </w:r>
            <w:bookmarkEnd w:id="86"/>
            <w:r>
              <w:rPr>
                <w:rFonts w:hint="eastAsia" w:ascii="宋体" w:hAnsi="宋体" w:cs="宋体"/>
                <w:b w:val="0"/>
                <w:bCs w:val="0"/>
                <w:kern w:val="0"/>
                <w:sz w:val="24"/>
                <w:szCs w:val="24"/>
                <w:highlight w:val="none"/>
                <w:lang w:val="en-US" w:eastAsia="zh-CN"/>
              </w:rPr>
              <w:t xml:space="preserve">       </w:t>
            </w:r>
          </w:p>
          <w:p w14:paraId="11EB6DBE">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outlineLvl w:val="1"/>
              <w:rPr>
                <w:rFonts w:hint="eastAsia" w:ascii="宋体" w:hAnsi="宋体" w:cs="宋体"/>
                <w:b w:val="0"/>
                <w:bCs w:val="0"/>
                <w:kern w:val="0"/>
                <w:sz w:val="24"/>
                <w:highlight w:val="none"/>
                <w:lang w:val="en-US" w:eastAsia="zh-CN"/>
              </w:rPr>
            </w:pPr>
            <w:bookmarkStart w:id="87" w:name="_Toc15557"/>
            <w:r>
              <w:rPr>
                <w:rFonts w:hint="eastAsia" w:ascii="宋体" w:hAnsi="宋体" w:cs="宋体"/>
                <w:b w:val="0"/>
                <w:bCs w:val="0"/>
                <w:kern w:val="0"/>
                <w:sz w:val="24"/>
                <w:szCs w:val="24"/>
                <w:highlight w:val="none"/>
                <w:lang w:val="en-US" w:eastAsia="zh-CN"/>
              </w:rPr>
              <w:t>联系人：</w:t>
            </w:r>
            <w:bookmarkEnd w:id="87"/>
            <w:r>
              <w:rPr>
                <w:rFonts w:hint="eastAsia" w:ascii="宋体" w:hAnsi="宋体" w:cs="宋体"/>
                <w:b w:val="0"/>
                <w:bCs w:val="0"/>
                <w:kern w:val="0"/>
                <w:sz w:val="24"/>
                <w:szCs w:val="24"/>
                <w:highlight w:val="none"/>
                <w:lang w:val="en-US" w:eastAsia="zh-CN"/>
              </w:rPr>
              <w:t>李主任</w:t>
            </w:r>
          </w:p>
          <w:p w14:paraId="0E357502">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outlineLvl w:val="1"/>
              <w:rPr>
                <w:rFonts w:hint="default" w:ascii="宋体" w:hAnsi="宋体" w:eastAsia="宋体" w:cs="宋体"/>
                <w:color w:val="FF0000"/>
                <w:sz w:val="24"/>
                <w:szCs w:val="24"/>
                <w:highlight w:val="none"/>
                <w:lang w:val="en-US" w:eastAsia="zh-CN"/>
              </w:rPr>
            </w:pPr>
            <w:bookmarkStart w:id="88" w:name="_Toc11384"/>
            <w:r>
              <w:rPr>
                <w:rFonts w:hint="eastAsia" w:ascii="宋体" w:hAnsi="宋体" w:cs="宋体"/>
                <w:b w:val="0"/>
                <w:bCs w:val="0"/>
                <w:kern w:val="0"/>
                <w:sz w:val="24"/>
                <w:highlight w:val="none"/>
                <w:lang w:val="en-US" w:eastAsia="zh-CN"/>
              </w:rPr>
              <w:t>联系方式：</w:t>
            </w:r>
            <w:bookmarkEnd w:id="88"/>
            <w:r>
              <w:rPr>
                <w:rFonts w:hint="eastAsia" w:ascii="宋体" w:hAnsi="宋体" w:cs="宋体"/>
                <w:b w:val="0"/>
                <w:bCs w:val="0"/>
                <w:kern w:val="0"/>
                <w:sz w:val="24"/>
                <w:szCs w:val="24"/>
                <w:highlight w:val="none"/>
                <w:lang w:val="en-US" w:eastAsia="zh-CN"/>
              </w:rPr>
              <w:t xml:space="preserve">0530-5599020    </w:t>
            </w:r>
          </w:p>
        </w:tc>
      </w:tr>
      <w:tr w14:paraId="3645B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261688AE">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809" w:type="dxa"/>
            <w:vAlign w:val="center"/>
          </w:tcPr>
          <w:p w14:paraId="47DF464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eastAsia="zh-CN"/>
              </w:rPr>
              <w:t>采购</w:t>
            </w:r>
            <w:r>
              <w:rPr>
                <w:rFonts w:hint="eastAsia" w:ascii="宋体" w:hAnsi="宋体" w:eastAsia="宋体" w:cs="宋体"/>
                <w:b w:val="0"/>
                <w:bCs/>
                <w:sz w:val="24"/>
                <w:szCs w:val="24"/>
                <w:highlight w:val="none"/>
                <w:lang w:eastAsia="zh-CN"/>
              </w:rPr>
              <w:t>代理机构</w:t>
            </w:r>
          </w:p>
        </w:tc>
        <w:tc>
          <w:tcPr>
            <w:tcW w:w="7126" w:type="dxa"/>
            <w:vAlign w:val="center"/>
          </w:tcPr>
          <w:p w14:paraId="4AF6FAF1">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outlineLvl w:val="1"/>
              <w:rPr>
                <w:rFonts w:hint="eastAsia" w:ascii="宋体" w:hAnsi="宋体" w:cs="宋体"/>
                <w:b w:val="0"/>
                <w:bCs w:val="0"/>
                <w:kern w:val="0"/>
                <w:sz w:val="24"/>
                <w:szCs w:val="24"/>
                <w:highlight w:val="none"/>
                <w:lang w:val="en-US" w:eastAsia="zh-CN"/>
              </w:rPr>
            </w:pPr>
            <w:bookmarkStart w:id="89" w:name="_Toc9685"/>
            <w:r>
              <w:rPr>
                <w:rFonts w:hint="eastAsia" w:ascii="宋体" w:hAnsi="宋体" w:cs="宋体"/>
                <w:b w:val="0"/>
                <w:bCs w:val="0"/>
                <w:kern w:val="0"/>
                <w:sz w:val="24"/>
                <w:szCs w:val="24"/>
                <w:highlight w:val="none"/>
                <w:lang w:val="en-US" w:eastAsia="zh-CN"/>
              </w:rPr>
              <w:t>采购代理机构：山东华平项目管理有限公司</w:t>
            </w:r>
            <w:bookmarkEnd w:id="89"/>
          </w:p>
          <w:p w14:paraId="39E584E6">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outlineLvl w:val="1"/>
              <w:rPr>
                <w:rFonts w:hint="eastAsia" w:ascii="宋体" w:hAnsi="宋体" w:cs="宋体"/>
                <w:b w:val="0"/>
                <w:bCs w:val="0"/>
                <w:kern w:val="0"/>
                <w:sz w:val="24"/>
                <w:szCs w:val="24"/>
                <w:highlight w:val="none"/>
                <w:lang w:val="en-US" w:eastAsia="zh-CN"/>
              </w:rPr>
            </w:pPr>
            <w:bookmarkStart w:id="90" w:name="_Toc14415"/>
            <w:r>
              <w:rPr>
                <w:rFonts w:hint="eastAsia" w:ascii="宋体" w:hAnsi="宋体" w:cs="宋体"/>
                <w:b w:val="0"/>
                <w:bCs w:val="0"/>
                <w:kern w:val="0"/>
                <w:sz w:val="24"/>
                <w:szCs w:val="24"/>
                <w:highlight w:val="none"/>
                <w:lang w:val="en-US" w:eastAsia="zh-CN"/>
              </w:rPr>
              <w:t>地址：菏泽市经济开发区花香路588号</w:t>
            </w:r>
            <w:bookmarkEnd w:id="90"/>
          </w:p>
          <w:p w14:paraId="3A66BB8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outlineLvl w:val="1"/>
              <w:rPr>
                <w:rFonts w:hint="eastAsia" w:ascii="宋体" w:hAnsi="宋体" w:cs="宋体"/>
                <w:b w:val="0"/>
                <w:bCs w:val="0"/>
                <w:kern w:val="0"/>
                <w:sz w:val="24"/>
                <w:szCs w:val="24"/>
                <w:highlight w:val="none"/>
                <w:lang w:val="en-US" w:eastAsia="zh-CN"/>
              </w:rPr>
            </w:pPr>
            <w:bookmarkStart w:id="91" w:name="_Toc15713"/>
            <w:r>
              <w:rPr>
                <w:rFonts w:hint="eastAsia" w:ascii="宋体" w:hAnsi="宋体" w:cs="宋体"/>
                <w:b w:val="0"/>
                <w:bCs w:val="0"/>
                <w:kern w:val="0"/>
                <w:sz w:val="24"/>
                <w:szCs w:val="24"/>
                <w:highlight w:val="none"/>
                <w:lang w:val="en-US" w:eastAsia="zh-CN"/>
              </w:rPr>
              <w:t>联系人：</w:t>
            </w:r>
            <w:bookmarkEnd w:id="91"/>
            <w:r>
              <w:rPr>
                <w:rFonts w:hint="eastAsia" w:ascii="宋体" w:hAnsi="宋体" w:cs="宋体"/>
                <w:b w:val="0"/>
                <w:bCs w:val="0"/>
                <w:kern w:val="0"/>
                <w:sz w:val="24"/>
                <w:szCs w:val="24"/>
                <w:highlight w:val="none"/>
                <w:lang w:val="en-US" w:eastAsia="zh-CN"/>
              </w:rPr>
              <w:t xml:space="preserve">李文静   </w:t>
            </w:r>
          </w:p>
          <w:p w14:paraId="06F3832B">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outlineLvl w:val="1"/>
              <w:rPr>
                <w:rFonts w:hint="eastAsia" w:ascii="宋体" w:hAnsi="宋体" w:eastAsia="宋体" w:cs="宋体"/>
                <w:sz w:val="24"/>
                <w:szCs w:val="24"/>
                <w:highlight w:val="none"/>
                <w:lang w:eastAsia="zh-CN"/>
              </w:rPr>
            </w:pPr>
            <w:bookmarkStart w:id="92" w:name="_Toc4124"/>
            <w:r>
              <w:rPr>
                <w:rFonts w:hint="eastAsia" w:ascii="宋体" w:hAnsi="宋体" w:cs="宋体"/>
                <w:b w:val="0"/>
                <w:bCs w:val="0"/>
                <w:kern w:val="0"/>
                <w:sz w:val="24"/>
                <w:szCs w:val="24"/>
                <w:highlight w:val="none"/>
                <w:lang w:val="en-US" w:eastAsia="zh-CN"/>
              </w:rPr>
              <w:t>联系方式：</w:t>
            </w:r>
            <w:r>
              <w:rPr>
                <w:rFonts w:hint="eastAsia" w:ascii="宋体" w:hAnsi="宋体" w:cs="宋体"/>
                <w:color w:val="000000"/>
                <w:sz w:val="24"/>
                <w:szCs w:val="24"/>
                <w:highlight w:val="none"/>
                <w:lang w:val="en-US" w:eastAsia="zh-CN"/>
              </w:rPr>
              <w:t>17852007052</w:t>
            </w:r>
            <w:bookmarkEnd w:id="92"/>
          </w:p>
        </w:tc>
      </w:tr>
      <w:tr w14:paraId="1C573F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6D3A4E79">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809" w:type="dxa"/>
            <w:vAlign w:val="center"/>
          </w:tcPr>
          <w:p w14:paraId="1B65EF4C">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lang w:eastAsia="zh-CN"/>
              </w:rPr>
            </w:pPr>
            <w:r>
              <w:rPr>
                <w:rFonts w:hint="eastAsia" w:ascii="宋体" w:hAnsi="宋体" w:cs="宋体"/>
                <w:sz w:val="24"/>
              </w:rPr>
              <w:t>资金来源及落实情况</w:t>
            </w:r>
          </w:p>
        </w:tc>
        <w:tc>
          <w:tcPr>
            <w:tcW w:w="7126" w:type="dxa"/>
            <w:vAlign w:val="center"/>
          </w:tcPr>
          <w:p w14:paraId="3C631B35">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财政资金，已落实。</w:t>
            </w:r>
          </w:p>
        </w:tc>
      </w:tr>
      <w:tr w14:paraId="024BB0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2F3D5D59">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809" w:type="dxa"/>
            <w:vAlign w:val="center"/>
          </w:tcPr>
          <w:p w14:paraId="702ABA5B">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eastAsia="zh-CN"/>
              </w:rPr>
              <w:t>采购</w:t>
            </w:r>
            <w:r>
              <w:rPr>
                <w:rFonts w:hint="eastAsia" w:ascii="宋体" w:hAnsi="宋体" w:eastAsia="宋体" w:cs="宋体"/>
                <w:b w:val="0"/>
                <w:bCs/>
                <w:sz w:val="24"/>
                <w:szCs w:val="24"/>
                <w:highlight w:val="none"/>
              </w:rPr>
              <w:t>内容</w:t>
            </w:r>
          </w:p>
        </w:tc>
        <w:tc>
          <w:tcPr>
            <w:tcW w:w="7126" w:type="dxa"/>
            <w:vAlign w:val="center"/>
          </w:tcPr>
          <w:p w14:paraId="37B0BCBC">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菏泽市立医院IVF双人工作站项目</w:t>
            </w:r>
            <w:r>
              <w:rPr>
                <w:rFonts w:hint="eastAsia" w:ascii="宋体" w:hAnsi="宋体"/>
                <w:sz w:val="24"/>
                <w:szCs w:val="24"/>
                <w:highlight w:val="none"/>
                <w:lang w:eastAsia="zh-CN"/>
              </w:rPr>
              <w:t>，</w:t>
            </w:r>
            <w:r>
              <w:rPr>
                <w:rFonts w:hint="eastAsia" w:ascii="宋体" w:hAnsi="宋体" w:eastAsia="宋体" w:cs="宋体"/>
                <w:sz w:val="24"/>
                <w:szCs w:val="24"/>
                <w:highlight w:val="none"/>
                <w:lang w:eastAsia="zh-CN"/>
              </w:rPr>
              <w:t>具体</w:t>
            </w:r>
            <w:r>
              <w:rPr>
                <w:rFonts w:hint="eastAsia" w:ascii="宋体" w:hAnsi="宋体" w:cs="宋体"/>
                <w:sz w:val="24"/>
                <w:szCs w:val="24"/>
                <w:highlight w:val="none"/>
                <w:lang w:val="en-US" w:eastAsia="zh-CN"/>
              </w:rPr>
              <w:t>内容</w:t>
            </w:r>
            <w:r>
              <w:rPr>
                <w:rFonts w:hint="eastAsia" w:ascii="宋体" w:hAnsi="宋体" w:eastAsia="宋体" w:cs="宋体"/>
                <w:sz w:val="24"/>
                <w:szCs w:val="24"/>
                <w:highlight w:val="none"/>
                <w:lang w:eastAsia="zh-CN"/>
              </w:rPr>
              <w:t>详见第四章采购内容及项目要求</w:t>
            </w:r>
            <w:r>
              <w:rPr>
                <w:rFonts w:hint="eastAsia" w:ascii="宋体" w:hAnsi="宋体"/>
                <w:sz w:val="24"/>
                <w:szCs w:val="24"/>
                <w:highlight w:val="none"/>
              </w:rPr>
              <w:t>。</w:t>
            </w:r>
          </w:p>
        </w:tc>
      </w:tr>
      <w:tr w14:paraId="05C0E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5719F4BF">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09" w:type="dxa"/>
            <w:vAlign w:val="center"/>
          </w:tcPr>
          <w:p w14:paraId="655DAA56">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供货安装地点</w:t>
            </w:r>
          </w:p>
        </w:tc>
        <w:tc>
          <w:tcPr>
            <w:tcW w:w="7126" w:type="dxa"/>
            <w:vAlign w:val="center"/>
          </w:tcPr>
          <w:p w14:paraId="3F49CEE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both"/>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采购人指定地点。</w:t>
            </w:r>
          </w:p>
        </w:tc>
      </w:tr>
      <w:tr w14:paraId="4648A0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3DD084A1">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1809" w:type="dxa"/>
            <w:vAlign w:val="center"/>
          </w:tcPr>
          <w:p w14:paraId="6D0E661A">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GB" w:eastAsia="zh-CN"/>
              </w:rPr>
              <w:t>供货安装期</w:t>
            </w:r>
          </w:p>
        </w:tc>
        <w:tc>
          <w:tcPr>
            <w:tcW w:w="7126" w:type="dxa"/>
            <w:vAlign w:val="center"/>
          </w:tcPr>
          <w:p w14:paraId="7CB521FB">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签订合同后1个月内供货安装调试完毕（具体以院方通知为准）。</w:t>
            </w:r>
          </w:p>
        </w:tc>
      </w:tr>
      <w:tr w14:paraId="3C2C3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7E6368B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809" w:type="dxa"/>
            <w:vAlign w:val="center"/>
          </w:tcPr>
          <w:p w14:paraId="34D2D752">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lang w:eastAsia="zh-CN"/>
              </w:rPr>
            </w:pPr>
            <w:r>
              <w:rPr>
                <w:rFonts w:hint="eastAsia" w:ascii="宋体" w:hAnsi="宋体" w:cs="宋体"/>
                <w:sz w:val="24"/>
                <w:szCs w:val="24"/>
                <w:highlight w:val="none"/>
                <w:lang w:val="en-US" w:eastAsia="zh-CN"/>
              </w:rPr>
              <w:t>供应商资格要求</w:t>
            </w:r>
          </w:p>
        </w:tc>
        <w:tc>
          <w:tcPr>
            <w:tcW w:w="7126" w:type="dxa"/>
            <w:vAlign w:val="center"/>
          </w:tcPr>
          <w:p w14:paraId="5EEB673E">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详见第一章竞争性磋商公告。</w:t>
            </w:r>
          </w:p>
        </w:tc>
      </w:tr>
      <w:tr w14:paraId="001F75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0E99F3E7">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09" w:type="dxa"/>
            <w:vAlign w:val="center"/>
          </w:tcPr>
          <w:p w14:paraId="601597B9">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kern w:val="0"/>
                <w:sz w:val="24"/>
                <w:szCs w:val="24"/>
                <w:highlight w:val="none"/>
                <w:lang w:eastAsia="zh-CN"/>
              </w:rPr>
            </w:pPr>
            <w:r>
              <w:rPr>
                <w:rFonts w:hint="eastAsia" w:ascii="宋体" w:hAnsi="宋体" w:eastAsia="宋体" w:cs="宋体"/>
                <w:sz w:val="24"/>
                <w:szCs w:val="24"/>
                <w:highlight w:val="none"/>
              </w:rPr>
              <w:t>联合体投标</w:t>
            </w:r>
          </w:p>
        </w:tc>
        <w:tc>
          <w:tcPr>
            <w:tcW w:w="7126" w:type="dxa"/>
            <w:vAlign w:val="center"/>
          </w:tcPr>
          <w:p w14:paraId="31CD0B25">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sz w:val="24"/>
                <w:szCs w:val="24"/>
                <w:highlight w:val="none"/>
              </w:rPr>
            </w:pPr>
            <w:r>
              <w:rPr>
                <w:rFonts w:hint="eastAsia" w:ascii="宋体" w:hAnsi="宋体" w:eastAsia="宋体" w:cs="宋体"/>
                <w:sz w:val="24"/>
                <w:szCs w:val="24"/>
                <w:highlight w:val="none"/>
              </w:rPr>
              <w:t>本项目不接受联合体投标</w:t>
            </w:r>
            <w:r>
              <w:rPr>
                <w:rFonts w:hint="eastAsia" w:ascii="宋体" w:hAnsi="宋体" w:cs="宋体"/>
                <w:sz w:val="24"/>
                <w:szCs w:val="24"/>
                <w:highlight w:val="none"/>
                <w:lang w:eastAsia="zh-CN"/>
              </w:rPr>
              <w:t>。</w:t>
            </w:r>
          </w:p>
        </w:tc>
      </w:tr>
      <w:tr w14:paraId="251BB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44632C2D">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809" w:type="dxa"/>
            <w:vAlign w:val="center"/>
          </w:tcPr>
          <w:p w14:paraId="79FB270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rPr>
              <w:t>踏勘现场</w:t>
            </w:r>
          </w:p>
        </w:tc>
        <w:tc>
          <w:tcPr>
            <w:tcW w:w="7126" w:type="dxa"/>
            <w:vAlign w:val="center"/>
          </w:tcPr>
          <w:p w14:paraId="02DBF1AA">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本项目不统一踏勘现场，</w:t>
            </w:r>
            <w:r>
              <w:rPr>
                <w:rFonts w:hint="eastAsia" w:ascii="宋体" w:hAnsi="宋体" w:cs="宋体"/>
                <w:sz w:val="24"/>
                <w:szCs w:val="24"/>
                <w:highlight w:val="none"/>
                <w:lang w:eastAsia="zh-CN"/>
              </w:rPr>
              <w:t>供应商可</w:t>
            </w:r>
            <w:r>
              <w:rPr>
                <w:rFonts w:hint="eastAsia" w:ascii="宋体" w:hAnsi="宋体" w:cs="宋体"/>
                <w:sz w:val="24"/>
                <w:szCs w:val="24"/>
                <w:highlight w:val="none"/>
              </w:rPr>
              <w:t>自行踏勘现场。</w:t>
            </w:r>
          </w:p>
        </w:tc>
      </w:tr>
      <w:tr w14:paraId="36DBE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72E96A5B">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09" w:type="dxa"/>
            <w:vAlign w:val="center"/>
          </w:tcPr>
          <w:p w14:paraId="5E680671">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kern w:val="0"/>
                <w:sz w:val="24"/>
                <w:szCs w:val="24"/>
                <w:highlight w:val="none"/>
                <w:lang w:eastAsia="zh-CN"/>
              </w:rPr>
            </w:pPr>
            <w:r>
              <w:rPr>
                <w:rFonts w:hint="eastAsia" w:ascii="宋体" w:hAnsi="宋体" w:cs="宋体"/>
                <w:b/>
                <w:bCs w:val="0"/>
                <w:sz w:val="24"/>
                <w:szCs w:val="24"/>
                <w:highlight w:val="none"/>
                <w:lang w:eastAsia="zh-CN"/>
              </w:rPr>
              <w:t>采购限价</w:t>
            </w:r>
          </w:p>
        </w:tc>
        <w:tc>
          <w:tcPr>
            <w:tcW w:w="7126" w:type="dxa"/>
            <w:vAlign w:val="center"/>
          </w:tcPr>
          <w:p w14:paraId="32F84E45">
            <w:pPr>
              <w:pStyle w:val="41"/>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0" w:firstLineChars="0"/>
              <w:textAlignment w:val="auto"/>
              <w:rPr>
                <w:rFonts w:hint="default" w:hAnsi="宋体" w:cs="宋体"/>
                <w:b/>
                <w:bCs/>
                <w:color w:val="auto"/>
                <w:sz w:val="24"/>
                <w:szCs w:val="24"/>
                <w:highlight w:val="none"/>
                <w:u w:val="single"/>
                <w:lang w:val="en-US" w:eastAsia="zh-CN"/>
              </w:rPr>
            </w:pPr>
            <w:r>
              <w:rPr>
                <w:rFonts w:hint="eastAsia" w:hAnsi="宋体" w:cs="宋体"/>
                <w:b/>
                <w:bCs/>
                <w:color w:val="auto"/>
                <w:sz w:val="24"/>
                <w:szCs w:val="24"/>
                <w:highlight w:val="none"/>
                <w:u w:val="none"/>
                <w:lang w:val="en-US" w:eastAsia="zh-CN"/>
              </w:rPr>
              <w:t>大写：人民币壹佰贰拾万元整；小写：￥1200000.00元；</w:t>
            </w:r>
          </w:p>
          <w:p w14:paraId="33C075B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注：供应商的</w:t>
            </w:r>
            <w:r>
              <w:rPr>
                <w:rFonts w:hint="eastAsia" w:ascii="宋体" w:hAnsi="宋体" w:cs="宋体"/>
                <w:b/>
                <w:sz w:val="24"/>
                <w:szCs w:val="24"/>
                <w:highlight w:val="none"/>
                <w:lang w:eastAsia="zh-CN"/>
              </w:rPr>
              <w:t>报价不得</w:t>
            </w:r>
            <w:r>
              <w:rPr>
                <w:rFonts w:hint="eastAsia" w:ascii="宋体" w:hAnsi="宋体" w:eastAsia="宋体" w:cs="宋体"/>
                <w:b/>
                <w:sz w:val="24"/>
                <w:szCs w:val="24"/>
                <w:highlight w:val="none"/>
              </w:rPr>
              <w:t>高于</w:t>
            </w:r>
            <w:r>
              <w:rPr>
                <w:rFonts w:hint="eastAsia" w:ascii="宋体" w:hAnsi="宋体" w:cs="宋体"/>
                <w:b/>
                <w:sz w:val="24"/>
                <w:szCs w:val="24"/>
                <w:highlight w:val="none"/>
                <w:lang w:eastAsia="zh-CN"/>
              </w:rPr>
              <w:t>本项目采购限价，否则</w:t>
            </w:r>
            <w:r>
              <w:rPr>
                <w:rFonts w:hint="eastAsia" w:ascii="宋体" w:hAnsi="宋体" w:eastAsia="宋体" w:cs="宋体"/>
                <w:b/>
                <w:sz w:val="24"/>
                <w:szCs w:val="24"/>
                <w:highlight w:val="none"/>
              </w:rPr>
              <w:t>按无效</w:t>
            </w:r>
            <w:r>
              <w:rPr>
                <w:rFonts w:hint="eastAsia" w:ascii="宋体" w:hAnsi="宋体" w:cs="宋体"/>
                <w:b/>
                <w:sz w:val="24"/>
                <w:szCs w:val="24"/>
                <w:highlight w:val="none"/>
                <w:lang w:val="en-US" w:eastAsia="zh-CN"/>
              </w:rPr>
              <w:t>报价</w:t>
            </w:r>
            <w:r>
              <w:rPr>
                <w:rFonts w:hint="eastAsia" w:ascii="宋体" w:hAnsi="宋体" w:eastAsia="宋体" w:cs="宋体"/>
                <w:b/>
                <w:sz w:val="24"/>
                <w:szCs w:val="24"/>
                <w:highlight w:val="none"/>
              </w:rPr>
              <w:t>处理。</w:t>
            </w:r>
          </w:p>
        </w:tc>
      </w:tr>
      <w:tr w14:paraId="316DB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14ED515E">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09" w:type="dxa"/>
            <w:vAlign w:val="center"/>
          </w:tcPr>
          <w:p w14:paraId="2BD43852">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预备会</w:t>
            </w:r>
          </w:p>
        </w:tc>
        <w:tc>
          <w:tcPr>
            <w:tcW w:w="7126" w:type="dxa"/>
            <w:vAlign w:val="center"/>
          </w:tcPr>
          <w:p w14:paraId="1ABF3F99">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
                <w:sz w:val="24"/>
                <w:szCs w:val="24"/>
                <w:highlight w:val="none"/>
              </w:rPr>
            </w:pPr>
            <w:r>
              <w:rPr>
                <w:rFonts w:hint="eastAsia" w:ascii="宋体" w:hAnsi="宋体" w:eastAsia="宋体" w:cs="宋体"/>
                <w:kern w:val="2"/>
                <w:sz w:val="24"/>
                <w:szCs w:val="24"/>
                <w:highlight w:val="none"/>
                <w:lang w:val="en-US" w:eastAsia="zh-CN"/>
              </w:rPr>
              <w:t>不召开</w:t>
            </w:r>
          </w:p>
        </w:tc>
      </w:tr>
      <w:tr w14:paraId="5FF5FC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08BB91AD">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09" w:type="dxa"/>
            <w:vAlign w:val="center"/>
          </w:tcPr>
          <w:p w14:paraId="2685D736">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kern w:val="0"/>
                <w:sz w:val="24"/>
                <w:szCs w:val="24"/>
                <w:highlight w:val="none"/>
              </w:rPr>
            </w:pPr>
            <w:r>
              <w:rPr>
                <w:rFonts w:hint="eastAsia" w:ascii="宋体" w:hAnsi="宋体" w:eastAsia="宋体" w:cs="宋体"/>
                <w:b w:val="0"/>
                <w:bCs/>
                <w:sz w:val="24"/>
                <w:szCs w:val="24"/>
                <w:highlight w:val="none"/>
                <w:lang w:val="en-GB"/>
              </w:rPr>
              <w:t>分包、转包</w:t>
            </w:r>
          </w:p>
        </w:tc>
        <w:tc>
          <w:tcPr>
            <w:tcW w:w="7126" w:type="dxa"/>
            <w:vAlign w:val="center"/>
          </w:tcPr>
          <w:p w14:paraId="4713BD0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left"/>
              <w:textAlignment w:val="auto"/>
              <w:rPr>
                <w:rFonts w:hint="default" w:ascii="宋体" w:hAnsi="宋体" w:eastAsia="宋体" w:cs="宋体"/>
                <w:b/>
                <w:sz w:val="24"/>
                <w:szCs w:val="24"/>
                <w:highlight w:val="none"/>
                <w:lang w:val="en-US" w:eastAsia="zh-CN"/>
              </w:rPr>
            </w:pPr>
            <w:r>
              <w:rPr>
                <w:rFonts w:hint="eastAsia" w:ascii="宋体" w:hAnsi="宋体" w:cs="宋体"/>
                <w:b w:val="0"/>
                <w:bCs/>
                <w:sz w:val="24"/>
                <w:szCs w:val="24"/>
                <w:highlight w:val="none"/>
                <w:lang w:val="en-US" w:eastAsia="zh-CN"/>
              </w:rPr>
              <w:t>不允许</w:t>
            </w:r>
          </w:p>
        </w:tc>
      </w:tr>
      <w:tr w14:paraId="568ECE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2165CCF5">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09" w:type="dxa"/>
            <w:vAlign w:val="center"/>
          </w:tcPr>
          <w:p w14:paraId="26B889C9">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ascii="宋体" w:hAnsi="宋体" w:eastAsia="宋体" w:cs="宋体"/>
                <w:b/>
                <w:bCs/>
                <w:kern w:val="0"/>
                <w:sz w:val="24"/>
                <w:szCs w:val="24"/>
                <w:highlight w:val="none"/>
              </w:rPr>
            </w:pPr>
            <w:r>
              <w:rPr>
                <w:rFonts w:hint="eastAsia" w:hAnsi="宋体" w:cs="宋体"/>
                <w:b/>
                <w:bCs/>
                <w:kern w:val="2"/>
                <w:sz w:val="24"/>
                <w:szCs w:val="24"/>
                <w:highlight w:val="none"/>
                <w:lang w:val="en-US" w:eastAsia="zh-CN"/>
              </w:rPr>
              <w:t>进口产品</w:t>
            </w:r>
          </w:p>
        </w:tc>
        <w:tc>
          <w:tcPr>
            <w:tcW w:w="7126" w:type="dxa"/>
            <w:vAlign w:val="center"/>
          </w:tcPr>
          <w:p w14:paraId="327C5415">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rPr>
              <w:t>本项目</w:t>
            </w:r>
            <w:r>
              <w:rPr>
                <w:rFonts w:hint="eastAsia" w:hAnsi="宋体" w:cs="宋体"/>
                <w:b/>
                <w:bCs/>
                <w:kern w:val="2"/>
                <w:sz w:val="24"/>
                <w:szCs w:val="24"/>
                <w:highlight w:val="none"/>
                <w:lang w:val="en-US" w:eastAsia="zh-CN"/>
              </w:rPr>
              <w:t>允许</w:t>
            </w:r>
            <w:r>
              <w:rPr>
                <w:rFonts w:hint="eastAsia" w:ascii="宋体" w:hAnsi="宋体" w:eastAsia="宋体" w:cs="宋体"/>
                <w:b/>
                <w:bCs/>
                <w:kern w:val="2"/>
                <w:sz w:val="24"/>
                <w:szCs w:val="24"/>
                <w:highlight w:val="none"/>
                <w:lang w:val="en-US" w:eastAsia="zh-CN"/>
              </w:rPr>
              <w:t>进口产品投标。</w:t>
            </w:r>
          </w:p>
        </w:tc>
      </w:tr>
      <w:tr w14:paraId="07579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59624326">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p>
        </w:tc>
        <w:tc>
          <w:tcPr>
            <w:tcW w:w="1809" w:type="dxa"/>
            <w:vAlign w:val="center"/>
          </w:tcPr>
          <w:p w14:paraId="2921BA7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color w:val="auto"/>
                <w:kern w:val="0"/>
                <w:sz w:val="24"/>
                <w:szCs w:val="24"/>
                <w:highlight w:val="none"/>
              </w:rPr>
              <w:t>资格</w:t>
            </w:r>
            <w:r>
              <w:rPr>
                <w:rFonts w:hint="eastAsia" w:ascii="宋体" w:hAnsi="宋体" w:eastAsia="宋体" w:cs="宋体"/>
                <w:b/>
                <w:color w:val="auto"/>
                <w:kern w:val="0"/>
                <w:sz w:val="24"/>
                <w:szCs w:val="24"/>
                <w:highlight w:val="none"/>
                <w:lang w:eastAsia="zh-CN"/>
              </w:rPr>
              <w:t>审查</w:t>
            </w:r>
            <w:r>
              <w:rPr>
                <w:rFonts w:hint="eastAsia" w:ascii="宋体" w:hAnsi="宋体" w:cs="宋体"/>
                <w:b/>
                <w:color w:val="auto"/>
                <w:kern w:val="0"/>
                <w:sz w:val="24"/>
                <w:szCs w:val="24"/>
                <w:highlight w:val="none"/>
                <w:lang w:eastAsia="zh-CN"/>
              </w:rPr>
              <w:t>资料</w:t>
            </w:r>
          </w:p>
        </w:tc>
        <w:tc>
          <w:tcPr>
            <w:tcW w:w="7126" w:type="dxa"/>
            <w:vAlign w:val="center"/>
          </w:tcPr>
          <w:p w14:paraId="6B275397">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b w:val="0"/>
                <w:bCs/>
                <w:sz w:val="24"/>
                <w:szCs w:val="24"/>
                <w:highlight w:val="none"/>
                <w:u w:val="single"/>
                <w:lang w:val="en-US" w:eastAsia="zh-CN"/>
              </w:rPr>
            </w:pPr>
            <w:r>
              <w:rPr>
                <w:rFonts w:hint="eastAsia" w:ascii="宋体" w:hAnsi="宋体" w:cs="宋体"/>
                <w:b w:val="0"/>
                <w:bCs/>
                <w:sz w:val="24"/>
                <w:szCs w:val="24"/>
                <w:highlight w:val="none"/>
                <w:u w:val="single"/>
                <w:lang w:val="en-US" w:eastAsia="zh-CN"/>
              </w:rPr>
              <w:t>供应商</w:t>
            </w:r>
            <w:r>
              <w:rPr>
                <w:rFonts w:hint="eastAsia" w:ascii="宋体" w:hAnsi="宋体" w:eastAsia="宋体" w:cs="宋体"/>
                <w:b w:val="0"/>
                <w:bCs/>
                <w:sz w:val="24"/>
                <w:szCs w:val="24"/>
                <w:highlight w:val="none"/>
                <w:u w:val="single"/>
                <w:lang w:val="en-US" w:eastAsia="zh-CN"/>
              </w:rPr>
              <w:t>须将以下</w:t>
            </w:r>
            <w:r>
              <w:rPr>
                <w:rFonts w:hint="eastAsia" w:ascii="宋体" w:hAnsi="宋体" w:cs="宋体"/>
                <w:b w:val="0"/>
                <w:bCs/>
                <w:sz w:val="24"/>
                <w:szCs w:val="24"/>
                <w:highlight w:val="none"/>
                <w:u w:val="single"/>
                <w:lang w:val="en-US" w:eastAsia="zh-CN"/>
              </w:rPr>
              <w:t>资格审查资料的扫描件</w:t>
            </w:r>
            <w:r>
              <w:rPr>
                <w:rFonts w:hint="eastAsia" w:ascii="宋体" w:hAnsi="宋体" w:eastAsia="宋体" w:cs="宋体"/>
                <w:b w:val="0"/>
                <w:bCs/>
                <w:sz w:val="24"/>
                <w:szCs w:val="24"/>
                <w:highlight w:val="none"/>
                <w:u w:val="single"/>
                <w:lang w:val="en-US" w:eastAsia="zh-CN"/>
              </w:rPr>
              <w:t>附在</w:t>
            </w:r>
            <w:r>
              <w:rPr>
                <w:rFonts w:hint="eastAsia" w:ascii="宋体" w:hAnsi="宋体" w:cs="宋体"/>
                <w:b w:val="0"/>
                <w:bCs/>
                <w:sz w:val="24"/>
                <w:szCs w:val="24"/>
                <w:highlight w:val="none"/>
                <w:u w:val="single"/>
                <w:lang w:val="en-US" w:eastAsia="zh-CN"/>
              </w:rPr>
              <w:t>电子响应文件</w:t>
            </w:r>
            <w:r>
              <w:rPr>
                <w:rFonts w:hint="eastAsia" w:ascii="宋体" w:hAnsi="宋体" w:eastAsia="宋体" w:cs="宋体"/>
                <w:b w:val="0"/>
                <w:bCs/>
                <w:sz w:val="24"/>
                <w:szCs w:val="24"/>
                <w:highlight w:val="none"/>
                <w:u w:val="single"/>
                <w:lang w:val="en-US" w:eastAsia="zh-CN"/>
              </w:rPr>
              <w:t>中</w:t>
            </w:r>
            <w:r>
              <w:rPr>
                <w:rFonts w:hint="eastAsia" w:ascii="宋体" w:hAnsi="宋体" w:cs="宋体"/>
                <w:b w:val="0"/>
                <w:bCs/>
                <w:sz w:val="24"/>
                <w:szCs w:val="24"/>
                <w:highlight w:val="none"/>
                <w:u w:val="single"/>
                <w:lang w:val="en-US" w:eastAsia="zh-CN"/>
              </w:rPr>
              <w:t>并加盖投标单位公章（电子签章）</w:t>
            </w:r>
            <w:r>
              <w:rPr>
                <w:rFonts w:hint="eastAsia" w:ascii="宋体" w:hAnsi="宋体" w:eastAsia="宋体" w:cs="宋体"/>
                <w:b w:val="0"/>
                <w:bCs/>
                <w:sz w:val="24"/>
                <w:szCs w:val="24"/>
                <w:highlight w:val="none"/>
                <w:u w:val="single"/>
                <w:lang w:val="en-US" w:eastAsia="zh-CN"/>
              </w:rPr>
              <w:t>，有一项或多项检验不合格者，其报价按无效报价处理</w:t>
            </w:r>
            <w:r>
              <w:rPr>
                <w:rFonts w:hint="eastAsia" w:ascii="宋体" w:hAnsi="宋体" w:cs="宋体"/>
                <w:b w:val="0"/>
                <w:bCs/>
                <w:sz w:val="24"/>
                <w:szCs w:val="24"/>
                <w:highlight w:val="none"/>
                <w:u w:val="single"/>
                <w:lang w:val="en-US" w:eastAsia="zh-CN"/>
              </w:rPr>
              <w:t>；供应商</w:t>
            </w:r>
            <w:r>
              <w:rPr>
                <w:rFonts w:hint="eastAsia" w:ascii="宋体" w:hAnsi="宋体" w:eastAsia="宋体" w:cs="宋体"/>
                <w:b w:val="0"/>
                <w:bCs/>
                <w:sz w:val="24"/>
                <w:szCs w:val="24"/>
                <w:highlight w:val="none"/>
                <w:u w:val="single"/>
                <w:lang w:val="en-US" w:eastAsia="zh-CN"/>
              </w:rPr>
              <w:t>应对其提供的资料真实性及完整性负责</w:t>
            </w:r>
            <w:r>
              <w:rPr>
                <w:rFonts w:hint="eastAsia" w:ascii="宋体" w:hAnsi="宋体" w:cs="宋体"/>
                <w:b w:val="0"/>
                <w:bCs/>
                <w:sz w:val="24"/>
                <w:szCs w:val="24"/>
                <w:highlight w:val="none"/>
                <w:u w:val="single"/>
                <w:lang w:val="en-US" w:eastAsia="zh-CN"/>
              </w:rPr>
              <w:t>：</w:t>
            </w:r>
          </w:p>
          <w:p w14:paraId="1F5D8D3A">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（1）带有统一社会信用代码的营业执照</w:t>
            </w:r>
            <w:r>
              <w:rPr>
                <w:rFonts w:hint="eastAsia" w:ascii="宋体" w:hAnsi="宋体" w:eastAsia="宋体" w:cs="宋体"/>
                <w:b/>
                <w:sz w:val="24"/>
                <w:szCs w:val="24"/>
                <w:highlight w:val="none"/>
                <w:lang w:eastAsia="zh-CN"/>
              </w:rPr>
              <w:t>；</w:t>
            </w:r>
          </w:p>
          <w:p w14:paraId="7D105D0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（2）法定代表人身份证</w:t>
            </w:r>
            <w:r>
              <w:rPr>
                <w:rFonts w:hint="eastAsia" w:ascii="宋体" w:hAnsi="宋体" w:eastAsia="宋体" w:cs="宋体"/>
                <w:b/>
                <w:sz w:val="24"/>
                <w:szCs w:val="24"/>
                <w:highlight w:val="none"/>
                <w:lang w:eastAsia="zh-CN"/>
              </w:rPr>
              <w:t>明</w:t>
            </w:r>
            <w:r>
              <w:rPr>
                <w:rFonts w:hint="eastAsia" w:ascii="宋体" w:hAnsi="宋体" w:eastAsia="宋体" w:cs="宋体"/>
                <w:b/>
                <w:sz w:val="24"/>
                <w:szCs w:val="24"/>
                <w:highlight w:val="none"/>
                <w:lang w:val="en-US" w:eastAsia="zh-CN"/>
              </w:rPr>
              <w:t>及法人身份证</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或法人授权委托书及</w:t>
            </w:r>
            <w:r>
              <w:rPr>
                <w:rFonts w:hint="eastAsia" w:ascii="宋体" w:hAnsi="宋体" w:eastAsia="宋体" w:cs="宋体"/>
                <w:b/>
                <w:sz w:val="24"/>
                <w:szCs w:val="24"/>
                <w:highlight w:val="none"/>
                <w:lang w:eastAsia="zh-CN"/>
              </w:rPr>
              <w:t>委托代理</w:t>
            </w:r>
            <w:r>
              <w:rPr>
                <w:rFonts w:hint="eastAsia" w:ascii="宋体" w:hAnsi="宋体" w:eastAsia="宋体" w:cs="宋体"/>
                <w:b/>
                <w:sz w:val="24"/>
                <w:szCs w:val="24"/>
                <w:highlight w:val="none"/>
              </w:rPr>
              <w:t>人身份证</w:t>
            </w:r>
            <w:r>
              <w:rPr>
                <w:rFonts w:hint="eastAsia" w:ascii="宋体" w:hAnsi="宋体" w:eastAsia="宋体" w:cs="宋体"/>
                <w:b/>
                <w:sz w:val="24"/>
                <w:szCs w:val="24"/>
                <w:highlight w:val="none"/>
                <w:lang w:eastAsia="zh-CN"/>
              </w:rPr>
              <w:t>；</w:t>
            </w:r>
          </w:p>
          <w:p w14:paraId="2EA20A1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lang w:eastAsia="zh-CN"/>
              </w:rPr>
              <w:t>）供应商若为制造商，须按照《医疗器械生产监督管理办法》（国家市场监督管理总局令第53号）的规定提供所投医疗设备的医疗器械生产许可证或生产备案凭证：第一类医疗器械提供医疗器械生产备案凭证（如有附表，须提供附表），第二、三类医疗器械提供医疗器械生产许可证（如有附表，须提供附表）；</w:t>
            </w:r>
          </w:p>
          <w:p w14:paraId="4B8DC987">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供应商若为代理商，须按照《医疗器械经营监督管理办法》（国家市场监督管理总局令第54号）的规定提供医疗器械经营许可证或经营备案凭证（第二类医疗器械提供医疗器械经营备案凭证，第三类医疗器械提供医疗器械经营许可证）；</w:t>
            </w:r>
          </w:p>
          <w:p w14:paraId="51773F1D">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b/>
                <w:sz w:val="24"/>
                <w:szCs w:val="24"/>
                <w:highlight w:val="none"/>
                <w:lang w:eastAsia="zh-CN"/>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4</w:t>
            </w:r>
            <w:r>
              <w:rPr>
                <w:rFonts w:hint="eastAsia" w:ascii="宋体" w:hAnsi="宋体" w:cs="宋体"/>
                <w:b/>
                <w:sz w:val="24"/>
                <w:szCs w:val="24"/>
                <w:highlight w:val="none"/>
                <w:lang w:eastAsia="zh-CN"/>
              </w:rPr>
              <w:t>）所投设备的医疗器械注册证或备案凭证：第一类医疗器械提供医疗器械备案凭证（如有附表，须提供附表），第二、三类医疗器械提供医疗器械注册证（如有附表，须提供附表）；</w:t>
            </w:r>
          </w:p>
          <w:p w14:paraId="367575F0">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cs="宋体"/>
                <w:b/>
                <w:sz w:val="24"/>
                <w:szCs w:val="24"/>
                <w:highlight w:val="none"/>
                <w:lang w:eastAsia="zh-CN"/>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5</w:t>
            </w:r>
            <w:r>
              <w:rPr>
                <w:rFonts w:hint="eastAsia" w:ascii="宋体" w:hAnsi="宋体" w:cs="宋体"/>
                <w:b/>
                <w:sz w:val="24"/>
                <w:szCs w:val="24"/>
                <w:highlight w:val="none"/>
                <w:lang w:eastAsia="zh-CN"/>
              </w:rPr>
              <w:t>）供应商若投报进口产品，须提供所投产品生产厂家或中国总代理商针对本项目出具的逐级授权书；</w:t>
            </w:r>
          </w:p>
          <w:p w14:paraId="43E768BA">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sz w:val="24"/>
                <w:szCs w:val="24"/>
                <w:highlight w:val="none"/>
                <w:u w:val="singl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lang w:eastAsia="zh-CN"/>
              </w:rPr>
              <w:t>菏泽市政府采购供应商资格信用承诺函</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格式后附）</w:t>
            </w:r>
            <w:r>
              <w:rPr>
                <w:rFonts w:hint="eastAsia" w:ascii="宋体" w:hAnsi="宋体" w:cs="宋体"/>
                <w:b/>
                <w:sz w:val="24"/>
                <w:szCs w:val="24"/>
                <w:highlight w:val="none"/>
                <w:lang w:eastAsia="zh-CN"/>
              </w:rPr>
              <w:t>。</w:t>
            </w:r>
          </w:p>
        </w:tc>
      </w:tr>
      <w:tr w14:paraId="0CC6AC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4CB52F3E">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p>
        </w:tc>
        <w:tc>
          <w:tcPr>
            <w:tcW w:w="1809" w:type="dxa"/>
            <w:vAlign w:val="center"/>
          </w:tcPr>
          <w:p w14:paraId="593280A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b/>
                <w:sz w:val="24"/>
                <w:szCs w:val="24"/>
                <w:highlight w:val="none"/>
              </w:rPr>
            </w:pPr>
            <w:r>
              <w:rPr>
                <w:rFonts w:hint="eastAsia" w:ascii="宋体" w:hAnsi="宋体" w:cs="宋体"/>
                <w:b w:val="0"/>
                <w:bCs/>
                <w:sz w:val="24"/>
                <w:szCs w:val="24"/>
                <w:highlight w:val="none"/>
                <w:lang w:eastAsia="zh-CN"/>
              </w:rPr>
              <w:t>供应商</w:t>
            </w:r>
            <w:r>
              <w:rPr>
                <w:rFonts w:hint="eastAsia" w:ascii="宋体" w:hAnsi="宋体" w:eastAsia="宋体" w:cs="宋体"/>
                <w:b w:val="0"/>
                <w:bCs/>
                <w:sz w:val="24"/>
                <w:szCs w:val="24"/>
                <w:highlight w:val="none"/>
              </w:rPr>
              <w:t>要求澄清</w:t>
            </w:r>
            <w:r>
              <w:rPr>
                <w:rFonts w:hint="eastAsia" w:ascii="宋体" w:hAnsi="宋体" w:cs="宋体"/>
                <w:b w:val="0"/>
                <w:bCs/>
                <w:sz w:val="24"/>
                <w:szCs w:val="24"/>
                <w:highlight w:val="none"/>
                <w:lang w:eastAsia="zh-CN"/>
              </w:rPr>
              <w:t>竞争性磋商文件</w:t>
            </w:r>
            <w:r>
              <w:rPr>
                <w:rFonts w:hint="eastAsia" w:ascii="宋体" w:hAnsi="宋体" w:eastAsia="宋体" w:cs="宋体"/>
                <w:b w:val="0"/>
                <w:bCs/>
                <w:sz w:val="24"/>
                <w:szCs w:val="24"/>
                <w:highlight w:val="none"/>
              </w:rPr>
              <w:t>的截止时间</w:t>
            </w:r>
          </w:p>
        </w:tc>
        <w:tc>
          <w:tcPr>
            <w:tcW w:w="7126" w:type="dxa"/>
            <w:vAlign w:val="center"/>
          </w:tcPr>
          <w:p w14:paraId="4A77544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递交</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截止之日</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日前将疑问</w:t>
            </w:r>
            <w:r>
              <w:rPr>
                <w:rFonts w:hint="eastAsia" w:ascii="宋体" w:hAnsi="宋体" w:eastAsia="宋体" w:cs="宋体"/>
                <w:sz w:val="24"/>
                <w:szCs w:val="24"/>
                <w:highlight w:val="none"/>
                <w:lang w:eastAsia="zh-CN"/>
              </w:rPr>
              <w:t>书</w:t>
            </w:r>
            <w:r>
              <w:rPr>
                <w:rFonts w:hint="eastAsia" w:ascii="宋体" w:hAnsi="宋体" w:eastAsia="宋体" w:cs="宋体"/>
                <w:sz w:val="24"/>
                <w:szCs w:val="24"/>
                <w:highlight w:val="none"/>
              </w:rPr>
              <w:t>以书面形式</w:t>
            </w:r>
            <w:r>
              <w:rPr>
                <w:rFonts w:hint="eastAsia" w:ascii="宋体" w:hAnsi="宋体" w:eastAsia="宋体" w:cs="宋体"/>
                <w:sz w:val="24"/>
                <w:szCs w:val="24"/>
                <w:highlight w:val="none"/>
                <w:lang w:eastAsia="zh-CN"/>
              </w:rPr>
              <w:t>送至代理机构，并将</w:t>
            </w:r>
            <w:r>
              <w:rPr>
                <w:rFonts w:hint="eastAsia" w:ascii="宋体" w:hAnsi="宋体" w:eastAsia="宋体" w:cs="宋体"/>
                <w:sz w:val="24"/>
                <w:szCs w:val="24"/>
                <w:highlight w:val="none"/>
              </w:rPr>
              <w:t>word文档及加盖公章的扫描件发送</w:t>
            </w:r>
            <w:r>
              <w:rPr>
                <w:rFonts w:hint="eastAsia" w:ascii="宋体" w:hAnsi="宋体" w:eastAsia="宋体" w:cs="宋体"/>
                <w:sz w:val="24"/>
                <w:szCs w:val="24"/>
                <w:highlight w:val="none"/>
                <w:lang w:eastAsia="zh-CN"/>
              </w:rPr>
              <w:t>至邮箱</w:t>
            </w:r>
            <w:r>
              <w:rPr>
                <w:rFonts w:hint="eastAsia" w:ascii="宋体" w:hAnsi="宋体" w:eastAsia="宋体" w:cs="宋体"/>
                <w:sz w:val="24"/>
                <w:szCs w:val="24"/>
                <w:highlight w:val="none"/>
              </w:rPr>
              <w:t>sdhpxmgl3659@163.com,并电话通知</w:t>
            </w:r>
            <w:r>
              <w:rPr>
                <w:rFonts w:hint="eastAsia" w:ascii="宋体" w:hAnsi="宋体" w:eastAsia="宋体" w:cs="宋体"/>
                <w:sz w:val="24"/>
                <w:szCs w:val="24"/>
                <w:highlight w:val="none"/>
                <w:lang w:eastAsia="zh-CN"/>
              </w:rPr>
              <w:t>代理机构（</w:t>
            </w:r>
            <w:r>
              <w:rPr>
                <w:rFonts w:hint="eastAsia" w:ascii="宋体" w:hAnsi="宋体" w:eastAsia="宋体" w:cs="宋体"/>
                <w:sz w:val="24"/>
                <w:szCs w:val="24"/>
                <w:highlight w:val="none"/>
              </w:rPr>
              <w:t>电话：</w:t>
            </w:r>
            <w:r>
              <w:rPr>
                <w:rFonts w:hint="eastAsia" w:ascii="宋体" w:hAnsi="宋体" w:cs="宋体"/>
                <w:sz w:val="24"/>
                <w:szCs w:val="24"/>
                <w:highlight w:val="none"/>
                <w:lang w:val="en-US" w:eastAsia="zh-CN"/>
              </w:rPr>
              <w:t xml:space="preserve"> 17852007052</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w:t>
            </w:r>
            <w:r>
              <w:rPr>
                <w:rFonts w:hint="eastAsia" w:ascii="宋体" w:hAnsi="宋体" w:eastAsia="宋体" w:cs="宋体"/>
                <w:color w:val="000000"/>
                <w:sz w:val="24"/>
                <w:szCs w:val="24"/>
                <w:highlight w:val="none"/>
              </w:rPr>
              <w:t>如果</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lang w:eastAsia="zh-CN"/>
              </w:rPr>
              <w:t>递交</w:t>
            </w:r>
            <w:r>
              <w:rPr>
                <w:rFonts w:hint="eastAsia" w:ascii="宋体" w:hAnsi="宋体" w:eastAsia="宋体" w:cs="宋体"/>
                <w:color w:val="000000"/>
                <w:sz w:val="24"/>
                <w:szCs w:val="24"/>
                <w:highlight w:val="none"/>
              </w:rPr>
              <w:t>截止时间5日前未对</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提出问题，视为充分理解</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所有内容，一旦递交</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rPr>
              <w:t>，则认为该</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接受</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所有条款。如果</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lang w:eastAsia="zh-CN"/>
              </w:rPr>
              <w:t>递交</w:t>
            </w:r>
            <w:r>
              <w:rPr>
                <w:rFonts w:hint="eastAsia" w:ascii="宋体" w:hAnsi="宋体" w:eastAsia="宋体" w:cs="宋体"/>
                <w:color w:val="000000"/>
                <w:sz w:val="24"/>
                <w:szCs w:val="24"/>
                <w:highlight w:val="none"/>
              </w:rPr>
              <w:t>截止时间</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日之后对</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提出问题，代理机构根据项目的实际情况，决定是否对</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进行澄清说明或补充修改，代理机构不因此承担任何责任。</w:t>
            </w:r>
          </w:p>
        </w:tc>
      </w:tr>
      <w:tr w14:paraId="2A0E17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94" w:hRule="atLeast"/>
          <w:jc w:val="center"/>
        </w:trPr>
        <w:tc>
          <w:tcPr>
            <w:tcW w:w="583" w:type="dxa"/>
            <w:vAlign w:val="center"/>
          </w:tcPr>
          <w:p w14:paraId="4AC99100">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8</w:t>
            </w:r>
          </w:p>
        </w:tc>
        <w:tc>
          <w:tcPr>
            <w:tcW w:w="1809" w:type="dxa"/>
            <w:vAlign w:val="center"/>
          </w:tcPr>
          <w:p w14:paraId="6BAA93E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供应商</w:t>
            </w:r>
            <w:r>
              <w:rPr>
                <w:rFonts w:hint="eastAsia" w:ascii="宋体" w:hAnsi="宋体" w:eastAsia="宋体" w:cs="宋体"/>
                <w:b w:val="0"/>
                <w:bCs/>
                <w:sz w:val="24"/>
                <w:szCs w:val="24"/>
                <w:highlight w:val="none"/>
              </w:rPr>
              <w:t>确认收到</w:t>
            </w:r>
            <w:r>
              <w:rPr>
                <w:rFonts w:hint="eastAsia" w:ascii="宋体" w:hAnsi="宋体" w:cs="宋体"/>
                <w:b w:val="0"/>
                <w:bCs/>
                <w:sz w:val="24"/>
                <w:szCs w:val="24"/>
                <w:highlight w:val="none"/>
                <w:lang w:eastAsia="zh-CN"/>
              </w:rPr>
              <w:t>竞争性磋商文件</w:t>
            </w:r>
            <w:r>
              <w:rPr>
                <w:rFonts w:hint="eastAsia" w:ascii="宋体" w:hAnsi="宋体" w:eastAsia="宋体" w:cs="宋体"/>
                <w:b w:val="0"/>
                <w:bCs/>
                <w:sz w:val="24"/>
                <w:szCs w:val="24"/>
                <w:highlight w:val="none"/>
              </w:rPr>
              <w:t>澄清的时间</w:t>
            </w:r>
          </w:p>
        </w:tc>
        <w:tc>
          <w:tcPr>
            <w:tcW w:w="7126" w:type="dxa"/>
            <w:vAlign w:val="center"/>
          </w:tcPr>
          <w:p w14:paraId="5651587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cs="宋体"/>
                <w:b w:val="0"/>
                <w:bCs/>
                <w:sz w:val="24"/>
                <w:szCs w:val="24"/>
                <w:highlight w:val="none"/>
                <w:lang w:eastAsia="zh-CN"/>
              </w:rPr>
              <w:t>竞争性磋商文件</w:t>
            </w:r>
            <w:r>
              <w:rPr>
                <w:rFonts w:hint="eastAsia" w:ascii="宋体" w:hAnsi="宋体" w:eastAsia="宋体" w:cs="宋体"/>
                <w:b w:val="0"/>
                <w:bCs/>
                <w:sz w:val="24"/>
                <w:szCs w:val="24"/>
                <w:highlight w:val="none"/>
              </w:rPr>
              <w:t>澄清发出后24小时以内</w:t>
            </w:r>
          </w:p>
        </w:tc>
      </w:tr>
      <w:tr w14:paraId="3F1D9A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5ED6C1B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9</w:t>
            </w:r>
          </w:p>
        </w:tc>
        <w:tc>
          <w:tcPr>
            <w:tcW w:w="1809" w:type="dxa"/>
            <w:vAlign w:val="center"/>
          </w:tcPr>
          <w:p w14:paraId="1944392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b w:val="0"/>
                <w:bCs/>
                <w:kern w:val="2"/>
                <w:sz w:val="24"/>
                <w:szCs w:val="24"/>
                <w:highlight w:val="none"/>
              </w:rPr>
            </w:pPr>
            <w:r>
              <w:rPr>
                <w:rFonts w:hint="eastAsia" w:ascii="宋体" w:hAnsi="宋体" w:eastAsia="宋体" w:cs="宋体"/>
                <w:b w:val="0"/>
                <w:bCs/>
                <w:sz w:val="24"/>
                <w:szCs w:val="24"/>
                <w:highlight w:val="none"/>
              </w:rPr>
              <w:t>构成</w:t>
            </w:r>
            <w:r>
              <w:rPr>
                <w:rFonts w:hint="eastAsia" w:ascii="宋体" w:hAnsi="宋体" w:cs="宋体"/>
                <w:b w:val="0"/>
                <w:bCs/>
                <w:sz w:val="24"/>
                <w:szCs w:val="24"/>
                <w:highlight w:val="none"/>
                <w:lang w:eastAsia="zh-CN"/>
              </w:rPr>
              <w:t>竞争性磋商文件</w:t>
            </w:r>
            <w:r>
              <w:rPr>
                <w:rFonts w:hint="eastAsia" w:ascii="宋体" w:hAnsi="宋体" w:eastAsia="宋体" w:cs="宋体"/>
                <w:b w:val="0"/>
                <w:bCs/>
                <w:sz w:val="24"/>
                <w:szCs w:val="24"/>
                <w:highlight w:val="none"/>
              </w:rPr>
              <w:t>的其他材料</w:t>
            </w:r>
          </w:p>
        </w:tc>
        <w:tc>
          <w:tcPr>
            <w:tcW w:w="7126" w:type="dxa"/>
            <w:vAlign w:val="center"/>
          </w:tcPr>
          <w:p w14:paraId="72CB888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rPr>
                <w:rFonts w:hint="eastAsia" w:ascii="宋体" w:hAnsi="宋体" w:eastAsia="宋体" w:cs="宋体"/>
                <w:kern w:val="2"/>
                <w:sz w:val="24"/>
                <w:szCs w:val="24"/>
                <w:highlight w:val="none"/>
              </w:rPr>
            </w:pPr>
            <w:r>
              <w:rPr>
                <w:rFonts w:hint="eastAsia" w:ascii="宋体" w:hAnsi="宋体" w:cs="宋体"/>
                <w:b w:val="0"/>
                <w:bCs/>
                <w:sz w:val="24"/>
                <w:szCs w:val="24"/>
                <w:highlight w:val="none"/>
                <w:lang w:eastAsia="zh-CN"/>
              </w:rPr>
              <w:t>竞争性磋商公告</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澄清</w:t>
            </w:r>
            <w:r>
              <w:rPr>
                <w:rFonts w:hint="eastAsia" w:ascii="宋体" w:hAnsi="宋体" w:eastAsia="宋体" w:cs="宋体"/>
                <w:b w:val="0"/>
                <w:bCs/>
                <w:sz w:val="24"/>
                <w:szCs w:val="24"/>
                <w:highlight w:val="none"/>
              </w:rPr>
              <w:t>答疑、</w:t>
            </w:r>
            <w:r>
              <w:rPr>
                <w:rFonts w:hint="eastAsia" w:ascii="宋体" w:hAnsi="宋体" w:cs="宋体"/>
                <w:b w:val="0"/>
                <w:bCs/>
                <w:sz w:val="24"/>
                <w:szCs w:val="24"/>
                <w:highlight w:val="none"/>
                <w:lang w:eastAsia="zh-CN"/>
              </w:rPr>
              <w:t>竞争性磋商文件</w:t>
            </w:r>
            <w:r>
              <w:rPr>
                <w:rFonts w:hint="eastAsia" w:ascii="宋体" w:hAnsi="宋体" w:eastAsia="宋体" w:cs="宋体"/>
                <w:b w:val="0"/>
                <w:bCs/>
                <w:sz w:val="24"/>
                <w:szCs w:val="24"/>
                <w:highlight w:val="none"/>
              </w:rPr>
              <w:t>补充</w:t>
            </w:r>
            <w:r>
              <w:rPr>
                <w:rFonts w:hint="eastAsia" w:ascii="宋体" w:hAnsi="宋体" w:cs="宋体"/>
                <w:b w:val="0"/>
                <w:bCs/>
                <w:sz w:val="24"/>
                <w:szCs w:val="24"/>
                <w:highlight w:val="none"/>
                <w:lang w:eastAsia="zh-CN"/>
              </w:rPr>
              <w:t>和变更</w:t>
            </w:r>
            <w:r>
              <w:rPr>
                <w:rFonts w:hint="eastAsia" w:ascii="宋体" w:hAnsi="宋体" w:eastAsia="宋体" w:cs="宋体"/>
                <w:b w:val="0"/>
                <w:bCs/>
                <w:sz w:val="24"/>
                <w:szCs w:val="24"/>
                <w:highlight w:val="none"/>
              </w:rPr>
              <w:t>等。</w:t>
            </w:r>
          </w:p>
        </w:tc>
      </w:tr>
      <w:tr w14:paraId="7F272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63A573CD">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809" w:type="dxa"/>
            <w:vAlign w:val="center"/>
          </w:tcPr>
          <w:p w14:paraId="65462067">
            <w:pPr>
              <w:pStyle w:val="30"/>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ascii="宋体" w:hAnsi="宋体" w:cs="宋体"/>
                <w:b w:val="0"/>
                <w:bCs/>
                <w:kern w:val="2"/>
                <w:sz w:val="24"/>
                <w:szCs w:val="24"/>
                <w:highlight w:val="none"/>
                <w:lang w:eastAsia="zh-CN"/>
              </w:rPr>
              <w:t>响应文件</w:t>
            </w:r>
            <w:r>
              <w:rPr>
                <w:rFonts w:hint="eastAsia" w:ascii="宋体" w:hAnsi="宋体" w:eastAsia="宋体" w:cs="宋体"/>
                <w:b w:val="0"/>
                <w:bCs/>
                <w:kern w:val="2"/>
                <w:sz w:val="24"/>
                <w:szCs w:val="24"/>
                <w:highlight w:val="none"/>
              </w:rPr>
              <w:t>份数</w:t>
            </w:r>
          </w:p>
        </w:tc>
        <w:tc>
          <w:tcPr>
            <w:tcW w:w="7126" w:type="dxa"/>
            <w:vAlign w:val="center"/>
          </w:tcPr>
          <w:p w14:paraId="2E9CBC2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经过加密的电子版</w:t>
            </w:r>
            <w:r>
              <w:rPr>
                <w:rFonts w:hint="eastAsia" w:ascii="宋体" w:hAnsi="宋体" w:cs="宋体"/>
                <w:sz w:val="24"/>
                <w:szCs w:val="24"/>
                <w:highlight w:val="none"/>
                <w:lang w:val="zh-CN"/>
              </w:rPr>
              <w:t>响应文件</w:t>
            </w:r>
            <w:r>
              <w:rPr>
                <w:rFonts w:hint="eastAsia" w:ascii="宋体" w:hAnsi="宋体" w:eastAsia="宋体" w:cs="宋体"/>
                <w:sz w:val="24"/>
                <w:szCs w:val="24"/>
                <w:highlight w:val="none"/>
                <w:lang w:val="zh-CN"/>
              </w:rPr>
              <w:t>一份，</w:t>
            </w:r>
            <w:r>
              <w:rPr>
                <w:rFonts w:hint="eastAsia" w:ascii="宋体" w:hAnsi="宋体" w:cs="宋体"/>
                <w:sz w:val="24"/>
                <w:szCs w:val="24"/>
                <w:highlight w:val="none"/>
                <w:lang w:val="zh-CN"/>
              </w:rPr>
              <w:t>于响应文件</w:t>
            </w:r>
            <w:r>
              <w:rPr>
                <w:rFonts w:hint="eastAsia" w:ascii="宋体" w:hAnsi="宋体" w:eastAsia="宋体" w:cs="宋体"/>
                <w:sz w:val="24"/>
                <w:szCs w:val="24"/>
                <w:highlight w:val="none"/>
                <w:lang w:val="zh-CN"/>
              </w:rPr>
              <w:t>递交截止时间前在</w:t>
            </w:r>
            <w:r>
              <w:rPr>
                <w:rFonts w:hint="eastAsia" w:ascii="宋体" w:hAnsi="宋体" w:cs="宋体"/>
                <w:sz w:val="24"/>
                <w:szCs w:val="24"/>
                <w:highlight w:val="none"/>
                <w:lang w:val="zh-CN"/>
              </w:rPr>
              <w:t>赢标电子招标采购交易平台菏泽专区（https://hz.fzbidding.com/）</w:t>
            </w:r>
            <w:r>
              <w:rPr>
                <w:rFonts w:hint="eastAsia" w:ascii="宋体" w:hAnsi="宋体" w:eastAsia="宋体" w:cs="宋体"/>
                <w:sz w:val="24"/>
                <w:szCs w:val="24"/>
                <w:highlight w:val="none"/>
                <w:lang w:val="zh-CN"/>
              </w:rPr>
              <w:t>上传；</w:t>
            </w:r>
          </w:p>
          <w:p w14:paraId="60186179">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eastAsia="宋体"/>
                <w:sz w:val="24"/>
                <w:szCs w:val="24"/>
                <w:highlight w:val="none"/>
                <w:lang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zh-CN"/>
              </w:rPr>
              <w:t>成交供应商</w:t>
            </w:r>
            <w:r>
              <w:rPr>
                <w:rFonts w:hint="eastAsia" w:ascii="宋体" w:hAnsi="宋体" w:eastAsia="宋体" w:cs="宋体"/>
                <w:sz w:val="24"/>
                <w:szCs w:val="24"/>
                <w:highlight w:val="none"/>
                <w:lang w:val="zh-CN"/>
              </w:rPr>
              <w:t>在领取</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通知书时，还须将系统内生成的电子</w:t>
            </w:r>
            <w:r>
              <w:rPr>
                <w:rFonts w:hint="eastAsia" w:ascii="宋体" w:hAnsi="宋体" w:cs="宋体"/>
                <w:sz w:val="24"/>
                <w:szCs w:val="24"/>
                <w:highlight w:val="none"/>
                <w:lang w:val="zh-CN"/>
              </w:rPr>
              <w:t>响应文件</w:t>
            </w:r>
            <w:r>
              <w:rPr>
                <w:rFonts w:hint="eastAsia" w:ascii="宋体" w:hAnsi="宋体" w:eastAsia="宋体" w:cs="宋体"/>
                <w:sz w:val="24"/>
                <w:szCs w:val="24"/>
                <w:highlight w:val="none"/>
                <w:lang w:val="zh-CN"/>
              </w:rPr>
              <w:t>（</w:t>
            </w:r>
            <w:r>
              <w:rPr>
                <w:rFonts w:hint="eastAsia" w:ascii="宋体" w:hAnsi="宋体" w:cs="宋体"/>
                <w:sz w:val="24"/>
                <w:szCs w:val="24"/>
                <w:highlight w:val="none"/>
                <w:lang w:val="zh-CN"/>
              </w:rPr>
              <w:t>签章</w:t>
            </w:r>
            <w:r>
              <w:rPr>
                <w:rFonts w:hint="eastAsia" w:ascii="宋体" w:hAnsi="宋体" w:eastAsia="宋体" w:cs="宋体"/>
                <w:sz w:val="24"/>
                <w:szCs w:val="24"/>
                <w:highlight w:val="none"/>
                <w:lang w:val="zh-CN"/>
              </w:rPr>
              <w:t>版）打印胶装，壹正肆副，递交至</w:t>
            </w:r>
            <w:r>
              <w:rPr>
                <w:rFonts w:hint="eastAsia" w:ascii="宋体" w:hAnsi="宋体" w:cs="宋体"/>
                <w:sz w:val="24"/>
                <w:szCs w:val="24"/>
                <w:highlight w:val="none"/>
                <w:lang w:val="zh-CN"/>
              </w:rPr>
              <w:t>采购代理机构</w:t>
            </w:r>
            <w:r>
              <w:rPr>
                <w:rFonts w:hint="eastAsia" w:ascii="宋体" w:hAnsi="宋体" w:eastAsia="宋体" w:cs="宋体"/>
                <w:sz w:val="24"/>
                <w:szCs w:val="24"/>
                <w:highlight w:val="none"/>
                <w:lang w:val="zh-CN"/>
              </w:rPr>
              <w:t>。</w:t>
            </w:r>
          </w:p>
        </w:tc>
      </w:tr>
      <w:tr w14:paraId="31723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126D0E3F">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809" w:type="dxa"/>
            <w:vAlign w:val="center"/>
          </w:tcPr>
          <w:p w14:paraId="30F7810C">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eastAsia="zh-CN"/>
              </w:rPr>
              <w:t>磋商保证金</w:t>
            </w:r>
          </w:p>
        </w:tc>
        <w:tc>
          <w:tcPr>
            <w:tcW w:w="7126" w:type="dxa"/>
            <w:vAlign w:val="center"/>
          </w:tcPr>
          <w:p w14:paraId="4BA44A9E">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无需递交</w:t>
            </w:r>
            <w:r>
              <w:rPr>
                <w:rFonts w:hint="eastAsia" w:ascii="宋体" w:hAnsi="宋体" w:cs="宋体"/>
                <w:sz w:val="24"/>
                <w:szCs w:val="24"/>
                <w:highlight w:val="none"/>
                <w:lang w:eastAsia="zh-CN"/>
              </w:rPr>
              <w:t>。</w:t>
            </w:r>
          </w:p>
        </w:tc>
      </w:tr>
      <w:tr w14:paraId="6FB32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6763A498">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809" w:type="dxa"/>
            <w:vAlign w:val="center"/>
          </w:tcPr>
          <w:p w14:paraId="796B9EDB">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eastAsia="zh-CN"/>
              </w:rPr>
              <w:t>磋商有效期</w:t>
            </w:r>
          </w:p>
        </w:tc>
        <w:tc>
          <w:tcPr>
            <w:tcW w:w="7126" w:type="dxa"/>
            <w:vAlign w:val="center"/>
          </w:tcPr>
          <w:p w14:paraId="7941E36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自投标截止之日起</w:t>
            </w:r>
            <w:r>
              <w:rPr>
                <w:rFonts w:hint="eastAsia" w:ascii="宋体" w:hAnsi="宋体" w:eastAsia="宋体" w:cs="宋体"/>
                <w:sz w:val="24"/>
                <w:szCs w:val="24"/>
                <w:highlight w:val="none"/>
                <w:u w:val="none"/>
              </w:rPr>
              <w:t>90</w:t>
            </w:r>
            <w:r>
              <w:rPr>
                <w:rFonts w:hint="eastAsia" w:ascii="宋体" w:hAnsi="宋体" w:eastAsia="宋体" w:cs="宋体"/>
                <w:sz w:val="24"/>
                <w:szCs w:val="24"/>
                <w:highlight w:val="none"/>
              </w:rPr>
              <w:t>日历天</w:t>
            </w:r>
            <w:r>
              <w:rPr>
                <w:rFonts w:hint="eastAsia" w:ascii="宋体" w:hAnsi="宋体" w:cs="宋体"/>
                <w:sz w:val="24"/>
                <w:szCs w:val="24"/>
                <w:highlight w:val="none"/>
                <w:lang w:eastAsia="zh-CN"/>
              </w:rPr>
              <w:t>。</w:t>
            </w:r>
          </w:p>
        </w:tc>
      </w:tr>
      <w:tr w14:paraId="11498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90" w:hRule="atLeast"/>
          <w:jc w:val="center"/>
        </w:trPr>
        <w:tc>
          <w:tcPr>
            <w:tcW w:w="583" w:type="dxa"/>
            <w:vAlign w:val="center"/>
          </w:tcPr>
          <w:p w14:paraId="6AA10BC9">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809" w:type="dxa"/>
            <w:vAlign w:val="center"/>
          </w:tcPr>
          <w:p w14:paraId="6247FEBA">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hAnsi="宋体" w:cs="宋体"/>
                <w:b/>
                <w:bCs/>
                <w:color w:val="auto"/>
                <w:kern w:val="2"/>
                <w:sz w:val="24"/>
                <w:szCs w:val="24"/>
                <w:lang w:val="en-US" w:eastAsia="zh-CN"/>
              </w:rPr>
              <w:t>响应文件</w:t>
            </w:r>
            <w:r>
              <w:rPr>
                <w:rFonts w:hint="eastAsia" w:ascii="宋体" w:hAnsi="宋体" w:eastAsia="宋体" w:cs="宋体"/>
                <w:b/>
                <w:bCs/>
                <w:color w:val="auto"/>
                <w:kern w:val="2"/>
                <w:sz w:val="24"/>
                <w:szCs w:val="24"/>
                <w:lang w:val="en-US" w:eastAsia="zh-CN"/>
              </w:rPr>
              <w:t>递交截止时间、地点</w:t>
            </w:r>
          </w:p>
        </w:tc>
        <w:tc>
          <w:tcPr>
            <w:tcW w:w="7126" w:type="dxa"/>
            <w:vAlign w:val="center"/>
          </w:tcPr>
          <w:p w14:paraId="5894DA17">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时间：</w:t>
            </w:r>
            <w:r>
              <w:rPr>
                <w:rFonts w:hint="eastAsia" w:ascii="宋体" w:hAnsi="宋体" w:cs="宋体"/>
                <w:b/>
                <w:bCs/>
                <w:sz w:val="24"/>
                <w:szCs w:val="24"/>
                <w:highlight w:val="none"/>
                <w:u w:val="single"/>
                <w:lang w:val="en-US" w:eastAsia="zh-CN"/>
              </w:rPr>
              <w:t>2025年09月08日14时30分（北京时间）</w:t>
            </w:r>
            <w:r>
              <w:rPr>
                <w:rFonts w:hint="eastAsia" w:ascii="宋体" w:hAnsi="宋体" w:eastAsia="宋体" w:cs="宋体"/>
                <w:b/>
                <w:bCs/>
                <w:sz w:val="24"/>
                <w:szCs w:val="24"/>
                <w:u w:val="single"/>
                <w:lang w:val="en-US" w:eastAsia="zh-CN"/>
              </w:rPr>
              <w:t>；</w:t>
            </w:r>
          </w:p>
          <w:p w14:paraId="52C5CB57">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lang w:val="en-US" w:eastAsia="zh-CN"/>
              </w:rPr>
              <w:t>地点：</w:t>
            </w:r>
            <w:r>
              <w:rPr>
                <w:rFonts w:hint="eastAsia" w:hAnsi="宋体" w:cs="宋体"/>
                <w:kern w:val="2"/>
                <w:sz w:val="24"/>
                <w:szCs w:val="24"/>
                <w:lang w:val="en-US" w:eastAsia="zh-CN"/>
              </w:rPr>
              <w:t>供应商</w:t>
            </w:r>
            <w:r>
              <w:rPr>
                <w:rFonts w:hint="eastAsia" w:ascii="宋体" w:hAnsi="宋体" w:eastAsia="宋体" w:cs="宋体"/>
                <w:kern w:val="2"/>
                <w:sz w:val="24"/>
                <w:szCs w:val="24"/>
                <w:lang w:val="en-US" w:eastAsia="zh-CN"/>
              </w:rPr>
              <w:t>应通过赢标电子招标采购交易平台（菏泽专区）http://hz.fzbidding.com/上传经 CA 加密的电子</w:t>
            </w:r>
            <w:r>
              <w:rPr>
                <w:rFonts w:hint="eastAsia" w:hAnsi="宋体" w:cs="宋体"/>
                <w:kern w:val="2"/>
                <w:sz w:val="24"/>
                <w:szCs w:val="24"/>
                <w:lang w:val="en-US" w:eastAsia="zh-CN"/>
              </w:rPr>
              <w:t>响应文件</w:t>
            </w:r>
            <w:r>
              <w:rPr>
                <w:rFonts w:hint="eastAsia" w:ascii="宋体" w:hAnsi="宋体" w:eastAsia="宋体" w:cs="宋体"/>
                <w:kern w:val="2"/>
                <w:sz w:val="24"/>
                <w:szCs w:val="24"/>
                <w:lang w:val="en-US" w:eastAsia="zh-CN"/>
              </w:rPr>
              <w:t>，逾期未完成上传的，</w:t>
            </w:r>
            <w:r>
              <w:rPr>
                <w:rFonts w:hint="eastAsia" w:hAnsi="宋体" w:cs="宋体"/>
                <w:kern w:val="2"/>
                <w:sz w:val="24"/>
                <w:szCs w:val="24"/>
                <w:lang w:val="en-US" w:eastAsia="zh-CN"/>
              </w:rPr>
              <w:t>采购人</w:t>
            </w:r>
            <w:r>
              <w:rPr>
                <w:rFonts w:hint="eastAsia" w:ascii="宋体" w:hAnsi="宋体" w:eastAsia="宋体" w:cs="宋体"/>
                <w:kern w:val="2"/>
                <w:sz w:val="24"/>
                <w:szCs w:val="24"/>
                <w:lang w:val="en-US" w:eastAsia="zh-CN"/>
              </w:rPr>
              <w:t>将拒收。因未在规定时间内下载</w:t>
            </w:r>
            <w:r>
              <w:rPr>
                <w:rFonts w:hint="eastAsia" w:hAnsi="宋体" w:cs="宋体"/>
                <w:kern w:val="2"/>
                <w:sz w:val="24"/>
                <w:szCs w:val="24"/>
                <w:lang w:val="en-US" w:eastAsia="zh-CN"/>
              </w:rPr>
              <w:t>竞争性磋商文件</w:t>
            </w:r>
            <w:r>
              <w:rPr>
                <w:rFonts w:hint="eastAsia" w:ascii="宋体" w:hAnsi="宋体" w:eastAsia="宋体" w:cs="宋体"/>
                <w:kern w:val="2"/>
                <w:sz w:val="24"/>
                <w:szCs w:val="24"/>
                <w:lang w:val="en-US" w:eastAsia="zh-CN"/>
              </w:rPr>
              <w:t>（包括各类澄清答疑）而导致无法上传</w:t>
            </w:r>
            <w:r>
              <w:rPr>
                <w:rFonts w:hint="eastAsia" w:hAnsi="宋体" w:cs="宋体"/>
                <w:kern w:val="2"/>
                <w:sz w:val="24"/>
                <w:szCs w:val="24"/>
                <w:lang w:val="en-US" w:eastAsia="zh-CN"/>
              </w:rPr>
              <w:t>响应文件</w:t>
            </w:r>
            <w:r>
              <w:rPr>
                <w:rFonts w:hint="eastAsia" w:ascii="宋体" w:hAnsi="宋体" w:eastAsia="宋体" w:cs="宋体"/>
                <w:kern w:val="2"/>
                <w:sz w:val="24"/>
                <w:szCs w:val="24"/>
                <w:lang w:val="en-US" w:eastAsia="zh-CN"/>
              </w:rPr>
              <w:t>的，则无法参与本项目投标。</w:t>
            </w:r>
          </w:p>
        </w:tc>
      </w:tr>
      <w:tr w14:paraId="2EB3EE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159F196F">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809" w:type="dxa"/>
            <w:vAlign w:val="center"/>
          </w:tcPr>
          <w:p w14:paraId="129D4093">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hAnsi="宋体" w:eastAsia="宋体" w:cs="宋体"/>
                <w:b/>
                <w:bCs/>
                <w:color w:val="auto"/>
                <w:kern w:val="2"/>
                <w:sz w:val="24"/>
                <w:szCs w:val="24"/>
                <w:lang w:val="en-US" w:eastAsia="zh-CN"/>
              </w:rPr>
              <w:t>开标</w:t>
            </w:r>
            <w:r>
              <w:rPr>
                <w:rFonts w:hint="eastAsia" w:ascii="宋体" w:hAnsi="宋体" w:eastAsia="宋体" w:cs="宋体"/>
                <w:b/>
                <w:bCs/>
                <w:color w:val="auto"/>
                <w:kern w:val="2"/>
                <w:sz w:val="24"/>
                <w:szCs w:val="24"/>
                <w:lang w:val="en-US" w:eastAsia="zh-CN"/>
              </w:rPr>
              <w:t>时间及地点</w:t>
            </w:r>
          </w:p>
        </w:tc>
        <w:tc>
          <w:tcPr>
            <w:tcW w:w="7126" w:type="dxa"/>
            <w:vAlign w:val="center"/>
          </w:tcPr>
          <w:p w14:paraId="47843869">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时间：</w:t>
            </w:r>
            <w:r>
              <w:rPr>
                <w:rFonts w:hint="eastAsia" w:ascii="宋体" w:hAnsi="宋体" w:cs="宋体"/>
                <w:b/>
                <w:bCs/>
                <w:sz w:val="24"/>
                <w:szCs w:val="24"/>
                <w:highlight w:val="none"/>
                <w:u w:val="single"/>
                <w:lang w:val="en-US" w:eastAsia="zh-CN"/>
              </w:rPr>
              <w:t>2025年09月08日14时30分（北京时间）</w:t>
            </w:r>
            <w:r>
              <w:rPr>
                <w:rFonts w:hint="eastAsia" w:ascii="宋体" w:hAnsi="宋体" w:eastAsia="宋体" w:cs="宋体"/>
                <w:b/>
                <w:bCs/>
                <w:sz w:val="24"/>
                <w:szCs w:val="24"/>
                <w:u w:val="single"/>
                <w:lang w:val="en-US" w:eastAsia="zh-CN"/>
              </w:rPr>
              <w:t>；</w:t>
            </w:r>
          </w:p>
          <w:p w14:paraId="1101BA22">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lang w:val="en-US" w:eastAsia="zh-CN"/>
              </w:rPr>
              <w:t>地点：</w:t>
            </w:r>
            <w:r>
              <w:rPr>
                <w:rFonts w:hint="eastAsia" w:ascii="宋体" w:hAnsi="宋体" w:eastAsia="宋体" w:cs="宋体"/>
                <w:b w:val="0"/>
                <w:bCs/>
                <w:sz w:val="24"/>
                <w:szCs w:val="24"/>
                <w:highlight w:val="none"/>
                <w:lang w:val="en-US" w:eastAsia="zh-CN"/>
              </w:rPr>
              <w:t>本项目实行不见面开标，不接受</w:t>
            </w:r>
            <w:r>
              <w:rPr>
                <w:rFonts w:hint="eastAsia" w:hAnsi="宋体" w:cs="宋体"/>
                <w:b w:val="0"/>
                <w:bCs/>
                <w:sz w:val="24"/>
                <w:szCs w:val="24"/>
                <w:highlight w:val="none"/>
                <w:lang w:val="en-US" w:eastAsia="zh-CN"/>
              </w:rPr>
              <w:t>供应商</w:t>
            </w:r>
            <w:r>
              <w:rPr>
                <w:rFonts w:hint="eastAsia" w:ascii="宋体" w:hAnsi="宋体" w:eastAsia="宋体" w:cs="宋体"/>
                <w:b w:val="0"/>
                <w:bCs/>
                <w:sz w:val="24"/>
                <w:szCs w:val="24"/>
                <w:highlight w:val="none"/>
                <w:lang w:val="en-US" w:eastAsia="zh-CN"/>
              </w:rPr>
              <w:t>来现场开标。</w:t>
            </w:r>
            <w:r>
              <w:rPr>
                <w:rFonts w:hint="eastAsia" w:hAnsi="宋体" w:cs="宋体"/>
                <w:b w:val="0"/>
                <w:bCs/>
                <w:sz w:val="24"/>
                <w:szCs w:val="24"/>
                <w:highlight w:val="none"/>
                <w:lang w:val="en-US" w:eastAsia="zh-CN"/>
              </w:rPr>
              <w:t>供应商</w:t>
            </w:r>
            <w:r>
              <w:rPr>
                <w:rFonts w:hint="eastAsia" w:ascii="宋体" w:hAnsi="宋体" w:eastAsia="宋体" w:cs="宋体"/>
                <w:b w:val="0"/>
                <w:bCs/>
                <w:sz w:val="24"/>
                <w:szCs w:val="24"/>
                <w:highlight w:val="none"/>
                <w:lang w:val="en-US" w:eastAsia="zh-CN"/>
              </w:rPr>
              <w:t>应当按照</w:t>
            </w:r>
            <w:r>
              <w:rPr>
                <w:rFonts w:hint="eastAsia" w:hAnsi="宋体" w:cs="宋体"/>
                <w:b w:val="0"/>
                <w:bCs/>
                <w:sz w:val="24"/>
                <w:szCs w:val="24"/>
                <w:highlight w:val="none"/>
                <w:lang w:val="en-US" w:eastAsia="zh-CN"/>
              </w:rPr>
              <w:t>竞争性磋商文件</w:t>
            </w:r>
            <w:r>
              <w:rPr>
                <w:rFonts w:hint="eastAsia" w:ascii="宋体" w:hAnsi="宋体" w:eastAsia="宋体" w:cs="宋体"/>
                <w:b w:val="0"/>
                <w:bCs/>
                <w:sz w:val="24"/>
                <w:szCs w:val="24"/>
                <w:highlight w:val="none"/>
                <w:lang w:val="en-US" w:eastAsia="zh-CN"/>
              </w:rPr>
              <w:t>要求，准时于线上开标大厅参加开标活动，并使用CA在规定的时间内自行完成解密。若</w:t>
            </w:r>
            <w:r>
              <w:rPr>
                <w:rFonts w:hint="eastAsia" w:hAnsi="宋体" w:cs="宋体"/>
                <w:b w:val="0"/>
                <w:bCs/>
                <w:sz w:val="24"/>
                <w:szCs w:val="24"/>
                <w:highlight w:val="none"/>
                <w:lang w:val="en-US" w:eastAsia="zh-CN"/>
              </w:rPr>
              <w:t>供应商</w:t>
            </w:r>
            <w:r>
              <w:rPr>
                <w:rFonts w:hint="eastAsia" w:ascii="宋体" w:hAnsi="宋体" w:eastAsia="宋体" w:cs="宋体"/>
                <w:b w:val="0"/>
                <w:bCs/>
                <w:sz w:val="24"/>
                <w:szCs w:val="24"/>
                <w:highlight w:val="none"/>
                <w:lang w:val="en-US" w:eastAsia="zh-CN"/>
              </w:rPr>
              <w:t>在规定时间内未完成电子</w:t>
            </w:r>
            <w:r>
              <w:rPr>
                <w:rFonts w:hint="eastAsia" w:hAnsi="宋体" w:cs="宋体"/>
                <w:b w:val="0"/>
                <w:bCs/>
                <w:sz w:val="24"/>
                <w:szCs w:val="24"/>
                <w:highlight w:val="none"/>
                <w:lang w:val="en-US" w:eastAsia="zh-CN"/>
              </w:rPr>
              <w:t>响应文件</w:t>
            </w:r>
            <w:r>
              <w:rPr>
                <w:rFonts w:hint="eastAsia" w:ascii="宋体" w:hAnsi="宋体" w:eastAsia="宋体" w:cs="宋体"/>
                <w:b w:val="0"/>
                <w:bCs/>
                <w:sz w:val="24"/>
                <w:szCs w:val="24"/>
                <w:highlight w:val="none"/>
                <w:lang w:val="en-US" w:eastAsia="zh-CN"/>
              </w:rPr>
              <w:t>解密操作，视为放弃该项目投标。</w:t>
            </w:r>
            <w:r>
              <w:rPr>
                <w:rFonts w:hint="eastAsia" w:hAnsi="宋体" w:cs="宋体"/>
                <w:b w:val="0"/>
                <w:bCs/>
                <w:sz w:val="24"/>
                <w:szCs w:val="24"/>
                <w:highlight w:val="none"/>
                <w:lang w:val="en-US" w:eastAsia="zh-CN"/>
              </w:rPr>
              <w:t>供应商</w:t>
            </w:r>
            <w:r>
              <w:rPr>
                <w:rFonts w:hint="eastAsia" w:ascii="宋体" w:hAnsi="宋体" w:eastAsia="宋体" w:cs="宋体"/>
                <w:b w:val="0"/>
                <w:bCs/>
                <w:sz w:val="24"/>
                <w:szCs w:val="24"/>
                <w:highlight w:val="none"/>
                <w:lang w:val="en-US" w:eastAsia="zh-CN"/>
              </w:rPr>
              <w:t>应提前做好有关设施、设备配置安装工作，确保自己的电脑环境、CA锁、网络等状况良好，以免影响其参与招标活动。因</w:t>
            </w:r>
            <w:r>
              <w:rPr>
                <w:rFonts w:hint="eastAsia" w:hAnsi="宋体" w:cs="宋体"/>
                <w:b w:val="0"/>
                <w:bCs/>
                <w:sz w:val="24"/>
                <w:szCs w:val="24"/>
                <w:highlight w:val="none"/>
                <w:lang w:val="en-US" w:eastAsia="zh-CN"/>
              </w:rPr>
              <w:t>供应商</w:t>
            </w:r>
            <w:r>
              <w:rPr>
                <w:rFonts w:hint="eastAsia" w:ascii="宋体" w:hAnsi="宋体" w:eastAsia="宋体" w:cs="宋体"/>
                <w:b w:val="0"/>
                <w:bCs/>
                <w:sz w:val="24"/>
                <w:szCs w:val="24"/>
                <w:highlight w:val="none"/>
                <w:lang w:val="en-US" w:eastAsia="zh-CN"/>
              </w:rPr>
              <w:t>自身软硬件配备不齐全或发生故障等问题而导致在交互过程中出现不稳定或中断等情况的，由</w:t>
            </w:r>
            <w:r>
              <w:rPr>
                <w:rFonts w:hint="eastAsia" w:hAnsi="宋体" w:cs="宋体"/>
                <w:b w:val="0"/>
                <w:bCs/>
                <w:sz w:val="24"/>
                <w:szCs w:val="24"/>
                <w:highlight w:val="none"/>
                <w:lang w:val="en-US" w:eastAsia="zh-CN"/>
              </w:rPr>
              <w:t>供应商</w:t>
            </w:r>
            <w:r>
              <w:rPr>
                <w:rFonts w:hint="eastAsia" w:ascii="宋体" w:hAnsi="宋体" w:eastAsia="宋体" w:cs="宋体"/>
                <w:b w:val="0"/>
                <w:bCs/>
                <w:sz w:val="24"/>
                <w:szCs w:val="24"/>
                <w:highlight w:val="none"/>
                <w:lang w:val="en-US" w:eastAsia="zh-CN"/>
              </w:rPr>
              <w:t>自身承担一切后果。</w:t>
            </w:r>
          </w:p>
        </w:tc>
      </w:tr>
      <w:tr w14:paraId="0BB82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3A64B28D">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r>
              <w:rPr>
                <w:rFonts w:hint="eastAsia" w:ascii="宋体" w:hAnsi="宋体" w:cs="宋体"/>
                <w:bCs/>
                <w:sz w:val="24"/>
                <w:szCs w:val="24"/>
                <w:highlight w:val="none"/>
                <w:lang w:val="en-US" w:eastAsia="zh-CN"/>
              </w:rPr>
              <w:t>5</w:t>
            </w:r>
          </w:p>
        </w:tc>
        <w:tc>
          <w:tcPr>
            <w:tcW w:w="1809" w:type="dxa"/>
            <w:vAlign w:val="center"/>
          </w:tcPr>
          <w:p w14:paraId="2E8F53B8">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磋商小组</w:t>
            </w:r>
          </w:p>
        </w:tc>
        <w:tc>
          <w:tcPr>
            <w:tcW w:w="7126" w:type="dxa"/>
            <w:vAlign w:val="center"/>
          </w:tcPr>
          <w:p w14:paraId="66AA63B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人数：</w:t>
            </w:r>
            <w:r>
              <w:rPr>
                <w:rFonts w:hint="eastAsia" w:ascii="宋体" w:hAnsi="宋体" w:cs="宋体"/>
                <w:sz w:val="24"/>
                <w:szCs w:val="24"/>
                <w:highlight w:val="none"/>
                <w:u w:val="none"/>
                <w:lang w:val="en-US" w:eastAsia="zh-CN"/>
              </w:rPr>
              <w:t>3</w:t>
            </w:r>
            <w:r>
              <w:rPr>
                <w:rFonts w:hint="eastAsia" w:ascii="宋体" w:hAnsi="宋体" w:eastAsia="宋体" w:cs="宋体"/>
                <w:sz w:val="24"/>
                <w:szCs w:val="24"/>
                <w:highlight w:val="none"/>
                <w:u w:val="none"/>
                <w:lang w:val="en-US" w:eastAsia="zh-CN"/>
              </w:rPr>
              <w:t>人</w:t>
            </w:r>
            <w:r>
              <w:rPr>
                <w:rFonts w:hint="eastAsia" w:ascii="宋体" w:hAnsi="宋体" w:cs="宋体"/>
                <w:sz w:val="24"/>
                <w:szCs w:val="24"/>
                <w:highlight w:val="none"/>
                <w:u w:val="none"/>
                <w:lang w:val="en-US" w:eastAsia="zh-CN"/>
              </w:rPr>
              <w:t>，</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lang w:eastAsia="zh-CN"/>
              </w:rPr>
              <w:t>依法组建。</w:t>
            </w:r>
          </w:p>
        </w:tc>
      </w:tr>
      <w:tr w14:paraId="3A0FF1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6AE07CEA">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r>
              <w:rPr>
                <w:rFonts w:hint="eastAsia" w:ascii="宋体" w:hAnsi="宋体" w:cs="宋体"/>
                <w:bCs/>
                <w:sz w:val="24"/>
                <w:szCs w:val="24"/>
                <w:highlight w:val="none"/>
                <w:lang w:val="en-US" w:eastAsia="zh-CN"/>
              </w:rPr>
              <w:t>6</w:t>
            </w:r>
          </w:p>
        </w:tc>
        <w:tc>
          <w:tcPr>
            <w:tcW w:w="1809" w:type="dxa"/>
            <w:vAlign w:val="center"/>
          </w:tcPr>
          <w:p w14:paraId="3A818953">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eastAsia="zh-CN"/>
              </w:rPr>
              <w:t>签字盖章</w:t>
            </w:r>
          </w:p>
        </w:tc>
        <w:tc>
          <w:tcPr>
            <w:tcW w:w="7126" w:type="dxa"/>
            <w:vAlign w:val="center"/>
          </w:tcPr>
          <w:p w14:paraId="515B6F3A">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textAlignment w:val="auto"/>
              <w:rPr>
                <w:rFonts w:hint="eastAsia" w:ascii="宋体" w:hAnsi="宋体" w:eastAsia="宋体" w:cs="宋体"/>
                <w:sz w:val="24"/>
                <w:szCs w:val="24"/>
                <w:highlight w:val="none"/>
              </w:rPr>
            </w:pPr>
            <w:r>
              <w:rPr>
                <w:rFonts w:hint="eastAsia"/>
                <w:sz w:val="24"/>
                <w:szCs w:val="24"/>
                <w:highlight w:val="none"/>
                <w:lang w:eastAsia="zh-CN"/>
              </w:rPr>
              <w:t>按照响应文件格式要求进行签字盖章。</w:t>
            </w:r>
          </w:p>
        </w:tc>
      </w:tr>
      <w:tr w14:paraId="7987FF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vAlign w:val="center"/>
          </w:tcPr>
          <w:p w14:paraId="415C488D">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7</w:t>
            </w:r>
          </w:p>
        </w:tc>
        <w:tc>
          <w:tcPr>
            <w:tcW w:w="1809" w:type="dxa"/>
            <w:vAlign w:val="center"/>
          </w:tcPr>
          <w:p w14:paraId="016587FC">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是否授权</w:t>
            </w:r>
            <w:r>
              <w:rPr>
                <w:rFonts w:hint="eastAsia" w:ascii="宋体" w:hAnsi="宋体" w:cs="宋体"/>
                <w:b w:val="0"/>
                <w:bCs/>
                <w:sz w:val="24"/>
                <w:szCs w:val="24"/>
                <w:highlight w:val="none"/>
                <w:lang w:eastAsia="zh-CN"/>
              </w:rPr>
              <w:t>磋商小组</w:t>
            </w:r>
            <w:r>
              <w:rPr>
                <w:rFonts w:hint="eastAsia" w:ascii="宋体" w:hAnsi="宋体" w:eastAsia="宋体" w:cs="宋体"/>
                <w:b w:val="0"/>
                <w:bCs/>
                <w:sz w:val="24"/>
                <w:szCs w:val="24"/>
                <w:highlight w:val="none"/>
              </w:rPr>
              <w:t>确定</w:t>
            </w:r>
            <w:r>
              <w:rPr>
                <w:rFonts w:hint="eastAsia" w:ascii="宋体" w:hAnsi="宋体" w:cs="宋体"/>
                <w:b w:val="0"/>
                <w:bCs/>
                <w:sz w:val="24"/>
                <w:szCs w:val="24"/>
                <w:highlight w:val="none"/>
                <w:lang w:eastAsia="zh-CN"/>
              </w:rPr>
              <w:t>成交供应商</w:t>
            </w:r>
          </w:p>
        </w:tc>
        <w:tc>
          <w:tcPr>
            <w:tcW w:w="7126" w:type="dxa"/>
            <w:vAlign w:val="center"/>
          </w:tcPr>
          <w:p w14:paraId="7D58F43A">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否，推荐三名</w:t>
            </w:r>
            <w:r>
              <w:rPr>
                <w:rFonts w:hint="eastAsia" w:ascii="宋体" w:hAnsi="宋体" w:cs="宋体"/>
                <w:b w:val="0"/>
                <w:bCs/>
                <w:sz w:val="24"/>
                <w:szCs w:val="24"/>
                <w:highlight w:val="none"/>
                <w:lang w:val="en-US" w:eastAsia="zh-CN"/>
              </w:rPr>
              <w:t>成交候选供应商</w:t>
            </w:r>
            <w:r>
              <w:rPr>
                <w:rFonts w:hint="eastAsia" w:ascii="宋体" w:hAnsi="宋体" w:eastAsia="宋体" w:cs="宋体"/>
                <w:b w:val="0"/>
                <w:bCs/>
                <w:sz w:val="24"/>
                <w:szCs w:val="24"/>
                <w:highlight w:val="none"/>
                <w:lang w:val="en-US" w:eastAsia="zh-CN"/>
              </w:rPr>
              <w:t>。</w:t>
            </w:r>
          </w:p>
        </w:tc>
      </w:tr>
      <w:tr w14:paraId="01DA6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5" w:hRule="atLeast"/>
          <w:jc w:val="center"/>
        </w:trPr>
        <w:tc>
          <w:tcPr>
            <w:tcW w:w="583" w:type="dxa"/>
            <w:tcBorders>
              <w:right w:val="single" w:color="auto" w:sz="4" w:space="0"/>
            </w:tcBorders>
            <w:vAlign w:val="center"/>
          </w:tcPr>
          <w:p w14:paraId="1E709676">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8</w:t>
            </w:r>
          </w:p>
        </w:tc>
        <w:tc>
          <w:tcPr>
            <w:tcW w:w="1809" w:type="dxa"/>
            <w:tcBorders>
              <w:right w:val="single" w:color="auto" w:sz="4" w:space="0"/>
            </w:tcBorders>
            <w:vAlign w:val="center"/>
          </w:tcPr>
          <w:p w14:paraId="46A2440B">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ascii="宋体" w:hAnsi="宋体" w:eastAsia="宋体" w:cs="宋体"/>
                <w:b/>
                <w:bCs w:val="0"/>
                <w:kern w:val="0"/>
                <w:sz w:val="24"/>
                <w:szCs w:val="24"/>
                <w:highlight w:val="none"/>
                <w:lang w:val="en-US" w:eastAsia="zh-CN"/>
              </w:rPr>
            </w:pPr>
            <w:r>
              <w:rPr>
                <w:rFonts w:hint="eastAsia" w:hAnsi="宋体" w:cs="宋体"/>
                <w:color w:val="000000"/>
                <w:sz w:val="24"/>
                <w:szCs w:val="24"/>
                <w:highlight w:val="none"/>
                <w:lang w:eastAsia="zh-CN"/>
              </w:rPr>
              <w:t>成交</w:t>
            </w:r>
            <w:r>
              <w:rPr>
                <w:rFonts w:hint="eastAsia" w:ascii="宋体" w:hAnsi="宋体" w:eastAsia="宋体" w:cs="宋体"/>
                <w:color w:val="000000"/>
                <w:sz w:val="24"/>
                <w:szCs w:val="24"/>
                <w:highlight w:val="none"/>
              </w:rPr>
              <w:t>公示</w:t>
            </w:r>
          </w:p>
        </w:tc>
        <w:tc>
          <w:tcPr>
            <w:tcW w:w="7126" w:type="dxa"/>
            <w:tcBorders>
              <w:left w:val="single" w:color="auto" w:sz="4" w:space="0"/>
            </w:tcBorders>
            <w:vAlign w:val="center"/>
          </w:tcPr>
          <w:p w14:paraId="4D82FC25">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default" w:ascii="宋体" w:hAnsi="宋体" w:eastAsia="宋体" w:cs="宋体"/>
                <w:b/>
                <w:sz w:val="24"/>
                <w:szCs w:val="24"/>
                <w:highlight w:val="none"/>
                <w:lang w:val="en-US" w:eastAsia="zh-CN"/>
              </w:rPr>
            </w:pPr>
            <w:r>
              <w:rPr>
                <w:rFonts w:hint="eastAsia" w:ascii="宋体" w:hAnsi="宋体" w:eastAsia="宋体" w:cs="宋体"/>
                <w:color w:val="000000"/>
                <w:sz w:val="24"/>
                <w:szCs w:val="24"/>
                <w:highlight w:val="none"/>
              </w:rPr>
              <w:t>在</w:t>
            </w:r>
            <w:r>
              <w:rPr>
                <w:rFonts w:hint="eastAsia" w:hAnsi="宋体" w:cs="宋体"/>
                <w:color w:val="000000"/>
                <w:sz w:val="24"/>
                <w:szCs w:val="24"/>
                <w:highlight w:val="none"/>
                <w:lang w:eastAsia="zh-CN"/>
              </w:rPr>
              <w:t>成交</w:t>
            </w:r>
            <w:r>
              <w:rPr>
                <w:rFonts w:hint="eastAsia" w:ascii="宋体" w:hAnsi="宋体" w:eastAsia="宋体" w:cs="宋体"/>
                <w:color w:val="000000"/>
                <w:sz w:val="24"/>
                <w:szCs w:val="24"/>
                <w:highlight w:val="none"/>
              </w:rPr>
              <w:t>通知书发出前，</w:t>
            </w:r>
            <w:r>
              <w:rPr>
                <w:rFonts w:hint="eastAsia" w:hAnsi="宋体" w:cs="宋体"/>
                <w:color w:val="000000"/>
                <w:sz w:val="24"/>
                <w:szCs w:val="24"/>
                <w:highlight w:val="none"/>
                <w:lang w:eastAsia="zh-CN"/>
              </w:rPr>
              <w:t>采购人</w:t>
            </w:r>
            <w:r>
              <w:rPr>
                <w:rFonts w:hint="eastAsia" w:ascii="宋体" w:hAnsi="宋体" w:eastAsia="宋体" w:cs="宋体"/>
                <w:color w:val="000000"/>
                <w:sz w:val="24"/>
                <w:szCs w:val="24"/>
                <w:highlight w:val="none"/>
              </w:rPr>
              <w:t>将</w:t>
            </w:r>
            <w:r>
              <w:rPr>
                <w:rFonts w:hint="eastAsia" w:hAnsi="宋体" w:cs="宋体"/>
                <w:color w:val="000000"/>
                <w:sz w:val="24"/>
                <w:szCs w:val="24"/>
                <w:highlight w:val="none"/>
                <w:lang w:eastAsia="zh-CN"/>
              </w:rPr>
              <w:t>成交</w:t>
            </w:r>
            <w:r>
              <w:rPr>
                <w:rFonts w:hint="eastAsia" w:ascii="宋体" w:hAnsi="宋体" w:eastAsia="宋体" w:cs="宋体"/>
                <w:color w:val="000000"/>
                <w:sz w:val="24"/>
                <w:szCs w:val="24"/>
                <w:highlight w:val="none"/>
              </w:rPr>
              <w:t>的情况在《</w:t>
            </w:r>
            <w:r>
              <w:rPr>
                <w:rFonts w:hint="eastAsia" w:hAnsi="宋体" w:cs="宋体"/>
                <w:color w:val="000000"/>
                <w:sz w:val="24"/>
                <w:szCs w:val="24"/>
                <w:highlight w:val="none"/>
                <w:lang w:eastAsia="zh-CN"/>
              </w:rPr>
              <w:t>竞争性磋商公告</w:t>
            </w:r>
            <w:r>
              <w:rPr>
                <w:rFonts w:hint="eastAsia" w:ascii="宋体" w:hAnsi="宋体" w:eastAsia="宋体" w:cs="宋体"/>
                <w:color w:val="000000"/>
                <w:sz w:val="24"/>
                <w:szCs w:val="24"/>
                <w:highlight w:val="none"/>
              </w:rPr>
              <w:t>》发布的同一媒介予以公示，公示期不少于1个工作日。</w:t>
            </w:r>
          </w:p>
        </w:tc>
      </w:tr>
      <w:tr w14:paraId="34613C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5" w:hRule="atLeast"/>
          <w:jc w:val="center"/>
        </w:trPr>
        <w:tc>
          <w:tcPr>
            <w:tcW w:w="583" w:type="dxa"/>
            <w:tcBorders>
              <w:right w:val="single" w:color="auto" w:sz="4" w:space="0"/>
            </w:tcBorders>
            <w:vAlign w:val="center"/>
          </w:tcPr>
          <w:p w14:paraId="048D0B7C">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9</w:t>
            </w:r>
          </w:p>
        </w:tc>
        <w:tc>
          <w:tcPr>
            <w:tcW w:w="1809" w:type="dxa"/>
            <w:tcBorders>
              <w:right w:val="single" w:color="auto" w:sz="4" w:space="0"/>
            </w:tcBorders>
            <w:vAlign w:val="center"/>
          </w:tcPr>
          <w:p w14:paraId="1DF04436">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cs="宋体"/>
                <w:b/>
                <w:bCs w:val="0"/>
                <w:sz w:val="24"/>
                <w:szCs w:val="24"/>
                <w:highlight w:val="none"/>
                <w:lang w:eastAsia="zh-CN"/>
              </w:rPr>
            </w:pPr>
            <w:r>
              <w:rPr>
                <w:rFonts w:hint="eastAsia" w:ascii="宋体" w:hAnsi="宋体" w:eastAsia="宋体" w:cs="宋体"/>
                <w:b/>
                <w:bCs w:val="0"/>
                <w:sz w:val="24"/>
                <w:szCs w:val="24"/>
                <w:highlight w:val="none"/>
              </w:rPr>
              <w:t>付款方式</w:t>
            </w:r>
          </w:p>
        </w:tc>
        <w:tc>
          <w:tcPr>
            <w:tcW w:w="7126" w:type="dxa"/>
            <w:tcBorders>
              <w:left w:val="single" w:color="auto" w:sz="4" w:space="0"/>
            </w:tcBorders>
            <w:vAlign w:val="center"/>
          </w:tcPr>
          <w:p w14:paraId="2310F7FF">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both"/>
              <w:textAlignment w:val="auto"/>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设备供货安装调试完毕并验收合格后付至合同价款的90%，质保期满后无质量问题支付剩余合同价款。</w:t>
            </w:r>
          </w:p>
        </w:tc>
      </w:tr>
      <w:tr w14:paraId="552A9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5" w:hRule="atLeast"/>
          <w:jc w:val="center"/>
        </w:trPr>
        <w:tc>
          <w:tcPr>
            <w:tcW w:w="583" w:type="dxa"/>
            <w:tcBorders>
              <w:right w:val="single" w:color="auto" w:sz="4" w:space="0"/>
            </w:tcBorders>
            <w:vAlign w:val="center"/>
          </w:tcPr>
          <w:p w14:paraId="080010C0">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1809" w:type="dxa"/>
            <w:tcBorders>
              <w:right w:val="single" w:color="auto" w:sz="4" w:space="0"/>
            </w:tcBorders>
            <w:vAlign w:val="center"/>
          </w:tcPr>
          <w:p w14:paraId="019B7087">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b/>
                <w:bCs w:val="0"/>
                <w:sz w:val="24"/>
                <w:szCs w:val="24"/>
                <w:highlight w:val="none"/>
                <w:lang w:eastAsia="zh-CN"/>
              </w:rPr>
            </w:pPr>
            <w:r>
              <w:rPr>
                <w:rFonts w:hint="eastAsia" w:ascii="宋体" w:hAnsi="宋体" w:cs="宋体"/>
                <w:b/>
                <w:bCs w:val="0"/>
                <w:sz w:val="24"/>
                <w:szCs w:val="24"/>
                <w:highlight w:val="none"/>
                <w:lang w:eastAsia="zh-CN"/>
              </w:rPr>
              <w:t>质保期</w:t>
            </w:r>
          </w:p>
        </w:tc>
        <w:tc>
          <w:tcPr>
            <w:tcW w:w="7126" w:type="dxa"/>
            <w:tcBorders>
              <w:left w:val="single" w:color="auto" w:sz="4" w:space="0"/>
            </w:tcBorders>
            <w:vAlign w:val="center"/>
          </w:tcPr>
          <w:p w14:paraId="27CF8106">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both"/>
              <w:textAlignment w:val="auto"/>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质保期三年（质保期内，属于产品质量问题所发生的一切费用由成交供应商承担）。</w:t>
            </w:r>
          </w:p>
        </w:tc>
      </w:tr>
      <w:tr w14:paraId="68232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tcBorders>
              <w:right w:val="single" w:color="auto" w:sz="4" w:space="0"/>
            </w:tcBorders>
            <w:vAlign w:val="center"/>
          </w:tcPr>
          <w:p w14:paraId="22212BD1">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809" w:type="dxa"/>
            <w:tcBorders>
              <w:right w:val="single" w:color="auto" w:sz="4" w:space="0"/>
            </w:tcBorders>
            <w:vAlign w:val="center"/>
          </w:tcPr>
          <w:p w14:paraId="08E9713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sz w:val="24"/>
                <w:szCs w:val="24"/>
              </w:rPr>
              <w:t>电子招投标须知</w:t>
            </w:r>
          </w:p>
        </w:tc>
        <w:tc>
          <w:tcPr>
            <w:tcW w:w="7126" w:type="dxa"/>
            <w:tcBorders>
              <w:left w:val="single" w:color="auto" w:sz="4" w:space="0"/>
            </w:tcBorders>
            <w:vAlign w:val="center"/>
          </w:tcPr>
          <w:p w14:paraId="130AEC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中其他章节与</w:t>
            </w:r>
            <w:r>
              <w:rPr>
                <w:rFonts w:hint="eastAsia" w:ascii="宋体" w:hAnsi="宋体" w:cs="宋体"/>
                <w:kern w:val="2"/>
                <w:sz w:val="24"/>
                <w:szCs w:val="24"/>
                <w:lang w:val="en-US" w:eastAsia="zh-CN"/>
              </w:rPr>
              <w:t>供应商</w:t>
            </w:r>
            <w:r>
              <w:rPr>
                <w:rFonts w:hint="eastAsia" w:ascii="宋体" w:hAnsi="宋体" w:eastAsia="宋体" w:cs="宋体"/>
                <w:kern w:val="2"/>
                <w:sz w:val="24"/>
                <w:szCs w:val="24"/>
                <w:lang w:val="en-US" w:eastAsia="zh-CN"/>
              </w:rPr>
              <w:t>须知有不一致的内容，以</w:t>
            </w:r>
            <w:r>
              <w:rPr>
                <w:rFonts w:hint="eastAsia" w:ascii="宋体" w:hAnsi="宋体" w:cs="宋体"/>
                <w:kern w:val="2"/>
                <w:sz w:val="24"/>
                <w:szCs w:val="24"/>
                <w:lang w:val="en-US" w:eastAsia="zh-CN"/>
              </w:rPr>
              <w:t>供应商</w:t>
            </w:r>
            <w:r>
              <w:rPr>
                <w:rFonts w:hint="eastAsia" w:ascii="宋体" w:hAnsi="宋体" w:eastAsia="宋体" w:cs="宋体"/>
                <w:kern w:val="2"/>
                <w:sz w:val="24"/>
                <w:szCs w:val="24"/>
                <w:lang w:val="en-US" w:eastAsia="zh-CN"/>
              </w:rPr>
              <w:t>须知内容为准。</w:t>
            </w:r>
          </w:p>
          <w:p w14:paraId="21AC20E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本次采购为网上交易，</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采用电子评审的方式，</w:t>
            </w:r>
            <w:r>
              <w:rPr>
                <w:rFonts w:hint="eastAsia" w:ascii="宋体" w:hAnsi="宋体" w:cs="宋体"/>
                <w:kern w:val="2"/>
                <w:sz w:val="24"/>
                <w:szCs w:val="24"/>
                <w:lang w:val="en-US" w:eastAsia="zh-CN"/>
              </w:rPr>
              <w:t>供应商</w:t>
            </w:r>
            <w:r>
              <w:rPr>
                <w:rFonts w:hint="eastAsia" w:ascii="宋体" w:hAnsi="宋体" w:eastAsia="宋体" w:cs="宋体"/>
                <w:kern w:val="2"/>
                <w:sz w:val="24"/>
                <w:szCs w:val="24"/>
                <w:lang w:val="en-US" w:eastAsia="zh-CN"/>
              </w:rPr>
              <w:t>应通过赢标电子招标采购交易平台菏泽专区（https://hz.fzbidding.com/）上传经CA加密的电子</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w:t>
            </w:r>
          </w:p>
          <w:p w14:paraId="088487C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在线递交电子</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前，</w:t>
            </w:r>
            <w:r>
              <w:rPr>
                <w:rFonts w:hint="eastAsia" w:ascii="宋体" w:hAnsi="宋体" w:cs="宋体"/>
                <w:kern w:val="2"/>
                <w:sz w:val="24"/>
                <w:szCs w:val="24"/>
                <w:lang w:val="en-US" w:eastAsia="zh-CN"/>
              </w:rPr>
              <w:t>供应商</w:t>
            </w:r>
            <w:r>
              <w:rPr>
                <w:rFonts w:hint="eastAsia" w:ascii="宋体" w:hAnsi="宋体" w:eastAsia="宋体" w:cs="宋体"/>
                <w:kern w:val="2"/>
                <w:sz w:val="24"/>
                <w:szCs w:val="24"/>
                <w:lang w:val="en-US" w:eastAsia="zh-CN"/>
              </w:rPr>
              <w:t>应当使用投标客户端及CA为</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加密，加密时所有</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均只能使用同一把企业CA证书进行加密，否则引起的解密失败的责任由</w:t>
            </w:r>
            <w:r>
              <w:rPr>
                <w:rFonts w:hint="eastAsia" w:ascii="宋体" w:hAnsi="宋体" w:cs="宋体"/>
                <w:kern w:val="2"/>
                <w:sz w:val="24"/>
                <w:szCs w:val="24"/>
                <w:lang w:val="en-US" w:eastAsia="zh-CN"/>
              </w:rPr>
              <w:t>供应商</w:t>
            </w:r>
            <w:r>
              <w:rPr>
                <w:rFonts w:hint="eastAsia" w:ascii="宋体" w:hAnsi="宋体" w:eastAsia="宋体" w:cs="宋体"/>
                <w:kern w:val="2"/>
                <w:sz w:val="24"/>
                <w:szCs w:val="24"/>
                <w:lang w:val="en-US" w:eastAsia="zh-CN"/>
              </w:rPr>
              <w:t>自行承担。加密后请使用投标客户端软件验证解密，以确保电子</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未在加密过程中损坏。</w:t>
            </w:r>
            <w:r>
              <w:rPr>
                <w:rFonts w:hint="eastAsia" w:ascii="宋体" w:hAnsi="宋体" w:cs="宋体"/>
                <w:kern w:val="2"/>
                <w:sz w:val="24"/>
                <w:szCs w:val="24"/>
                <w:lang w:val="en-US" w:eastAsia="zh-CN"/>
              </w:rPr>
              <w:t>供应商</w:t>
            </w:r>
            <w:r>
              <w:rPr>
                <w:rFonts w:hint="eastAsia" w:ascii="宋体" w:hAnsi="宋体" w:eastAsia="宋体" w:cs="宋体"/>
                <w:kern w:val="2"/>
                <w:sz w:val="24"/>
                <w:szCs w:val="24"/>
                <w:lang w:val="en-US" w:eastAsia="zh-CN"/>
              </w:rPr>
              <w:t>未按规定加密的</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，赢标电子招标采购交易平台菏泽专区（https://hz.fzbidding.com/）将拒绝接收。</w:t>
            </w:r>
          </w:p>
          <w:p w14:paraId="75BAB4C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lang w:val="en-US" w:eastAsia="zh-CN"/>
              </w:rPr>
              <w:t>须在</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递交截止时间前通过投标客户端生成（已加密）结尾的特殊格式加密文件，并在</w:t>
            </w:r>
            <w:r>
              <w:rPr>
                <w:rFonts w:hint="eastAsia" w:ascii="宋体" w:hAnsi="宋体" w:cs="宋体"/>
                <w:kern w:val="2"/>
                <w:sz w:val="24"/>
                <w:szCs w:val="24"/>
                <w:lang w:val="en-US" w:eastAsia="zh-CN"/>
              </w:rPr>
              <w:t>竞争性磋商文件</w:t>
            </w:r>
            <w:r>
              <w:rPr>
                <w:rFonts w:hint="eastAsia" w:ascii="宋体" w:hAnsi="宋体" w:eastAsia="宋体" w:cs="宋体"/>
                <w:kern w:val="2"/>
                <w:sz w:val="24"/>
                <w:szCs w:val="24"/>
                <w:lang w:val="en-US" w:eastAsia="zh-CN"/>
              </w:rPr>
              <w:t>规定的开标截止时间前登录赢标电子招标采购交易平台菏泽专区（https://hz.fzbidding.com/）递交电子</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w:t>
            </w:r>
          </w:p>
          <w:p w14:paraId="09632D1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lang w:val="en-US" w:eastAsia="zh-CN"/>
              </w:rPr>
              <w:t>在递交</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之后、在规定的投标截止时间之前，可随时登录</w:t>
            </w:r>
            <w:r>
              <w:rPr>
                <w:rFonts w:hint="eastAsia" w:asciiTheme="minorEastAsia" w:hAnsiTheme="minorEastAsia" w:eastAsiaTheme="minorEastAsia" w:cstheme="minorEastAsia"/>
                <w:color w:val="auto"/>
                <w:sz w:val="24"/>
                <w:szCs w:val="24"/>
                <w:highlight w:val="none"/>
                <w:shd w:val="clear" w:color="auto" w:fill="FFFFFF"/>
                <w:lang w:eastAsia="zh-CN"/>
              </w:rPr>
              <w:t>赢标电子招标采购交易平台菏泽专区（https://hz.fzbidding.com/）</w:t>
            </w:r>
            <w:r>
              <w:rPr>
                <w:rFonts w:hint="eastAsia" w:ascii="宋体" w:hAnsi="宋体" w:eastAsia="宋体" w:cs="宋体"/>
                <w:kern w:val="2"/>
                <w:sz w:val="24"/>
                <w:szCs w:val="24"/>
                <w:lang w:val="en-US" w:eastAsia="zh-CN"/>
              </w:rPr>
              <w:fldChar w:fldCharType="begin"/>
            </w:r>
            <w:r>
              <w:rPr>
                <w:rFonts w:hint="eastAsia" w:ascii="宋体" w:hAnsi="宋体" w:eastAsia="宋体" w:cs="宋体"/>
                <w:kern w:val="2"/>
                <w:sz w:val="24"/>
                <w:szCs w:val="24"/>
                <w:lang w:val="en-US" w:eastAsia="zh-CN"/>
              </w:rPr>
              <w:instrText xml:space="preserve"> HYPERLINK "http://hz.fzbidding.com/撤回投标文件。需要补充或修改投标文件时，必须先撤回投标文件，修改后重新递交。重新递交的投标文件应按招标文件的规定编制、加密和CA签名。在开标截止时间后，不能修改或撤回投标文件。" </w:instrText>
            </w:r>
            <w:r>
              <w:rPr>
                <w:rFonts w:hint="eastAsia" w:ascii="宋体" w:hAnsi="宋体" w:eastAsia="宋体" w:cs="宋体"/>
                <w:kern w:val="2"/>
                <w:sz w:val="24"/>
                <w:szCs w:val="24"/>
                <w:lang w:val="en-US" w:eastAsia="zh-CN"/>
              </w:rPr>
              <w:fldChar w:fldCharType="separate"/>
            </w:r>
            <w:r>
              <w:rPr>
                <w:rFonts w:hint="eastAsia" w:ascii="宋体" w:hAnsi="宋体" w:eastAsia="宋体" w:cs="宋体"/>
                <w:kern w:val="2"/>
                <w:sz w:val="24"/>
                <w:szCs w:val="24"/>
                <w:lang w:val="en-US" w:eastAsia="zh-CN"/>
              </w:rPr>
              <w:t>撤回</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。需要补充或修改</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时，必须先撤回</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，修改后重新递交。重新递交的</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应按</w:t>
            </w:r>
            <w:r>
              <w:rPr>
                <w:rFonts w:hint="eastAsia" w:ascii="宋体" w:hAnsi="宋体" w:cs="宋体"/>
                <w:kern w:val="2"/>
                <w:sz w:val="24"/>
                <w:szCs w:val="24"/>
                <w:lang w:val="en-US" w:eastAsia="zh-CN"/>
              </w:rPr>
              <w:t>竞争性磋商文件</w:t>
            </w:r>
            <w:r>
              <w:rPr>
                <w:rFonts w:hint="eastAsia" w:ascii="宋体" w:hAnsi="宋体" w:eastAsia="宋体" w:cs="宋体"/>
                <w:kern w:val="2"/>
                <w:sz w:val="24"/>
                <w:szCs w:val="24"/>
                <w:lang w:val="en-US" w:eastAsia="zh-CN"/>
              </w:rPr>
              <w:t>的规定编制、加密和CA签名。在开标截止时间后，不能修改或撤回</w:t>
            </w:r>
            <w:r>
              <w:rPr>
                <w:rFonts w:hint="eastAsia" w:ascii="宋体" w:hAnsi="宋体" w:cs="宋体"/>
                <w:kern w:val="2"/>
                <w:sz w:val="24"/>
                <w:szCs w:val="24"/>
                <w:lang w:val="en-US" w:eastAsia="zh-CN"/>
              </w:rPr>
              <w:t>响应文件</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lang w:val="en-US" w:eastAsia="zh-CN"/>
              </w:rPr>
              <w:fldChar w:fldCharType="end"/>
            </w:r>
          </w:p>
          <w:p w14:paraId="21AA776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zh-CN"/>
              </w:rPr>
              <w:t>采购人</w:t>
            </w:r>
            <w:r>
              <w:rPr>
                <w:rFonts w:hint="eastAsia" w:ascii="宋体" w:hAnsi="宋体" w:eastAsia="宋体" w:cs="宋体"/>
                <w:color w:val="000000"/>
                <w:sz w:val="24"/>
                <w:szCs w:val="24"/>
                <w:highlight w:val="none"/>
                <w:lang w:val="zh-CN"/>
              </w:rPr>
              <w:t>按</w:t>
            </w:r>
            <w:r>
              <w:rPr>
                <w:rFonts w:hint="eastAsia" w:ascii="宋体" w:hAnsi="宋体" w:cs="宋体"/>
                <w:color w:val="000000"/>
                <w:sz w:val="24"/>
                <w:szCs w:val="24"/>
                <w:highlight w:val="none"/>
                <w:lang w:val="zh-CN" w:eastAsia="zh-CN"/>
              </w:rPr>
              <w:t>竞争性磋商文件</w:t>
            </w:r>
            <w:r>
              <w:rPr>
                <w:rFonts w:hint="eastAsia" w:ascii="宋体" w:hAnsi="宋体" w:eastAsia="宋体" w:cs="宋体"/>
                <w:color w:val="000000"/>
                <w:sz w:val="24"/>
                <w:szCs w:val="24"/>
                <w:highlight w:val="none"/>
                <w:lang w:val="zh-CN"/>
              </w:rPr>
              <w:t>中规定的时间公开</w:t>
            </w:r>
            <w:r>
              <w:rPr>
                <w:rFonts w:hint="eastAsia" w:ascii="宋体" w:hAnsi="宋体" w:eastAsia="宋体" w:cs="宋体"/>
                <w:color w:val="000000"/>
                <w:sz w:val="24"/>
                <w:szCs w:val="24"/>
                <w:highlight w:val="none"/>
                <w:lang w:val="zh-CN" w:eastAsia="zh-CN"/>
              </w:rPr>
              <w:t>报价</w:t>
            </w:r>
            <w:r>
              <w:rPr>
                <w:rFonts w:hint="eastAsia" w:ascii="宋体" w:hAnsi="宋体" w:eastAsia="宋体" w:cs="宋体"/>
                <w:color w:val="000000"/>
                <w:sz w:val="24"/>
                <w:szCs w:val="24"/>
                <w:highlight w:val="none"/>
                <w:lang w:val="zh-CN"/>
              </w:rPr>
              <w:t>，</w:t>
            </w:r>
            <w:r>
              <w:rPr>
                <w:rFonts w:hint="eastAsia" w:ascii="宋体" w:hAnsi="宋体" w:cs="宋体"/>
                <w:color w:val="000000"/>
                <w:sz w:val="24"/>
                <w:szCs w:val="24"/>
                <w:highlight w:val="none"/>
                <w:lang w:val="zh-CN"/>
              </w:rPr>
              <w:t>供应商</w:t>
            </w:r>
            <w:r>
              <w:rPr>
                <w:rFonts w:hint="eastAsia" w:ascii="宋体" w:hAnsi="宋体" w:eastAsia="宋体" w:cs="宋体"/>
                <w:b/>
                <w:bCs/>
                <w:color w:val="000000"/>
                <w:sz w:val="24"/>
                <w:szCs w:val="24"/>
                <w:highlight w:val="none"/>
                <w:lang w:val="zh-CN"/>
              </w:rPr>
              <w:t>必须自</w:t>
            </w:r>
            <w:r>
              <w:rPr>
                <w:rFonts w:hint="eastAsia" w:ascii="宋体" w:hAnsi="宋体" w:eastAsia="宋体" w:cs="宋体"/>
                <w:b/>
                <w:bCs/>
                <w:color w:val="000000"/>
                <w:sz w:val="24"/>
                <w:szCs w:val="24"/>
                <w:highlight w:val="none"/>
                <w:lang w:val="en-US" w:eastAsia="zh-CN"/>
              </w:rPr>
              <w:t>备</w:t>
            </w:r>
            <w:r>
              <w:rPr>
                <w:rFonts w:hint="eastAsia" w:ascii="宋体" w:hAnsi="宋体" w:eastAsia="宋体" w:cs="宋体"/>
                <w:b/>
                <w:bCs/>
                <w:color w:val="000000"/>
                <w:sz w:val="24"/>
                <w:szCs w:val="24"/>
                <w:highlight w:val="none"/>
                <w:lang w:val="zh-CN"/>
              </w:rPr>
              <w:t>笔记本电脑、CA准时在线参加报价</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需使用CA在规定的时间内自行完成解密，解密结束后对开标记录进行电子签名。</w:t>
            </w:r>
            <w:r>
              <w:rPr>
                <w:rFonts w:hint="eastAsia" w:ascii="宋体" w:hAnsi="宋体" w:eastAsia="宋体" w:cs="宋体"/>
                <w:b/>
                <w:bCs/>
                <w:color w:val="000000"/>
                <w:sz w:val="24"/>
                <w:szCs w:val="24"/>
                <w:highlight w:val="none"/>
              </w:rPr>
              <w:t>若</w:t>
            </w:r>
            <w:r>
              <w:rPr>
                <w:rFonts w:hint="eastAsia" w:ascii="宋体" w:hAnsi="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在解密规定时间内未完成电子标解密操作，视为放弃该项目投标。</w:t>
            </w:r>
            <w:r>
              <w:rPr>
                <w:rFonts w:hint="eastAsia" w:ascii="宋体" w:hAnsi="宋体" w:eastAsia="宋体" w:cs="宋体"/>
                <w:color w:val="000000"/>
                <w:sz w:val="24"/>
                <w:szCs w:val="24"/>
                <w:highlight w:val="none"/>
                <w:lang w:eastAsia="zh-CN"/>
              </w:rPr>
              <w:t>电子交易</w:t>
            </w:r>
            <w:r>
              <w:rPr>
                <w:rFonts w:hint="eastAsia" w:ascii="宋体" w:hAnsi="宋体" w:eastAsia="宋体" w:cs="宋体"/>
                <w:color w:val="000000"/>
                <w:sz w:val="24"/>
                <w:szCs w:val="24"/>
                <w:highlight w:val="none"/>
              </w:rPr>
              <w:t>过程出现故障时，按相关部门的规定处理。</w:t>
            </w:r>
          </w:p>
          <w:p w14:paraId="078F465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cs="宋体"/>
                <w:b/>
                <w:bCs/>
                <w:sz w:val="24"/>
              </w:rPr>
            </w:pPr>
            <w:r>
              <w:rPr>
                <w:rFonts w:hint="eastAsia" w:ascii="宋体" w:hAnsi="宋体" w:cs="宋体"/>
                <w:b/>
                <w:bCs/>
                <w:sz w:val="24"/>
              </w:rPr>
              <w:t>《操作手册》</w:t>
            </w:r>
            <w:r>
              <w:rPr>
                <w:rFonts w:hint="eastAsia" w:ascii="宋体" w:hAnsi="宋体" w:cs="宋体"/>
                <w:b/>
                <w:bCs/>
                <w:sz w:val="24"/>
                <w:lang w:eastAsia="zh-CN"/>
              </w:rPr>
              <w:t>在赢标电子招标采购交易平台菏泽专区（https://hz.fzbidding.com/）</w:t>
            </w:r>
            <w:r>
              <w:rPr>
                <w:rFonts w:hint="eastAsia" w:ascii="宋体" w:hAnsi="宋体" w:cs="宋体"/>
                <w:b/>
                <w:bCs/>
                <w:sz w:val="24"/>
              </w:rPr>
              <w:t>“下载中心”栏目进行下载。</w:t>
            </w:r>
          </w:p>
          <w:p w14:paraId="5E1AE739">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b/>
                <w:bCs/>
                <w:sz w:val="24"/>
                <w:szCs w:val="24"/>
                <w:highlight w:val="none"/>
              </w:rPr>
            </w:pPr>
            <w:r>
              <w:rPr>
                <w:rFonts w:hint="eastAsia" w:ascii="宋体" w:hAnsi="宋体" w:cs="宋体"/>
                <w:b/>
                <w:bCs/>
                <w:sz w:val="24"/>
                <w:lang w:eastAsia="zh-CN"/>
              </w:rPr>
              <w:t>供应商</w:t>
            </w:r>
            <w:r>
              <w:rPr>
                <w:rFonts w:hint="eastAsia" w:ascii="宋体" w:hAnsi="宋体" w:cs="宋体"/>
                <w:b/>
                <w:bCs/>
                <w:sz w:val="24"/>
              </w:rPr>
              <w:t>在使用电子招标投标平台时，如有任何疑问请拨打客服电话</w:t>
            </w:r>
            <w:r>
              <w:rPr>
                <w:rFonts w:hint="eastAsia" w:ascii="宋体" w:hAnsi="宋体" w:cs="宋体"/>
                <w:b/>
                <w:bCs/>
                <w:sz w:val="24"/>
                <w:lang w:eastAsia="zh-CN"/>
              </w:rPr>
              <w:t>：</w:t>
            </w:r>
            <w:r>
              <w:rPr>
                <w:rFonts w:hint="eastAsia" w:ascii="宋体" w:hAnsi="宋体" w:cs="宋体"/>
                <w:b/>
                <w:bCs/>
                <w:sz w:val="24"/>
                <w:lang w:val="en-US" w:eastAsia="zh-CN"/>
              </w:rPr>
              <w:t>15898683755</w:t>
            </w:r>
            <w:r>
              <w:rPr>
                <w:rFonts w:hint="eastAsia" w:ascii="宋体" w:hAnsi="宋体" w:cs="宋体"/>
                <w:b/>
                <w:bCs/>
                <w:sz w:val="24"/>
              </w:rPr>
              <w:t>。</w:t>
            </w:r>
          </w:p>
        </w:tc>
      </w:tr>
      <w:tr w14:paraId="02ADF1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tcBorders>
              <w:right w:val="single" w:color="auto" w:sz="4" w:space="0"/>
            </w:tcBorders>
            <w:vAlign w:val="center"/>
          </w:tcPr>
          <w:p w14:paraId="2AA61054">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1809" w:type="dxa"/>
            <w:tcBorders>
              <w:right w:val="single" w:color="auto" w:sz="4" w:space="0"/>
            </w:tcBorders>
            <w:vAlign w:val="center"/>
          </w:tcPr>
          <w:p w14:paraId="602D0A8A">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kern w:val="0"/>
                <w:sz w:val="24"/>
                <w:szCs w:val="24"/>
              </w:rPr>
              <w:t>电子招投标的应急措施</w:t>
            </w:r>
          </w:p>
        </w:tc>
        <w:tc>
          <w:tcPr>
            <w:tcW w:w="7126" w:type="dxa"/>
            <w:tcBorders>
              <w:left w:val="single" w:color="auto" w:sz="4" w:space="0"/>
            </w:tcBorders>
            <w:vAlign w:val="center"/>
          </w:tcPr>
          <w:p w14:paraId="235082F7">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电子开标、评标如出现下列原因，导致系统无法正常运行或无法正常评标时，应采取应急措施。 </w:t>
            </w:r>
          </w:p>
          <w:p w14:paraId="07F20345">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（1）系统服务器发生故障，无法访问或无法使用系统；</w:t>
            </w:r>
          </w:p>
          <w:p w14:paraId="4969C187">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（2）系统的软件或数据库出现错误，不能进行正常操作；</w:t>
            </w:r>
          </w:p>
          <w:p w14:paraId="1ABCDA42">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（3）系统发现有安全漏洞，有潜在的泄密危险；</w:t>
            </w:r>
          </w:p>
          <w:p w14:paraId="303EF2CB">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（4）病毒发作或受到外来病毒的攻击；</w:t>
            </w:r>
          </w:p>
          <w:p w14:paraId="630FF396">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eastAsia="zh-CN"/>
              </w:rPr>
              <w:t>采购代理机构</w:t>
            </w:r>
            <w:r>
              <w:rPr>
                <w:rFonts w:hint="eastAsia" w:ascii="宋体" w:hAnsi="宋体" w:eastAsia="宋体" w:cs="宋体"/>
                <w:bCs/>
                <w:sz w:val="24"/>
                <w:szCs w:val="24"/>
              </w:rPr>
              <w:t>的CA锁失效等原因导致无法解密的；</w:t>
            </w:r>
          </w:p>
          <w:p w14:paraId="2E09AEBC">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（6）其他不可抗拒的客观原因造成开评标系统无法正常使用。</w:t>
            </w:r>
          </w:p>
          <w:p w14:paraId="6B8ADBF1">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Cs/>
                <w:sz w:val="24"/>
                <w:szCs w:val="24"/>
              </w:rPr>
              <w:t xml:space="preserve">出现上述情况时，对于未开标的项目应暂停开标，对已在系统内评审的，也应立即停止。采取应急措施时，必须对原有资料及信息作妥善保密处理。 </w:t>
            </w:r>
          </w:p>
        </w:tc>
      </w:tr>
      <w:tr w14:paraId="6BFF7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tcBorders>
              <w:right w:val="single" w:color="auto" w:sz="4" w:space="0"/>
            </w:tcBorders>
            <w:vAlign w:val="center"/>
          </w:tcPr>
          <w:p w14:paraId="566B144D">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1809" w:type="dxa"/>
            <w:tcBorders>
              <w:right w:val="single" w:color="auto" w:sz="4" w:space="0"/>
            </w:tcBorders>
            <w:vAlign w:val="center"/>
          </w:tcPr>
          <w:p w14:paraId="1045B76B">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kern w:val="2"/>
                <w:sz w:val="24"/>
                <w:szCs w:val="24"/>
                <w:highlight w:val="none"/>
                <w:lang w:val="en-US" w:eastAsia="zh-CN"/>
              </w:rPr>
              <w:t>知识产权</w:t>
            </w:r>
          </w:p>
        </w:tc>
        <w:tc>
          <w:tcPr>
            <w:tcW w:w="7126" w:type="dxa"/>
            <w:tcBorders>
              <w:left w:val="single" w:color="auto" w:sz="4" w:space="0"/>
            </w:tcBorders>
            <w:vAlign w:val="center"/>
          </w:tcPr>
          <w:p w14:paraId="7292F03F">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kern w:val="2"/>
                <w:sz w:val="24"/>
                <w:szCs w:val="24"/>
                <w:highlight w:val="none"/>
                <w:lang w:val="en-US" w:eastAsia="zh-CN"/>
              </w:rPr>
              <w:t>构成本</w:t>
            </w:r>
            <w:r>
              <w:rPr>
                <w:rFonts w:hint="eastAsia" w:hAnsi="宋体" w:cs="宋体"/>
                <w:kern w:val="2"/>
                <w:sz w:val="24"/>
                <w:szCs w:val="24"/>
                <w:highlight w:val="none"/>
                <w:lang w:val="en-US" w:eastAsia="zh-CN"/>
              </w:rPr>
              <w:t>竞争性磋商文件</w:t>
            </w:r>
            <w:r>
              <w:rPr>
                <w:rFonts w:hint="eastAsia" w:ascii="宋体" w:hAnsi="宋体" w:eastAsia="宋体" w:cs="宋体"/>
                <w:kern w:val="2"/>
                <w:sz w:val="24"/>
                <w:szCs w:val="24"/>
                <w:highlight w:val="none"/>
                <w:lang w:val="en-US" w:eastAsia="zh-CN"/>
              </w:rPr>
              <w:t>各个组成部分的文件，未经</w:t>
            </w:r>
            <w:r>
              <w:rPr>
                <w:rFonts w:hint="eastAsia" w:hAnsi="宋体" w:cs="宋体"/>
                <w:kern w:val="2"/>
                <w:sz w:val="24"/>
                <w:szCs w:val="24"/>
                <w:highlight w:val="none"/>
                <w:lang w:val="en-US" w:eastAsia="zh-CN"/>
              </w:rPr>
              <w:t>采购人</w:t>
            </w:r>
            <w:r>
              <w:rPr>
                <w:rFonts w:hint="eastAsia" w:ascii="宋体" w:hAnsi="宋体" w:eastAsia="宋体" w:cs="宋体"/>
                <w:kern w:val="2"/>
                <w:sz w:val="24"/>
                <w:szCs w:val="24"/>
                <w:highlight w:val="none"/>
                <w:lang w:val="en-US" w:eastAsia="zh-CN"/>
              </w:rPr>
              <w:t>书面同意，</w:t>
            </w:r>
            <w:r>
              <w:rPr>
                <w:rFonts w:hint="eastAsia" w:hAnsi="宋体" w:cs="宋体"/>
                <w:kern w:val="2"/>
                <w:sz w:val="24"/>
                <w:szCs w:val="24"/>
                <w:highlight w:val="none"/>
                <w:lang w:val="en-US" w:eastAsia="zh-CN"/>
              </w:rPr>
              <w:t>供应商</w:t>
            </w:r>
            <w:r>
              <w:rPr>
                <w:rFonts w:hint="eastAsia" w:ascii="宋体" w:hAnsi="宋体" w:eastAsia="宋体" w:cs="宋体"/>
                <w:kern w:val="2"/>
                <w:sz w:val="24"/>
                <w:szCs w:val="24"/>
                <w:highlight w:val="none"/>
                <w:lang w:val="en-US" w:eastAsia="zh-CN"/>
              </w:rPr>
              <w:t>不得擅自复印和用于非本项目所需的其他目的。</w:t>
            </w:r>
            <w:r>
              <w:rPr>
                <w:rFonts w:hint="eastAsia" w:hAnsi="宋体" w:cs="宋体"/>
                <w:kern w:val="2"/>
                <w:sz w:val="24"/>
                <w:szCs w:val="24"/>
                <w:highlight w:val="none"/>
                <w:lang w:val="en-US" w:eastAsia="zh-CN"/>
              </w:rPr>
              <w:t>采购人</w:t>
            </w:r>
            <w:r>
              <w:rPr>
                <w:rFonts w:hint="eastAsia" w:ascii="宋体" w:hAnsi="宋体" w:eastAsia="宋体" w:cs="宋体"/>
                <w:kern w:val="2"/>
                <w:sz w:val="24"/>
                <w:szCs w:val="24"/>
                <w:highlight w:val="none"/>
                <w:lang w:val="en-US" w:eastAsia="zh-CN"/>
              </w:rPr>
              <w:t>全部或者部分使用未</w:t>
            </w:r>
            <w:r>
              <w:rPr>
                <w:rFonts w:hint="eastAsia" w:hAnsi="宋体" w:cs="宋体"/>
                <w:kern w:val="2"/>
                <w:sz w:val="24"/>
                <w:szCs w:val="24"/>
                <w:highlight w:val="none"/>
                <w:lang w:val="en-US" w:eastAsia="zh-CN"/>
              </w:rPr>
              <w:t>成交的响应文件</w:t>
            </w:r>
            <w:r>
              <w:rPr>
                <w:rFonts w:hint="eastAsia" w:ascii="宋体" w:hAnsi="宋体" w:eastAsia="宋体" w:cs="宋体"/>
                <w:kern w:val="2"/>
                <w:sz w:val="24"/>
                <w:szCs w:val="24"/>
                <w:highlight w:val="none"/>
                <w:lang w:val="en-US" w:eastAsia="zh-CN"/>
              </w:rPr>
              <w:t>中的技术成果或技术方案时，需征得其书面同意，并不得擅自复印或提供给第三人。</w:t>
            </w:r>
          </w:p>
        </w:tc>
      </w:tr>
      <w:tr w14:paraId="79741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tcBorders>
              <w:right w:val="single" w:color="auto" w:sz="4" w:space="0"/>
            </w:tcBorders>
            <w:vAlign w:val="center"/>
          </w:tcPr>
          <w:p w14:paraId="6795DC1D">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default" w:hAnsi="宋体" w:cs="宋体"/>
                <w:kern w:val="2"/>
                <w:sz w:val="24"/>
                <w:szCs w:val="24"/>
                <w:highlight w:val="none"/>
                <w:lang w:val="en-US" w:eastAsia="zh-CN"/>
              </w:rPr>
            </w:pPr>
            <w:bookmarkStart w:id="93" w:name="_Toc13581202"/>
            <w:bookmarkStart w:id="94" w:name="_Toc12613394"/>
            <w:bookmarkStart w:id="95" w:name="_Toc9845227"/>
            <w:bookmarkStart w:id="96" w:name="_Toc6916062"/>
            <w:bookmarkStart w:id="97" w:name="_Toc12613430"/>
            <w:bookmarkStart w:id="98" w:name="_Toc22636"/>
            <w:r>
              <w:rPr>
                <w:rFonts w:hint="eastAsia" w:hAnsi="宋体" w:cs="宋体"/>
                <w:kern w:val="2"/>
                <w:sz w:val="24"/>
                <w:szCs w:val="24"/>
                <w:highlight w:val="none"/>
                <w:lang w:val="en-US" w:eastAsia="zh-CN"/>
              </w:rPr>
              <w:t>34</w:t>
            </w:r>
          </w:p>
        </w:tc>
        <w:tc>
          <w:tcPr>
            <w:tcW w:w="1809" w:type="dxa"/>
            <w:tcBorders>
              <w:right w:val="single" w:color="auto" w:sz="4" w:space="0"/>
            </w:tcBorders>
            <w:vAlign w:val="center"/>
          </w:tcPr>
          <w:p w14:paraId="3283128D">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同一品牌</w:t>
            </w:r>
          </w:p>
        </w:tc>
        <w:tc>
          <w:tcPr>
            <w:tcW w:w="7126" w:type="dxa"/>
            <w:tcBorders>
              <w:left w:val="single" w:color="auto" w:sz="4" w:space="0"/>
            </w:tcBorders>
            <w:vAlign w:val="center"/>
          </w:tcPr>
          <w:p w14:paraId="0C1C1DC2">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提供相同品牌产品且均通过资格审查、符合性审查的不同供应商参加本项目的，按一家供应商计算，评审后得分最高的同品牌供应商获得成交推荐资格；评审得分相同的，由采购人或者采购人委托磋商小组按照下述</w:t>
            </w:r>
            <w:r>
              <w:rPr>
                <w:rFonts w:hint="eastAsia" w:ascii="宋体" w:hAnsi="宋体" w:eastAsia="宋体" w:cs="宋体"/>
                <w:kern w:val="2"/>
                <w:sz w:val="24"/>
                <w:szCs w:val="24"/>
                <w:u w:val="single"/>
                <w:lang w:val="en-US" w:eastAsia="zh-CN"/>
              </w:rPr>
              <w:t xml:space="preserve"> 第2条 </w:t>
            </w:r>
            <w:r>
              <w:rPr>
                <w:rFonts w:hint="eastAsia" w:ascii="宋体" w:hAnsi="宋体" w:eastAsia="宋体" w:cs="宋体"/>
                <w:kern w:val="2"/>
                <w:sz w:val="24"/>
                <w:szCs w:val="24"/>
                <w:lang w:val="en-US" w:eastAsia="zh-CN"/>
              </w:rPr>
              <w:t>方式确定一家供应商获得成交推荐资格，其他同品牌供应商不再推荐为成交候选供应商：</w:t>
            </w:r>
          </w:p>
          <w:p w14:paraId="3519A1D6">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1、磋商小组采取随机抽取的方式确定。</w:t>
            </w:r>
          </w:p>
          <w:p w14:paraId="4410B17A">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2、报价低的一方为成交候选供应商；报价相同时，技术部分得分高的一方为成交候选供应商；报价和技术部分得分均相同时，由磋商小组确定。</w:t>
            </w:r>
          </w:p>
        </w:tc>
      </w:tr>
      <w:tr w14:paraId="456F9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tcBorders>
              <w:right w:val="single" w:color="auto" w:sz="4" w:space="0"/>
            </w:tcBorders>
            <w:vAlign w:val="center"/>
          </w:tcPr>
          <w:p w14:paraId="604326C6">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default" w:hAnsi="宋体" w:cs="宋体"/>
                <w:kern w:val="2"/>
                <w:sz w:val="24"/>
                <w:szCs w:val="24"/>
                <w:highlight w:val="none"/>
                <w:lang w:val="en-US" w:eastAsia="zh-CN"/>
              </w:rPr>
            </w:pPr>
            <w:r>
              <w:rPr>
                <w:rFonts w:hint="eastAsia" w:hAnsi="宋体" w:cs="宋体"/>
                <w:kern w:val="2"/>
                <w:sz w:val="24"/>
                <w:szCs w:val="24"/>
                <w:highlight w:val="none"/>
                <w:lang w:val="en-US" w:eastAsia="zh-CN"/>
              </w:rPr>
              <w:t>35</w:t>
            </w:r>
          </w:p>
        </w:tc>
        <w:tc>
          <w:tcPr>
            <w:tcW w:w="1809" w:type="dxa"/>
            <w:tcBorders>
              <w:right w:val="single" w:color="auto" w:sz="4" w:space="0"/>
            </w:tcBorders>
            <w:vAlign w:val="center"/>
          </w:tcPr>
          <w:p w14:paraId="4519A9BF">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解释权</w:t>
            </w:r>
          </w:p>
        </w:tc>
        <w:tc>
          <w:tcPr>
            <w:tcW w:w="7126" w:type="dxa"/>
            <w:tcBorders>
              <w:left w:val="single" w:color="auto" w:sz="4" w:space="0"/>
            </w:tcBorders>
            <w:vAlign w:val="center"/>
          </w:tcPr>
          <w:p w14:paraId="3EF3CD42">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构成本</w:t>
            </w:r>
            <w:r>
              <w:rPr>
                <w:rFonts w:hint="eastAsia" w:hAnsi="宋体" w:cs="宋体"/>
                <w:kern w:val="2"/>
                <w:sz w:val="24"/>
                <w:szCs w:val="24"/>
                <w:lang w:val="en-US" w:eastAsia="zh-CN"/>
              </w:rPr>
              <w:t>竞争性磋商文件</w:t>
            </w:r>
            <w:r>
              <w:rPr>
                <w:rFonts w:hint="eastAsia" w:ascii="宋体" w:hAnsi="宋体" w:eastAsia="宋体" w:cs="宋体"/>
                <w:kern w:val="2"/>
                <w:sz w:val="24"/>
                <w:szCs w:val="24"/>
                <w:lang w:val="en-US" w:eastAsia="zh-CN"/>
              </w:rPr>
              <w:t>的各个组成文件应互为解释，互为说明；如有不明确或不一致，构成合同文件组成内容的，以合同文件约定内容为准，且以专用合同条款约定的合同文件优先顺序解释；除</w:t>
            </w:r>
            <w:r>
              <w:rPr>
                <w:rFonts w:hint="eastAsia" w:hAnsi="宋体" w:cs="宋体"/>
                <w:kern w:val="2"/>
                <w:sz w:val="24"/>
                <w:szCs w:val="24"/>
                <w:lang w:val="en-US" w:eastAsia="zh-CN"/>
              </w:rPr>
              <w:t>竞争性磋商文件</w:t>
            </w:r>
            <w:r>
              <w:rPr>
                <w:rFonts w:hint="eastAsia" w:ascii="宋体" w:hAnsi="宋体" w:eastAsia="宋体" w:cs="宋体"/>
                <w:kern w:val="2"/>
                <w:sz w:val="24"/>
                <w:szCs w:val="24"/>
                <w:lang w:val="en-US" w:eastAsia="zh-CN"/>
              </w:rPr>
              <w:t>中有特别规定外，仅适用于招标阶段的规定，按</w:t>
            </w:r>
            <w:r>
              <w:rPr>
                <w:rFonts w:hint="eastAsia" w:hAnsi="宋体" w:cs="宋体"/>
                <w:kern w:val="2"/>
                <w:sz w:val="24"/>
                <w:szCs w:val="24"/>
                <w:lang w:val="en-US" w:eastAsia="zh-CN"/>
              </w:rPr>
              <w:t>竞争性磋商公告</w:t>
            </w:r>
            <w:r>
              <w:rPr>
                <w:rFonts w:hint="eastAsia" w:ascii="宋体" w:hAnsi="宋体" w:eastAsia="宋体" w:cs="宋体"/>
                <w:kern w:val="2"/>
                <w:sz w:val="24"/>
                <w:szCs w:val="24"/>
                <w:lang w:val="en-US" w:eastAsia="zh-CN"/>
              </w:rPr>
              <w:t>、</w:t>
            </w:r>
            <w:r>
              <w:rPr>
                <w:rFonts w:hint="eastAsia" w:hAnsi="宋体" w:cs="宋体"/>
                <w:kern w:val="2"/>
                <w:sz w:val="24"/>
                <w:szCs w:val="24"/>
                <w:lang w:val="en-US" w:eastAsia="zh-CN"/>
              </w:rPr>
              <w:t>供应商</w:t>
            </w:r>
            <w:r>
              <w:rPr>
                <w:rFonts w:hint="eastAsia" w:ascii="宋体" w:hAnsi="宋体" w:eastAsia="宋体" w:cs="宋体"/>
                <w:kern w:val="2"/>
                <w:sz w:val="24"/>
                <w:szCs w:val="24"/>
                <w:lang w:val="en-US" w:eastAsia="zh-CN"/>
              </w:rPr>
              <w:t>须知、</w:t>
            </w:r>
            <w:r>
              <w:rPr>
                <w:rFonts w:hint="eastAsia" w:hAnsi="宋体" w:eastAsia="宋体" w:cs="宋体"/>
                <w:kern w:val="2"/>
                <w:sz w:val="24"/>
                <w:szCs w:val="24"/>
                <w:lang w:val="en-US" w:eastAsia="zh-CN"/>
              </w:rPr>
              <w:t>评标办法</w:t>
            </w:r>
            <w:r>
              <w:rPr>
                <w:rFonts w:hint="eastAsia" w:ascii="宋体" w:hAnsi="宋体" w:eastAsia="宋体" w:cs="宋体"/>
                <w:kern w:val="2"/>
                <w:sz w:val="24"/>
                <w:szCs w:val="24"/>
                <w:lang w:val="en-US" w:eastAsia="zh-CN"/>
              </w:rPr>
              <w:t>、</w:t>
            </w:r>
            <w:r>
              <w:rPr>
                <w:rFonts w:hint="eastAsia" w:hAnsi="宋体" w:cs="宋体"/>
                <w:kern w:val="2"/>
                <w:sz w:val="24"/>
                <w:szCs w:val="24"/>
                <w:lang w:val="en-US" w:eastAsia="zh-CN"/>
              </w:rPr>
              <w:t>响应文件</w:t>
            </w:r>
            <w:r>
              <w:rPr>
                <w:rFonts w:hint="eastAsia" w:ascii="宋体" w:hAnsi="宋体" w:eastAsia="宋体" w:cs="宋体"/>
                <w:kern w:val="2"/>
                <w:sz w:val="24"/>
                <w:szCs w:val="24"/>
                <w:lang w:val="en-US" w:eastAsia="zh-CN"/>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hAnsi="宋体" w:cs="宋体"/>
                <w:kern w:val="2"/>
                <w:sz w:val="24"/>
                <w:szCs w:val="24"/>
                <w:lang w:val="en-US" w:eastAsia="zh-CN"/>
              </w:rPr>
              <w:t>采购人</w:t>
            </w:r>
            <w:r>
              <w:rPr>
                <w:rFonts w:hint="eastAsia" w:ascii="宋体" w:hAnsi="宋体" w:eastAsia="宋体" w:cs="宋体"/>
                <w:kern w:val="2"/>
                <w:sz w:val="24"/>
                <w:szCs w:val="24"/>
                <w:lang w:val="en-US" w:eastAsia="zh-CN"/>
              </w:rPr>
              <w:t>负责解释。</w:t>
            </w:r>
            <w:r>
              <w:rPr>
                <w:rFonts w:hint="eastAsia" w:ascii="宋体" w:hAnsi="宋体" w:eastAsia="宋体" w:cs="宋体"/>
                <w:b w:val="0"/>
                <w:bCs w:val="0"/>
                <w:kern w:val="2"/>
                <w:sz w:val="24"/>
                <w:szCs w:val="24"/>
                <w:lang w:val="en-US" w:eastAsia="zh-CN"/>
              </w:rPr>
              <w:t>本</w:t>
            </w:r>
            <w:r>
              <w:rPr>
                <w:rFonts w:hint="eastAsia" w:hAnsi="宋体" w:cs="宋体"/>
                <w:b w:val="0"/>
                <w:bCs w:val="0"/>
                <w:kern w:val="2"/>
                <w:sz w:val="24"/>
                <w:szCs w:val="24"/>
                <w:lang w:val="en-US" w:eastAsia="zh-CN"/>
              </w:rPr>
              <w:t>竞争性磋商文件</w:t>
            </w:r>
            <w:r>
              <w:rPr>
                <w:rFonts w:hint="eastAsia" w:ascii="宋体" w:hAnsi="宋体" w:eastAsia="宋体" w:cs="宋体"/>
                <w:b w:val="0"/>
                <w:bCs w:val="0"/>
                <w:kern w:val="2"/>
                <w:sz w:val="24"/>
                <w:szCs w:val="24"/>
                <w:lang w:val="en-US" w:eastAsia="zh-CN"/>
              </w:rPr>
              <w:t>的最终解释权归</w:t>
            </w:r>
            <w:r>
              <w:rPr>
                <w:rFonts w:hint="eastAsia" w:hAnsi="宋体" w:cs="宋体"/>
                <w:b w:val="0"/>
                <w:bCs w:val="0"/>
                <w:kern w:val="2"/>
                <w:sz w:val="24"/>
                <w:szCs w:val="24"/>
                <w:lang w:val="en-US" w:eastAsia="zh-CN"/>
              </w:rPr>
              <w:t>采购人</w:t>
            </w:r>
            <w:r>
              <w:rPr>
                <w:rFonts w:hint="eastAsia" w:ascii="宋体" w:hAnsi="宋体" w:eastAsia="宋体" w:cs="宋体"/>
                <w:b w:val="0"/>
                <w:bCs w:val="0"/>
                <w:kern w:val="2"/>
                <w:sz w:val="24"/>
                <w:szCs w:val="24"/>
                <w:lang w:val="en-US" w:eastAsia="zh-CN"/>
              </w:rPr>
              <w:t>所有</w:t>
            </w:r>
          </w:p>
        </w:tc>
      </w:tr>
      <w:tr w14:paraId="4EB04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tcBorders>
              <w:right w:val="single" w:color="auto" w:sz="4" w:space="0"/>
            </w:tcBorders>
            <w:vAlign w:val="center"/>
          </w:tcPr>
          <w:p w14:paraId="7048E44E">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default" w:hAnsi="宋体" w:cs="宋体"/>
                <w:kern w:val="2"/>
                <w:sz w:val="24"/>
                <w:szCs w:val="24"/>
                <w:highlight w:val="none"/>
                <w:lang w:val="en-US" w:eastAsia="zh-CN"/>
              </w:rPr>
            </w:pPr>
            <w:r>
              <w:rPr>
                <w:rFonts w:hint="eastAsia" w:hAnsi="宋体" w:cs="宋体"/>
                <w:kern w:val="2"/>
                <w:sz w:val="24"/>
                <w:szCs w:val="24"/>
                <w:highlight w:val="none"/>
                <w:lang w:val="en-US" w:eastAsia="zh-CN"/>
              </w:rPr>
              <w:t>36</w:t>
            </w:r>
          </w:p>
        </w:tc>
        <w:tc>
          <w:tcPr>
            <w:tcW w:w="1809" w:type="dxa"/>
            <w:tcBorders>
              <w:right w:val="single" w:color="auto" w:sz="4" w:space="0"/>
            </w:tcBorders>
            <w:vAlign w:val="center"/>
          </w:tcPr>
          <w:p w14:paraId="6098FF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rPr>
            </w:pPr>
            <w:r>
              <w:rPr>
                <w:rFonts w:hint="eastAsia" w:ascii="宋体" w:hAnsi="宋体" w:cs="宋体"/>
                <w:b/>
                <w:bCs/>
                <w:color w:val="auto"/>
                <w:sz w:val="24"/>
                <w:szCs w:val="24"/>
                <w:lang w:val="en-US" w:eastAsia="zh-CN"/>
              </w:rPr>
              <w:t>信用评价</w:t>
            </w:r>
          </w:p>
        </w:tc>
        <w:tc>
          <w:tcPr>
            <w:tcW w:w="7126" w:type="dxa"/>
            <w:tcBorders>
              <w:left w:val="single" w:color="auto" w:sz="4" w:space="0"/>
            </w:tcBorders>
            <w:vAlign w:val="center"/>
          </w:tcPr>
          <w:p w14:paraId="41DFEBD6">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hAnsi="宋体" w:cs="宋体"/>
                <w:kern w:val="2"/>
                <w:sz w:val="24"/>
                <w:szCs w:val="24"/>
                <w:highlight w:val="none"/>
                <w:lang w:val="en-US" w:eastAsia="zh-CN"/>
              </w:rPr>
            </w:pPr>
            <w:r>
              <w:rPr>
                <w:rFonts w:hint="eastAsia" w:hAnsi="宋体" w:cs="宋体"/>
                <w:kern w:val="2"/>
                <w:sz w:val="24"/>
                <w:szCs w:val="24"/>
                <w:highlight w:val="none"/>
                <w:lang w:val="en-US" w:eastAsia="zh-CN"/>
              </w:rPr>
              <w:t xml:space="preserve">供应商须在项目开标前，进入菏泽政采信用系统（https://jdpj.hzcz.heze.gov.cn:10001），完成账号注册（已有账号的无需重复注册），登录系统截取当前的信用星级和分数，作为供应商信用情况的参考。信用系统具体操作步骤详见【菏泽市政采信用管理系统】用户操作手册（https://jdpj.hzcz.heze.gov.cn:10001/user/login）。                   </w:t>
            </w:r>
          </w:p>
          <w:p w14:paraId="7B1273EB">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hAnsi="宋体" w:cs="宋体"/>
                <w:kern w:val="2"/>
                <w:sz w:val="24"/>
                <w:szCs w:val="24"/>
                <w:highlight w:val="none"/>
                <w:lang w:val="en-US" w:eastAsia="zh-CN"/>
              </w:rPr>
            </w:pPr>
            <w:r>
              <w:rPr>
                <w:rFonts w:hint="eastAsia" w:hAnsi="宋体" w:cs="宋体"/>
                <w:kern w:val="2"/>
                <w:sz w:val="24"/>
                <w:szCs w:val="24"/>
                <w:highlight w:val="none"/>
                <w:lang w:val="en-US" w:eastAsia="zh-CN"/>
              </w:rPr>
              <w:t xml:space="preserve">   技术咨询董工15053027821</w:t>
            </w:r>
          </w:p>
          <w:p w14:paraId="364B973B">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left"/>
              <w:textAlignment w:val="auto"/>
              <w:rPr>
                <w:rFonts w:hint="eastAsia" w:hAnsi="宋体" w:cs="宋体"/>
                <w:kern w:val="2"/>
                <w:sz w:val="24"/>
                <w:szCs w:val="24"/>
                <w:highlight w:val="none"/>
                <w:lang w:val="en-US" w:eastAsia="zh-CN"/>
              </w:rPr>
            </w:pPr>
            <w:r>
              <w:rPr>
                <w:rFonts w:hint="eastAsia" w:hAnsi="宋体" w:cs="宋体"/>
                <w:kern w:val="2"/>
                <w:sz w:val="24"/>
                <w:szCs w:val="24"/>
                <w:highlight w:val="none"/>
                <w:lang w:val="en-US" w:eastAsia="zh-CN"/>
              </w:rPr>
              <w:t xml:space="preserve">   技术咨询陈工18253063200</w:t>
            </w:r>
          </w:p>
          <w:p w14:paraId="4A2E146A">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highlight w:val="none"/>
                <w:lang w:val="en-US" w:eastAsia="zh-CN"/>
              </w:rPr>
              <w:t>重要提示：此项要求不作为</w:t>
            </w:r>
            <w:r>
              <w:rPr>
                <w:rFonts w:hint="eastAsia" w:hAnsi="宋体" w:cs="宋体"/>
                <w:kern w:val="2"/>
                <w:sz w:val="24"/>
                <w:szCs w:val="24"/>
                <w:highlight w:val="none"/>
                <w:lang w:val="en-US" w:eastAsia="zh-CN"/>
              </w:rPr>
              <w:t>供应商</w:t>
            </w:r>
            <w:r>
              <w:rPr>
                <w:rFonts w:hint="eastAsia" w:ascii="宋体" w:hAnsi="宋体" w:eastAsia="宋体" w:cs="宋体"/>
                <w:kern w:val="2"/>
                <w:sz w:val="24"/>
                <w:szCs w:val="24"/>
                <w:highlight w:val="none"/>
                <w:lang w:val="en-US" w:eastAsia="zh-CN"/>
              </w:rPr>
              <w:t>参与评审的资格项和评分项，不以此项</w:t>
            </w:r>
            <w:r>
              <w:rPr>
                <w:rFonts w:hint="eastAsia" w:hAnsi="宋体" w:cs="宋体"/>
                <w:kern w:val="2"/>
                <w:sz w:val="24"/>
                <w:szCs w:val="24"/>
                <w:highlight w:val="none"/>
                <w:lang w:val="en-US" w:eastAsia="zh-CN"/>
              </w:rPr>
              <w:t>作为</w:t>
            </w:r>
            <w:r>
              <w:rPr>
                <w:rFonts w:hint="eastAsia" w:ascii="宋体" w:hAnsi="宋体" w:eastAsia="宋体" w:cs="宋体"/>
                <w:kern w:val="2"/>
                <w:sz w:val="24"/>
                <w:szCs w:val="24"/>
                <w:highlight w:val="none"/>
                <w:lang w:val="en-US" w:eastAsia="zh-CN"/>
              </w:rPr>
              <w:t>废标处理。</w:t>
            </w:r>
          </w:p>
        </w:tc>
      </w:tr>
      <w:tr w14:paraId="377317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583" w:type="dxa"/>
            <w:tcBorders>
              <w:right w:val="single" w:color="auto" w:sz="4" w:space="0"/>
            </w:tcBorders>
            <w:vAlign w:val="center"/>
          </w:tcPr>
          <w:p w14:paraId="1EAC8732">
            <w:pPr>
              <w:pStyle w:val="41"/>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firstLine="0" w:firstLineChars="0"/>
              <w:jc w:val="center"/>
              <w:textAlignment w:val="auto"/>
              <w:rPr>
                <w:rFonts w:hint="eastAsia" w:hAnsi="宋体" w:cs="宋体"/>
                <w:kern w:val="2"/>
                <w:sz w:val="24"/>
                <w:szCs w:val="24"/>
                <w:highlight w:val="none"/>
                <w:lang w:val="en-US" w:eastAsia="zh-CN"/>
              </w:rPr>
            </w:pPr>
            <w:r>
              <w:rPr>
                <w:rFonts w:hint="eastAsia" w:hAnsi="宋体" w:cs="宋体"/>
                <w:kern w:val="2"/>
                <w:sz w:val="24"/>
                <w:szCs w:val="24"/>
                <w:highlight w:val="none"/>
                <w:lang w:val="en-US" w:eastAsia="zh-CN"/>
              </w:rPr>
              <w:t>37</w:t>
            </w:r>
          </w:p>
        </w:tc>
        <w:tc>
          <w:tcPr>
            <w:tcW w:w="1809" w:type="dxa"/>
            <w:tcBorders>
              <w:right w:val="single" w:color="auto" w:sz="4" w:space="0"/>
            </w:tcBorders>
            <w:vAlign w:val="center"/>
          </w:tcPr>
          <w:p w14:paraId="629ACF21">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cs="宋体"/>
                <w:b/>
                <w:bCs/>
                <w:color w:val="auto"/>
                <w:sz w:val="24"/>
                <w:szCs w:val="24"/>
                <w:lang w:val="en-US" w:eastAsia="zh-CN"/>
              </w:rPr>
            </w:pPr>
            <w:r>
              <w:rPr>
                <w:rFonts w:hint="eastAsia" w:ascii="宋体" w:hAnsi="宋体" w:eastAsia="宋体" w:cs="宋体"/>
                <w:b/>
                <w:bCs/>
                <w:sz w:val="24"/>
                <w:szCs w:val="24"/>
                <w:highlight w:val="none"/>
                <w:lang w:val="en-US" w:eastAsia="zh-CN"/>
              </w:rPr>
              <w:t>本项目所属行业</w:t>
            </w:r>
          </w:p>
        </w:tc>
        <w:tc>
          <w:tcPr>
            <w:tcW w:w="7126" w:type="dxa"/>
            <w:tcBorders>
              <w:left w:val="single" w:color="auto" w:sz="4" w:space="0"/>
            </w:tcBorders>
            <w:vAlign w:val="center"/>
          </w:tcPr>
          <w:p w14:paraId="48AAA367">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both"/>
              <w:textAlignment w:val="auto"/>
              <w:rPr>
                <w:rFonts w:hint="eastAsia" w:ascii="宋体" w:hAnsi="宋体" w:eastAsia="宋体" w:cs="宋体"/>
                <w:kern w:val="2"/>
                <w:sz w:val="24"/>
                <w:szCs w:val="24"/>
                <w:highlight w:val="none"/>
                <w:lang w:val="en-US" w:eastAsia="zh-CN"/>
              </w:rPr>
            </w:pPr>
            <w:r>
              <w:rPr>
                <w:rFonts w:hint="eastAsia" w:ascii="宋体" w:hAnsi="宋体" w:cs="宋体"/>
                <w:b/>
                <w:bCs/>
                <w:sz w:val="24"/>
                <w:szCs w:val="24"/>
                <w:highlight w:val="none"/>
                <w:lang w:val="en-US" w:eastAsia="zh-CN"/>
              </w:rPr>
              <w:t>工业</w:t>
            </w:r>
          </w:p>
        </w:tc>
      </w:tr>
    </w:tbl>
    <w:p w14:paraId="078E7F80">
      <w:pPr>
        <w:pStyle w:val="3"/>
        <w:pageBreakBefore w:val="0"/>
        <w:kinsoku/>
        <w:wordWrap/>
        <w:overflowPunct/>
        <w:topLinePunct w:val="0"/>
        <w:bidi w:val="0"/>
        <w:spacing w:before="146" w:beforeLines="50" w:after="0" w:line="360" w:lineRule="auto"/>
        <w:ind w:left="0" w:leftChars="0" w:right="105" w:rightChars="50" w:firstLine="482" w:firstLineChars="200"/>
        <w:jc w:val="center"/>
        <w:textAlignment w:val="auto"/>
        <w:outlineLvl w:val="9"/>
        <w:rPr>
          <w:rFonts w:hint="eastAsia" w:asciiTheme="minorEastAsia" w:hAnsiTheme="minorEastAsia" w:eastAsiaTheme="minorEastAsia" w:cstheme="minorEastAsia"/>
          <w:b/>
          <w:sz w:val="24"/>
          <w:szCs w:val="24"/>
          <w:highlight w:val="none"/>
          <w:lang w:eastAsia="zh-CN"/>
        </w:rPr>
      </w:pPr>
    </w:p>
    <w:p w14:paraId="2967A2F1">
      <w:pP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br w:type="page"/>
      </w:r>
    </w:p>
    <w:p w14:paraId="5512D765">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center"/>
        <w:textAlignment w:val="auto"/>
        <w:outlineLvl w:val="3"/>
        <w:rPr>
          <w:rFonts w:hint="eastAsia" w:asciiTheme="minorEastAsia" w:hAnsiTheme="minorEastAsia" w:eastAsiaTheme="minorEastAsia" w:cstheme="minorEastAsia"/>
          <w:b/>
          <w:bCs/>
          <w:kern w:val="0"/>
          <w:sz w:val="24"/>
          <w:szCs w:val="24"/>
          <w:highlight w:val="none"/>
          <w:lang w:eastAsia="zh-CN"/>
        </w:rPr>
      </w:pPr>
      <w:bookmarkStart w:id="99" w:name="_Toc27588"/>
      <w:bookmarkStart w:id="100" w:name="_Toc2103"/>
      <w:r>
        <w:rPr>
          <w:rFonts w:hint="eastAsia" w:asciiTheme="minorEastAsia" w:hAnsiTheme="minorEastAsia" w:eastAsiaTheme="minorEastAsia" w:cstheme="minorEastAsia"/>
          <w:b/>
          <w:bCs/>
          <w:kern w:val="0"/>
          <w:sz w:val="24"/>
          <w:szCs w:val="24"/>
          <w:highlight w:val="none"/>
          <w:lang w:val="en-US" w:eastAsia="zh-CN"/>
        </w:rPr>
        <w:t>一、</w:t>
      </w:r>
      <w:r>
        <w:rPr>
          <w:rFonts w:hint="eastAsia" w:asciiTheme="minorEastAsia" w:hAnsiTheme="minorEastAsia" w:eastAsiaTheme="minorEastAsia" w:cstheme="minorEastAsia"/>
          <w:b/>
          <w:bCs/>
          <w:kern w:val="0"/>
          <w:sz w:val="24"/>
          <w:szCs w:val="24"/>
          <w:highlight w:val="none"/>
          <w:lang w:eastAsia="zh-CN"/>
        </w:rPr>
        <w:t>总则</w:t>
      </w:r>
      <w:bookmarkEnd w:id="99"/>
      <w:bookmarkEnd w:id="100"/>
    </w:p>
    <w:bookmarkEnd w:id="93"/>
    <w:bookmarkEnd w:id="94"/>
    <w:bookmarkEnd w:id="95"/>
    <w:bookmarkEnd w:id="96"/>
    <w:bookmarkEnd w:id="97"/>
    <w:bookmarkEnd w:id="98"/>
    <w:p w14:paraId="39C43B48">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bookmarkStart w:id="101" w:name="_Toc346306730"/>
      <w:bookmarkStart w:id="102" w:name="_Toc346372877"/>
      <w:bookmarkStart w:id="103" w:name="_Toc352332851"/>
      <w:r>
        <w:rPr>
          <w:rFonts w:hint="eastAsia" w:asciiTheme="minorEastAsia" w:hAnsiTheme="minorEastAsia" w:eastAsiaTheme="minorEastAsia" w:cstheme="minorEastAsia"/>
          <w:b/>
          <w:bCs/>
          <w:kern w:val="0"/>
          <w:sz w:val="24"/>
          <w:szCs w:val="24"/>
          <w:highlight w:val="none"/>
        </w:rPr>
        <w:t>1.</w:t>
      </w:r>
      <w:bookmarkEnd w:id="101"/>
      <w:bookmarkEnd w:id="102"/>
      <w:bookmarkEnd w:id="103"/>
      <w:r>
        <w:rPr>
          <w:rFonts w:hint="eastAsia" w:asciiTheme="minorEastAsia" w:hAnsiTheme="minorEastAsia" w:eastAsiaTheme="minorEastAsia" w:cstheme="minorEastAsia"/>
          <w:b/>
          <w:bCs/>
          <w:kern w:val="0"/>
          <w:sz w:val="24"/>
          <w:szCs w:val="24"/>
          <w:highlight w:val="none"/>
          <w:lang w:val="en-US" w:eastAsia="zh-CN"/>
        </w:rPr>
        <w:t>项目说明</w:t>
      </w:r>
    </w:p>
    <w:p w14:paraId="50B8A1D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bookmarkStart w:id="104" w:name="_Toc346306731"/>
      <w:bookmarkStart w:id="105" w:name="_Toc352332852"/>
      <w:bookmarkStart w:id="106" w:name="_Toc346372878"/>
      <w:r>
        <w:rPr>
          <w:rFonts w:hint="eastAsia" w:asciiTheme="minorEastAsia" w:hAnsiTheme="minorEastAsia" w:eastAsiaTheme="minorEastAsia" w:cstheme="minorEastAsia"/>
          <w:kern w:val="0"/>
          <w:sz w:val="24"/>
          <w:szCs w:val="24"/>
          <w:highlight w:val="none"/>
        </w:rPr>
        <w:t>1.1本项目</w:t>
      </w:r>
      <w:r>
        <w:rPr>
          <w:rFonts w:hint="eastAsia" w:asciiTheme="minorEastAsia" w:hAnsiTheme="minorEastAsia" w:eastAsiaTheme="minorEastAsia" w:cstheme="minorEastAsia"/>
          <w:kern w:val="0"/>
          <w:sz w:val="24"/>
          <w:szCs w:val="24"/>
          <w:highlight w:val="none"/>
          <w:lang w:val="en-US" w:eastAsia="zh-CN"/>
        </w:rPr>
        <w:t>采购人</w:t>
      </w:r>
      <w:r>
        <w:rPr>
          <w:rFonts w:hint="eastAsia" w:asciiTheme="minorEastAsia" w:hAnsiTheme="minorEastAsia" w:eastAsiaTheme="minorEastAsia" w:cstheme="minorEastAsia"/>
          <w:kern w:val="0"/>
          <w:sz w:val="24"/>
          <w:szCs w:val="24"/>
          <w:highlight w:val="none"/>
        </w:rPr>
        <w:t>：见</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须知前附表。</w:t>
      </w:r>
    </w:p>
    <w:p w14:paraId="6155F68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1.2本项目</w:t>
      </w:r>
      <w:r>
        <w:rPr>
          <w:rFonts w:hint="eastAsia" w:asciiTheme="minorEastAsia" w:hAnsiTheme="minorEastAsia" w:eastAsiaTheme="minorEastAsia" w:cstheme="minorEastAsia"/>
          <w:kern w:val="0"/>
          <w:sz w:val="24"/>
          <w:szCs w:val="24"/>
          <w:highlight w:val="none"/>
          <w:lang w:val="en-US" w:eastAsia="zh-CN"/>
        </w:rPr>
        <w:t>采购代理机构</w:t>
      </w:r>
      <w:r>
        <w:rPr>
          <w:rFonts w:hint="eastAsia" w:asciiTheme="minorEastAsia" w:hAnsiTheme="minorEastAsia" w:eastAsiaTheme="minorEastAsia" w:cstheme="minorEastAsia"/>
          <w:kern w:val="0"/>
          <w:sz w:val="24"/>
          <w:szCs w:val="24"/>
          <w:highlight w:val="none"/>
        </w:rPr>
        <w:t>：见</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须知前附表。</w:t>
      </w:r>
    </w:p>
    <w:p w14:paraId="2D0C6AF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1.3本项目名称及编号：见</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须知前附表。</w:t>
      </w:r>
    </w:p>
    <w:p w14:paraId="046A569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1.4本项目</w:t>
      </w:r>
      <w:r>
        <w:rPr>
          <w:rFonts w:hint="eastAsia" w:asciiTheme="minorEastAsia" w:hAnsiTheme="minorEastAsia" w:eastAsiaTheme="minorEastAsia" w:cstheme="minorEastAsia"/>
          <w:kern w:val="0"/>
          <w:sz w:val="24"/>
          <w:szCs w:val="24"/>
          <w:highlight w:val="none"/>
          <w:lang w:eastAsia="zh-CN"/>
        </w:rPr>
        <w:t>供货安装地点</w:t>
      </w:r>
      <w:r>
        <w:rPr>
          <w:rFonts w:hint="eastAsia" w:asciiTheme="minorEastAsia" w:hAnsiTheme="minorEastAsia" w:eastAsiaTheme="minorEastAsia" w:cstheme="minorEastAsia"/>
          <w:kern w:val="0"/>
          <w:sz w:val="24"/>
          <w:szCs w:val="24"/>
          <w:highlight w:val="none"/>
        </w:rPr>
        <w:t>：见</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须知前附表。</w:t>
      </w:r>
    </w:p>
    <w:p w14:paraId="2405BFF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本项目的</w:t>
      </w:r>
      <w:r>
        <w:rPr>
          <w:rFonts w:hint="eastAsia" w:asciiTheme="minorEastAsia" w:hAnsiTheme="minorEastAsia" w:eastAsiaTheme="minorEastAsia" w:cstheme="minorEastAsia"/>
          <w:kern w:val="0"/>
          <w:sz w:val="24"/>
          <w:szCs w:val="24"/>
          <w:highlight w:val="none"/>
          <w:lang w:val="en-US" w:eastAsia="zh-CN"/>
        </w:rPr>
        <w:t>供货安装期</w:t>
      </w:r>
      <w:r>
        <w:rPr>
          <w:rFonts w:hint="eastAsia" w:asciiTheme="minorEastAsia" w:hAnsiTheme="minorEastAsia" w:eastAsiaTheme="minorEastAsia" w:cstheme="minorEastAsia"/>
          <w:kern w:val="0"/>
          <w:sz w:val="24"/>
          <w:szCs w:val="24"/>
          <w:highlight w:val="none"/>
        </w:rPr>
        <w:t>：见</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须知前附表。</w:t>
      </w:r>
    </w:p>
    <w:p w14:paraId="04E2735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本项目的质量要求：见</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须知前附表。</w:t>
      </w:r>
    </w:p>
    <w:p w14:paraId="686C146B">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2.项目</w:t>
      </w:r>
      <w:r>
        <w:rPr>
          <w:rFonts w:hint="eastAsia" w:asciiTheme="minorEastAsia" w:hAnsiTheme="minorEastAsia" w:eastAsiaTheme="minorEastAsia" w:cstheme="minorEastAsia"/>
          <w:b/>
          <w:bCs/>
          <w:kern w:val="0"/>
          <w:sz w:val="24"/>
          <w:szCs w:val="24"/>
          <w:highlight w:val="none"/>
          <w:lang w:eastAsia="zh-CN"/>
        </w:rPr>
        <w:t>资金</w:t>
      </w:r>
      <w:r>
        <w:rPr>
          <w:rFonts w:hint="eastAsia" w:asciiTheme="minorEastAsia" w:hAnsiTheme="minorEastAsia" w:eastAsiaTheme="minorEastAsia" w:cstheme="minorEastAsia"/>
          <w:b/>
          <w:bCs/>
          <w:kern w:val="0"/>
          <w:sz w:val="24"/>
          <w:szCs w:val="24"/>
          <w:highlight w:val="none"/>
        </w:rPr>
        <w:t>及</w:t>
      </w:r>
      <w:r>
        <w:rPr>
          <w:rFonts w:hint="eastAsia" w:asciiTheme="minorEastAsia" w:hAnsiTheme="minorEastAsia" w:eastAsiaTheme="minorEastAsia" w:cstheme="minorEastAsia"/>
          <w:b/>
          <w:bCs/>
          <w:kern w:val="0"/>
          <w:sz w:val="24"/>
          <w:szCs w:val="24"/>
          <w:highlight w:val="none"/>
          <w:lang w:eastAsia="zh-CN"/>
        </w:rPr>
        <w:t>采购</w:t>
      </w:r>
      <w:r>
        <w:rPr>
          <w:rFonts w:hint="eastAsia" w:asciiTheme="minorEastAsia" w:hAnsiTheme="minorEastAsia" w:eastAsiaTheme="minorEastAsia" w:cstheme="minorEastAsia"/>
          <w:b/>
          <w:bCs/>
          <w:kern w:val="0"/>
          <w:sz w:val="24"/>
          <w:szCs w:val="24"/>
          <w:highlight w:val="none"/>
        </w:rPr>
        <w:t>限价</w:t>
      </w:r>
    </w:p>
    <w:p w14:paraId="7AA736A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2.1本项目的资金来源</w:t>
      </w:r>
      <w:r>
        <w:rPr>
          <w:rFonts w:hint="eastAsia" w:asciiTheme="minorEastAsia" w:hAnsiTheme="minorEastAsia" w:eastAsiaTheme="minorEastAsia" w:cstheme="minorEastAsia"/>
          <w:kern w:val="0"/>
          <w:sz w:val="24"/>
          <w:szCs w:val="24"/>
          <w:highlight w:val="none"/>
          <w:lang w:val="en-US" w:eastAsia="zh-CN"/>
        </w:rPr>
        <w:t>及</w:t>
      </w:r>
      <w:r>
        <w:rPr>
          <w:rFonts w:hint="eastAsia" w:asciiTheme="minorEastAsia" w:hAnsiTheme="minorEastAsia" w:eastAsiaTheme="minorEastAsia" w:cstheme="minorEastAsia"/>
          <w:kern w:val="0"/>
          <w:sz w:val="24"/>
          <w:szCs w:val="24"/>
          <w:highlight w:val="none"/>
        </w:rPr>
        <w:t>落实情况：见</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须知前附表。</w:t>
      </w:r>
    </w:p>
    <w:p w14:paraId="15B9591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2.2本项目</w:t>
      </w:r>
      <w:r>
        <w:rPr>
          <w:rFonts w:hint="eastAsia" w:asciiTheme="minorEastAsia" w:hAnsiTheme="minorEastAsia" w:eastAsiaTheme="minorEastAsia" w:cstheme="minorEastAsia"/>
          <w:kern w:val="0"/>
          <w:sz w:val="24"/>
          <w:szCs w:val="24"/>
          <w:highlight w:val="none"/>
          <w:lang w:eastAsia="zh-CN"/>
        </w:rPr>
        <w:t>采购限价：</w:t>
      </w:r>
      <w:r>
        <w:rPr>
          <w:rFonts w:hint="eastAsia" w:asciiTheme="minorEastAsia" w:hAnsiTheme="minorEastAsia" w:eastAsiaTheme="minorEastAsia" w:cstheme="minorEastAsia"/>
          <w:kern w:val="0"/>
          <w:sz w:val="24"/>
          <w:szCs w:val="24"/>
          <w:highlight w:val="none"/>
        </w:rPr>
        <w:t>见</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须知前附表。</w:t>
      </w:r>
    </w:p>
    <w:bookmarkEnd w:id="104"/>
    <w:bookmarkEnd w:id="105"/>
    <w:bookmarkEnd w:id="106"/>
    <w:p w14:paraId="52003864">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bookmarkStart w:id="107" w:name="_Toc346306732"/>
      <w:bookmarkStart w:id="108" w:name="_Toc352332853"/>
      <w:bookmarkStart w:id="109" w:name="_Toc346372879"/>
      <w:r>
        <w:rPr>
          <w:rFonts w:hint="eastAsia" w:asciiTheme="minorEastAsia" w:hAnsiTheme="minorEastAsia" w:eastAsiaTheme="minorEastAsia" w:cstheme="minorEastAsia"/>
          <w:b/>
          <w:bCs/>
          <w:kern w:val="0"/>
          <w:sz w:val="24"/>
          <w:szCs w:val="24"/>
          <w:highlight w:val="none"/>
        </w:rPr>
        <w:t>3.</w:t>
      </w:r>
      <w:bookmarkEnd w:id="107"/>
      <w:bookmarkEnd w:id="108"/>
      <w:bookmarkEnd w:id="109"/>
      <w:r>
        <w:rPr>
          <w:rFonts w:hint="eastAsia" w:asciiTheme="minorEastAsia" w:hAnsiTheme="minorEastAsia" w:eastAsiaTheme="minorEastAsia" w:cstheme="minorEastAsia"/>
          <w:b/>
          <w:bCs/>
          <w:kern w:val="0"/>
          <w:sz w:val="24"/>
          <w:szCs w:val="24"/>
          <w:highlight w:val="none"/>
          <w:lang w:eastAsia="zh-CN"/>
        </w:rPr>
        <w:t>供应商资格要求</w:t>
      </w:r>
    </w:p>
    <w:p w14:paraId="4E5F9914">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3.1</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应当符合</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须知前附表中规定的资格条件要求。</w:t>
      </w:r>
    </w:p>
    <w:p w14:paraId="44AFA21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3.2</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存在下列情形之一的不得参加投标：</w:t>
      </w:r>
    </w:p>
    <w:p w14:paraId="1BBA9EF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3.2.1单位负责人为同一人或者存在直接控股、管理关系的不同</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，不得参加同一合同项下的政府采购活动。</w:t>
      </w:r>
    </w:p>
    <w:p w14:paraId="3D7D8D4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14:paraId="34E2D9B4">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bookmarkStart w:id="110" w:name="_Toc346372880"/>
      <w:bookmarkStart w:id="111" w:name="_Toc346306733"/>
      <w:bookmarkStart w:id="112" w:name="_Toc352332854"/>
      <w:r>
        <w:rPr>
          <w:rFonts w:hint="eastAsia" w:asciiTheme="minorEastAsia" w:hAnsiTheme="minorEastAsia" w:eastAsiaTheme="minorEastAsia" w:cstheme="minorEastAsia"/>
          <w:b/>
          <w:bCs/>
          <w:kern w:val="0"/>
          <w:sz w:val="24"/>
          <w:szCs w:val="24"/>
          <w:highlight w:val="none"/>
          <w:lang w:val="en-US" w:eastAsia="zh-CN"/>
        </w:rPr>
        <w:t>4.投标费用</w:t>
      </w:r>
      <w:bookmarkEnd w:id="110"/>
      <w:bookmarkEnd w:id="111"/>
      <w:bookmarkEnd w:id="112"/>
    </w:p>
    <w:p w14:paraId="0B8512B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4.1无论投标过程和结果如何，供应商自行承担所有与参加投标有关的费用。</w:t>
      </w:r>
      <w:bookmarkStart w:id="113" w:name="_Toc13581203"/>
      <w:bookmarkStart w:id="114" w:name="_Toc9845228"/>
      <w:bookmarkStart w:id="115" w:name="_Toc12613431"/>
      <w:bookmarkStart w:id="116" w:name="_Toc15382"/>
      <w:bookmarkStart w:id="117" w:name="_Toc6916063"/>
      <w:bookmarkStart w:id="118" w:name="_Toc12613395"/>
    </w:p>
    <w:p w14:paraId="6F8F67E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bookmarkStart w:id="119" w:name="_Toc7467"/>
      <w:bookmarkStart w:id="120" w:name="_Toc16340"/>
      <w:bookmarkStart w:id="121" w:name="_Toc19543"/>
      <w:r>
        <w:rPr>
          <w:rFonts w:hint="eastAsia" w:asciiTheme="minorEastAsia" w:hAnsiTheme="minorEastAsia" w:eastAsiaTheme="minorEastAsia" w:cstheme="minorEastAsia"/>
          <w:kern w:val="0"/>
          <w:sz w:val="24"/>
          <w:szCs w:val="24"/>
          <w:highlight w:val="none"/>
          <w:lang w:eastAsia="zh-CN"/>
        </w:rPr>
        <w:t>4.</w:t>
      </w:r>
      <w:r>
        <w:rPr>
          <w:rFonts w:hint="eastAsia" w:asciiTheme="minorEastAsia" w:hAnsiTheme="minorEastAsia" w:eastAsiaTheme="minorEastAsia" w:cstheme="minorEastAsia"/>
          <w:kern w:val="0"/>
          <w:sz w:val="24"/>
          <w:szCs w:val="24"/>
          <w:highlight w:val="none"/>
          <w:lang w:val="en-US" w:eastAsia="zh-CN"/>
        </w:rPr>
        <w:t>2本项目</w:t>
      </w:r>
      <w:r>
        <w:rPr>
          <w:rFonts w:hint="eastAsia" w:asciiTheme="minorEastAsia" w:hAnsiTheme="minorEastAsia" w:eastAsiaTheme="minorEastAsia" w:cstheme="minorEastAsia"/>
          <w:kern w:val="0"/>
          <w:sz w:val="24"/>
          <w:szCs w:val="24"/>
          <w:highlight w:val="none"/>
          <w:lang w:eastAsia="zh-CN"/>
        </w:rPr>
        <w:t>采购代理服务费参照原国家发展计划委员会计价格[2002]1980号文收取，由成交供应商在领取成交通知书之前递交至采购代理机构。</w:t>
      </w:r>
    </w:p>
    <w:p w14:paraId="2ED2C84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4.3</w:t>
      </w:r>
      <w:r>
        <w:rPr>
          <w:rFonts w:hint="eastAsia" w:asciiTheme="minorEastAsia" w:hAnsiTheme="minorEastAsia" w:eastAsiaTheme="minorEastAsia" w:cstheme="minorEastAsia"/>
          <w:kern w:val="0"/>
          <w:sz w:val="24"/>
          <w:szCs w:val="24"/>
          <w:highlight w:val="none"/>
          <w:lang w:eastAsia="zh-CN"/>
        </w:rPr>
        <w:t>交易中心电子平台使用费：菏泽市公共资源（国有产权）电子平台交易使用费按照《菏泽市公共资源（国有产权）电子平台使用收费标准》收取，由成交供应商在领取成交通知书前一次性交纳至菏泽市公共资源（国有产权）交易中心</w:t>
      </w:r>
      <w:r>
        <w:rPr>
          <w:rFonts w:hint="eastAsia" w:asciiTheme="minorEastAsia" w:hAnsiTheme="minorEastAsia" w:eastAsiaTheme="minorEastAsia" w:cstheme="minorEastAsia"/>
          <w:kern w:val="0"/>
          <w:sz w:val="24"/>
          <w:szCs w:val="24"/>
          <w:highlight w:val="none"/>
          <w:lang w:val="en-US" w:eastAsia="zh-CN"/>
        </w:rPr>
        <w:t>。</w:t>
      </w:r>
    </w:p>
    <w:p w14:paraId="6637DBA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drawing>
          <wp:inline distT="0" distB="0" distL="114300" distR="114300">
            <wp:extent cx="3750310" cy="3652520"/>
            <wp:effectExtent l="0" t="0" r="2540" b="5080"/>
            <wp:docPr id="2" name="图片 1" descr="170286901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02869010200"/>
                    <pic:cNvPicPr>
                      <a:picLocks noChangeAspect="1"/>
                    </pic:cNvPicPr>
                  </pic:nvPicPr>
                  <pic:blipFill>
                    <a:blip r:embed="rId8"/>
                    <a:stretch>
                      <a:fillRect/>
                    </a:stretch>
                  </pic:blipFill>
                  <pic:spPr>
                    <a:xfrm>
                      <a:off x="0" y="0"/>
                      <a:ext cx="3750310" cy="3652520"/>
                    </a:xfrm>
                    <a:prstGeom prst="rect">
                      <a:avLst/>
                    </a:prstGeom>
                    <a:noFill/>
                    <a:ln>
                      <a:noFill/>
                    </a:ln>
                  </pic:spPr>
                </pic:pic>
              </a:graphicData>
            </a:graphic>
          </wp:inline>
        </w:drawing>
      </w:r>
    </w:p>
    <w:p w14:paraId="02A8DC7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电子交易系统服务费：按照赢标电子招投标平台交易系统收费通知规定收取</w:t>
      </w:r>
      <w:r>
        <w:rPr>
          <w:rFonts w:hint="eastAsia" w:asciiTheme="minorEastAsia" w:hAnsiTheme="minorEastAsia" w:eastAsiaTheme="minorEastAsia" w:cstheme="minorEastAsia"/>
          <w:kern w:val="0"/>
          <w:sz w:val="24"/>
          <w:szCs w:val="24"/>
          <w:highlight w:val="none"/>
          <w:lang w:eastAsia="zh-CN"/>
        </w:rPr>
        <w:t>。</w:t>
      </w:r>
    </w:p>
    <w:p w14:paraId="4A35C91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4.5供应商应在报价时考虑合理分摊以上费用。</w:t>
      </w:r>
    </w:p>
    <w:p w14:paraId="7C5219E6">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5.保密</w:t>
      </w:r>
    </w:p>
    <w:p w14:paraId="60AA95C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参与本次采购活动的各方应对竞争性磋商文件和响应文件中的商业和技术等秘密保密，违者应对由此造成的后果承担法律责任。</w:t>
      </w:r>
    </w:p>
    <w:p w14:paraId="1C9B339A">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6.语言文字</w:t>
      </w:r>
    </w:p>
    <w:p w14:paraId="4A8B4CD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除专用术语外，与采购活动有关的语言均使用简体中文。必要时专用术语应附有简体中文注释。</w:t>
      </w:r>
    </w:p>
    <w:p w14:paraId="414926CF">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7.计量单位</w:t>
      </w:r>
    </w:p>
    <w:p w14:paraId="19B183B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所有计量均采用中华人民共和国法定计量单位。</w:t>
      </w:r>
    </w:p>
    <w:p w14:paraId="7BCF61D8">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8.踏勘现场</w:t>
      </w:r>
    </w:p>
    <w:p w14:paraId="1AF9931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8.1供应商可自行踏勘项目现场，踏勘现场前，供应商应提前告知采购人，以便采购人提供踏勘条件。</w:t>
      </w:r>
    </w:p>
    <w:p w14:paraId="4C5A208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8.2供应商踏勘现场发生的费用自理。</w:t>
      </w:r>
    </w:p>
    <w:p w14:paraId="7072FEF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8.3供应商自行负责在踏勘现场中所发生的人员伤亡和财产损失。</w:t>
      </w:r>
    </w:p>
    <w:p w14:paraId="01461AB2">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9.投标预备会</w:t>
      </w:r>
    </w:p>
    <w:p w14:paraId="1E51B42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本项目不召开投标预备会。</w:t>
      </w:r>
    </w:p>
    <w:p w14:paraId="73227A58">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10.偏离</w:t>
      </w:r>
    </w:p>
    <w:p w14:paraId="42F4D40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10.1本项目不允许实质性偏离。</w:t>
      </w:r>
    </w:p>
    <w:p w14:paraId="0AE1275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10.2如若响应文件中出现以下情况即实质性偏离，则按无效报价予以否决：不响应竞争性磋商文件中的供货安装期、质保期和磋商有效期，或供货安装期、质保期低于本项目竞争性磋商文件有关规定的。</w:t>
      </w:r>
    </w:p>
    <w:bookmarkEnd w:id="113"/>
    <w:bookmarkEnd w:id="114"/>
    <w:bookmarkEnd w:id="115"/>
    <w:bookmarkEnd w:id="116"/>
    <w:bookmarkEnd w:id="117"/>
    <w:bookmarkEnd w:id="118"/>
    <w:bookmarkEnd w:id="119"/>
    <w:bookmarkEnd w:id="120"/>
    <w:bookmarkEnd w:id="121"/>
    <w:p w14:paraId="4E72940B">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center"/>
        <w:textAlignment w:val="auto"/>
        <w:outlineLvl w:val="3"/>
        <w:rPr>
          <w:rFonts w:hint="eastAsia" w:asciiTheme="minorEastAsia" w:hAnsiTheme="minorEastAsia" w:eastAsiaTheme="minorEastAsia" w:cstheme="minorEastAsia"/>
          <w:b/>
          <w:bCs/>
          <w:kern w:val="0"/>
          <w:sz w:val="24"/>
          <w:szCs w:val="24"/>
          <w:highlight w:val="none"/>
        </w:rPr>
      </w:pPr>
      <w:bookmarkStart w:id="122" w:name="_Toc26800"/>
      <w:bookmarkStart w:id="123" w:name="_Toc15320"/>
      <w:bookmarkStart w:id="124" w:name="_Toc12341"/>
      <w:r>
        <w:rPr>
          <w:rFonts w:hint="eastAsia" w:asciiTheme="minorEastAsia" w:hAnsiTheme="minorEastAsia" w:eastAsiaTheme="minorEastAsia" w:cstheme="minorEastAsia"/>
          <w:b/>
          <w:bCs/>
          <w:kern w:val="0"/>
          <w:sz w:val="24"/>
          <w:szCs w:val="24"/>
          <w:highlight w:val="none"/>
        </w:rPr>
        <w:t>二、</w:t>
      </w:r>
      <w:bookmarkEnd w:id="122"/>
      <w:bookmarkEnd w:id="123"/>
      <w:r>
        <w:rPr>
          <w:rFonts w:hint="eastAsia" w:asciiTheme="minorEastAsia" w:hAnsiTheme="minorEastAsia" w:eastAsiaTheme="minorEastAsia" w:cstheme="minorEastAsia"/>
          <w:b/>
          <w:bCs/>
          <w:kern w:val="0"/>
          <w:sz w:val="24"/>
          <w:szCs w:val="24"/>
          <w:highlight w:val="none"/>
          <w:lang w:eastAsia="zh-CN"/>
        </w:rPr>
        <w:t>竞争性磋商文件</w:t>
      </w:r>
      <w:bookmarkEnd w:id="124"/>
    </w:p>
    <w:p w14:paraId="7A8F8558">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rPr>
      </w:pPr>
      <w:bookmarkStart w:id="125" w:name="_Toc352332856"/>
      <w:bookmarkStart w:id="126" w:name="_Toc346372882"/>
      <w:bookmarkStart w:id="127" w:name="_Toc346306735"/>
      <w:r>
        <w:rPr>
          <w:rFonts w:hint="eastAsia" w:asciiTheme="minorEastAsia" w:hAnsiTheme="minorEastAsia" w:eastAsiaTheme="minorEastAsia" w:cstheme="minorEastAsia"/>
          <w:b/>
          <w:bCs/>
          <w:kern w:val="0"/>
          <w:sz w:val="24"/>
          <w:szCs w:val="24"/>
          <w:highlight w:val="none"/>
          <w:lang w:val="en-US" w:eastAsia="zh-CN"/>
        </w:rPr>
        <w:t>11</w:t>
      </w:r>
      <w:r>
        <w:rPr>
          <w:rFonts w:hint="eastAsia" w:asciiTheme="minorEastAsia" w:hAnsiTheme="minorEastAsia" w:eastAsiaTheme="minorEastAsia" w:cstheme="minorEastAsia"/>
          <w:b/>
          <w:bCs/>
          <w:kern w:val="0"/>
          <w:sz w:val="24"/>
          <w:szCs w:val="24"/>
          <w:highlight w:val="none"/>
        </w:rPr>
        <w:t>.</w:t>
      </w:r>
      <w:r>
        <w:rPr>
          <w:rFonts w:hint="eastAsia" w:asciiTheme="minorEastAsia" w:hAnsiTheme="minorEastAsia" w:eastAsiaTheme="minorEastAsia" w:cstheme="minorEastAsia"/>
          <w:b/>
          <w:bCs/>
          <w:kern w:val="0"/>
          <w:sz w:val="24"/>
          <w:szCs w:val="24"/>
          <w:highlight w:val="none"/>
          <w:lang w:eastAsia="zh-CN"/>
        </w:rPr>
        <w:t>竞争性磋商文件</w:t>
      </w:r>
      <w:r>
        <w:rPr>
          <w:rFonts w:hint="eastAsia" w:asciiTheme="minorEastAsia" w:hAnsiTheme="minorEastAsia" w:eastAsiaTheme="minorEastAsia" w:cstheme="minorEastAsia"/>
          <w:b/>
          <w:bCs/>
          <w:kern w:val="0"/>
          <w:sz w:val="24"/>
          <w:szCs w:val="24"/>
          <w:highlight w:val="none"/>
        </w:rPr>
        <w:t>组成</w:t>
      </w:r>
      <w:bookmarkEnd w:id="125"/>
      <w:bookmarkEnd w:id="126"/>
      <w:bookmarkEnd w:id="127"/>
    </w:p>
    <w:p w14:paraId="66E3662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11.1</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各章节的内容如下：</w:t>
      </w:r>
    </w:p>
    <w:p w14:paraId="160E321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第一章</w:t>
      </w:r>
      <w:r>
        <w:rPr>
          <w:rFonts w:hint="eastAsia" w:asciiTheme="minorEastAsia" w:hAnsiTheme="minorEastAsia" w:eastAsiaTheme="minorEastAsia" w:cstheme="minorEastAsia"/>
          <w:kern w:val="0"/>
          <w:sz w:val="24"/>
          <w:szCs w:val="24"/>
          <w:highlight w:val="none"/>
          <w:lang w:eastAsia="zh-CN"/>
        </w:rPr>
        <w:t>竞争性磋商公告</w:t>
      </w:r>
    </w:p>
    <w:p w14:paraId="2A90097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第二章</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w:t>
      </w:r>
    </w:p>
    <w:p w14:paraId="59CF900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第三章评</w:t>
      </w:r>
      <w:r>
        <w:rPr>
          <w:rFonts w:hint="eastAsia" w:asciiTheme="minorEastAsia" w:hAnsiTheme="minorEastAsia" w:eastAsiaTheme="minorEastAsia" w:cstheme="minorEastAsia"/>
          <w:kern w:val="0"/>
          <w:sz w:val="24"/>
          <w:szCs w:val="24"/>
          <w:highlight w:val="none"/>
          <w:lang w:eastAsia="zh-CN"/>
        </w:rPr>
        <w:t>分</w:t>
      </w:r>
      <w:r>
        <w:rPr>
          <w:rFonts w:hint="eastAsia" w:asciiTheme="minorEastAsia" w:hAnsiTheme="minorEastAsia" w:eastAsiaTheme="minorEastAsia" w:cstheme="minorEastAsia"/>
          <w:kern w:val="0"/>
          <w:sz w:val="24"/>
          <w:szCs w:val="24"/>
          <w:highlight w:val="none"/>
        </w:rPr>
        <w:t>方法</w:t>
      </w:r>
    </w:p>
    <w:p w14:paraId="37611B2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第四章</w:t>
      </w:r>
      <w:r>
        <w:rPr>
          <w:rFonts w:hint="eastAsia" w:asciiTheme="minorEastAsia" w:hAnsiTheme="minorEastAsia" w:eastAsiaTheme="minorEastAsia" w:cstheme="minorEastAsia"/>
          <w:kern w:val="0"/>
          <w:sz w:val="24"/>
          <w:szCs w:val="24"/>
          <w:highlight w:val="none"/>
          <w:lang w:eastAsia="zh-CN"/>
        </w:rPr>
        <w:t>采购内容及项目要求</w:t>
      </w:r>
    </w:p>
    <w:p w14:paraId="32346ED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第五章合同条款及格式</w:t>
      </w:r>
    </w:p>
    <w:p w14:paraId="36B07A3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第六章</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格式</w:t>
      </w:r>
    </w:p>
    <w:p w14:paraId="1D7DA1E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.2</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应仔细阅读</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的全部内容，按照</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要求编制</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。任何对</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的忽略或误解，不能作为</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存在缺陷或瑕疵的理由，其风险由</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承担。</w:t>
      </w:r>
    </w:p>
    <w:p w14:paraId="1B635C38">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bookmarkStart w:id="128" w:name="_Toc346306736"/>
      <w:bookmarkStart w:id="129" w:name="_Toc352332857"/>
      <w:bookmarkStart w:id="130" w:name="_Toc346372883"/>
      <w:r>
        <w:rPr>
          <w:rFonts w:hint="eastAsia" w:asciiTheme="minorEastAsia" w:hAnsiTheme="minorEastAsia" w:eastAsiaTheme="minorEastAsia" w:cstheme="minorEastAsia"/>
          <w:b/>
          <w:bCs/>
          <w:kern w:val="0"/>
          <w:sz w:val="24"/>
          <w:szCs w:val="24"/>
          <w:highlight w:val="none"/>
          <w:lang w:val="en-US" w:eastAsia="zh-CN"/>
        </w:rPr>
        <w:t>12</w:t>
      </w:r>
      <w:r>
        <w:rPr>
          <w:rFonts w:hint="eastAsia" w:asciiTheme="minorEastAsia" w:hAnsiTheme="minorEastAsia" w:eastAsiaTheme="minorEastAsia" w:cstheme="minorEastAsia"/>
          <w:b/>
          <w:bCs/>
          <w:kern w:val="0"/>
          <w:sz w:val="24"/>
          <w:szCs w:val="24"/>
          <w:highlight w:val="none"/>
        </w:rPr>
        <w:t>.</w:t>
      </w:r>
      <w:bookmarkEnd w:id="128"/>
      <w:bookmarkEnd w:id="129"/>
      <w:bookmarkEnd w:id="130"/>
      <w:r>
        <w:rPr>
          <w:rFonts w:hint="eastAsia" w:asciiTheme="minorEastAsia" w:hAnsiTheme="minorEastAsia" w:eastAsiaTheme="minorEastAsia" w:cstheme="minorEastAsia"/>
          <w:b/>
          <w:bCs/>
          <w:kern w:val="0"/>
          <w:sz w:val="24"/>
          <w:szCs w:val="24"/>
          <w:highlight w:val="none"/>
          <w:lang w:eastAsia="zh-CN"/>
        </w:rPr>
        <w:t>竞争性磋商文件</w:t>
      </w:r>
      <w:r>
        <w:rPr>
          <w:rFonts w:hint="eastAsia" w:asciiTheme="minorEastAsia" w:hAnsiTheme="minorEastAsia" w:eastAsiaTheme="minorEastAsia" w:cstheme="minorEastAsia"/>
          <w:b/>
          <w:bCs/>
          <w:kern w:val="0"/>
          <w:sz w:val="24"/>
          <w:szCs w:val="24"/>
          <w:highlight w:val="none"/>
          <w:lang w:val="en-US" w:eastAsia="zh-CN"/>
        </w:rPr>
        <w:t>的澄清和修改</w:t>
      </w:r>
    </w:p>
    <w:p w14:paraId="2AD0D1B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12.1任何已领取了竞争性磋商文件的供应商，均可要求对竞争性磋商文件进行澄清，澄清要求应在供应商须知前附表规定时间前以书面形式（加盖公章）通知采购代理机构，供应商在规定时间以后提出的澄清要求将不予受理。</w:t>
      </w:r>
    </w:p>
    <w:p w14:paraId="3436519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12.2采购代理机构对收到的澄清要求将在供应商须知前附表规定的时间前以书面形式予以答复，并发给所有参与项目的潜在供应商，答复中包括所提的问题，但不包括问题的来源。</w:t>
      </w:r>
    </w:p>
    <w:p w14:paraId="1A47F52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12.3在供应商须知前附表规定的时间内，采购代理机构无论出于何种原因，均可用补充文件的形式对竞争性磋商文件进行澄清和修改。该澄清和修改作为竞争性磋商文件的组成部分，对所有供应商具有约束力。澄清修改将向已登记备案并领取了竞争性磋商文件的所有供应商发出，供应商在收到该澄清文件后应于当日内，以书面形式给予确认，逾期不确认视为认同。</w:t>
      </w:r>
    </w:p>
    <w:p w14:paraId="2E2B197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12.4为使供应商有足够的时间按竞争性磋商文件的要求修改响应文件，采购代理机构可酌情推迟响应文件递交的截止与公开采购时间，并在提交响应文件截止时间前以书面形式通知各供应商，对所有供应商均具有约束力，供应商在收到该澄清文件后应于当日内，以书面形式给予确认，逾期不确认视为认同。在这种情况下，采购代理机构和供应商受报价截止期制约的所有权利和义务均相应延长至新的截止日期。</w:t>
      </w:r>
    </w:p>
    <w:p w14:paraId="2FFFF327">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13.质疑</w:t>
      </w:r>
    </w:p>
    <w:p w14:paraId="4EF2CA3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13.1供应商对采购活动事项有疑问的，可以向采购代理机构提出询问，采购代理机构将依法作出答复，但答复的内容不涉及商业秘密。</w:t>
      </w:r>
    </w:p>
    <w:p w14:paraId="537DFA9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13.2供应商认为竞争性磋商文件、采购过程和成交结果使自己的合法权益受到损害的，可以在知道或者应当知道其权益受到损害之日起7日内，以书面形式向采购代理机构提出质疑。</w:t>
      </w:r>
    </w:p>
    <w:p w14:paraId="7EB5691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13.3质疑人提起质疑应当符合下列条件：</w:t>
      </w:r>
    </w:p>
    <w:p w14:paraId="3581D10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13.4质疑人是参与本次采购项目的供应商；</w:t>
      </w:r>
    </w:p>
    <w:p w14:paraId="75F67EE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13.5质疑书的内容和形式符合本文件的规定，有效线索和相关证据齐全；</w:t>
      </w:r>
    </w:p>
    <w:p w14:paraId="239DFC5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13.6在质疑有效期限内提出质疑；</w:t>
      </w:r>
    </w:p>
    <w:p w14:paraId="24F1C74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13.7质疑书应以《质疑函》的形式提出，并包括以下主要内容：被质疑项目名称、项目编号、采购公告发布时间、质疑事项、法律依据（具体条款）、法定代表人签字、单位盖章、有效联系方式（包括手机、传真号码）。不符合上述要求的采购代理机构将不予受理。按照“谁主张、谁举证”的原则，质疑书应当附上相关证明材料，否则质疑将视为无有效证据支持，将被予以驳回，并不得以上述理由要求延长质疑有效期；</w:t>
      </w:r>
    </w:p>
    <w:p w14:paraId="200B9F1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13.8质疑书的递交应到采购代理机构提交原件，办理签收手续。复印件等采购机构可不予受理；</w:t>
      </w:r>
    </w:p>
    <w:p w14:paraId="52C22BD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13.9有下列情形之一的，属于无效质疑，采购代理机构可不予受理：</w:t>
      </w:r>
    </w:p>
    <w:p w14:paraId="060607B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（1）未在有效期限内提出质疑的；</w:t>
      </w:r>
    </w:p>
    <w:p w14:paraId="052E386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（2）质疑未以书面形式提出的；</w:t>
      </w:r>
    </w:p>
    <w:p w14:paraId="6AD46CD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（3）质疑书为传真或者复印件的；</w:t>
      </w:r>
    </w:p>
    <w:p w14:paraId="7F43834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（4）所提交材料没有以（质疑函）命名的；</w:t>
      </w:r>
    </w:p>
    <w:p w14:paraId="25DEBD7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（5）质疑书没有法定代表人签署本人姓名或印盖本人姓名章并加盖单位公章；质疑书由参加采购项目的授权代理人签署本人姓名的，没有法定代表人的特别授权；质疑书加盖非单位公章的；</w:t>
      </w:r>
    </w:p>
    <w:p w14:paraId="66D495F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（6）质疑书未提供有效联系人或联系方式；</w:t>
      </w:r>
    </w:p>
    <w:p w14:paraId="1CFE127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（7）质疑事项已经进入投诉或者诉讼程序的；</w:t>
      </w:r>
    </w:p>
    <w:p w14:paraId="36E1604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（8）其他不符合受理条件的情形。</w:t>
      </w:r>
    </w:p>
    <w:p w14:paraId="0F106BB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13.10质疑人有下列情形之一的，代理机构应驳回质疑：</w:t>
      </w:r>
    </w:p>
    <w:p w14:paraId="667D018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（1）质疑缺乏事实和法律依据的；</w:t>
      </w:r>
    </w:p>
    <w:p w14:paraId="4A7744A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（2）质疑人捏造事实、提供虚假材料或在一定期限内多次质疑而无实据的；</w:t>
      </w:r>
    </w:p>
    <w:p w14:paraId="29CFF63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（3）质疑已经处理并答复后，质疑人就同一事项又提起质疑且未提供新的有效证据的；</w:t>
      </w:r>
    </w:p>
    <w:p w14:paraId="56D00EA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（4）其他根据相关法律、法规应当予以驳回的情形。</w:t>
      </w:r>
    </w:p>
    <w:p w14:paraId="517B7C1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13.11供应商进行虚假和恶意质疑的，代理机构将提请有关部门将其列入不良记录名单，在一至三年内禁止参加采购活动，并将处理决定在相关媒体上公布；</w:t>
      </w:r>
    </w:p>
    <w:p w14:paraId="6EDFFBC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13.12质疑人对答疑不满意以及代理机构未在规定时间内作出答复的，可以在答复期满后15工作日内向采购监管部门投诉。</w:t>
      </w:r>
    </w:p>
    <w:p w14:paraId="4FBF25F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13.13供应商不得虚假质疑和恶意质疑，并对质疑内容的真实性承担责任。供应商或者其他利害关系人通过捏造事实、伪造证明材料等方式提出异议或投诉，阻碍采购活动正常进行的，属于严重不良行为，采购代理机构将提请监督部门列入不良行为记录名单，并依法予以处罚。</w:t>
      </w:r>
    </w:p>
    <w:p w14:paraId="14200E2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13.14采购代理机构在收到供应商的书面质疑后将及时组织调查核实，在7个工作日内作出答复，并以书面或在网站公告形式通知质疑供应商和其他有关供应商，答复的内容不涉及商业秘密。</w:t>
      </w:r>
    </w:p>
    <w:p w14:paraId="7C04E73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13.15质疑供应商对采购代理机构的答复不满意，或采购代理机构未在规定的时间内作出答复的，可以在答复期满后15个工作日内向相关监督部门投诉。</w:t>
      </w:r>
    </w:p>
    <w:p w14:paraId="28F11D5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13.16对于成交结果的质疑，以成交结果公布中规定的日期为准，超过期限不予受理。</w:t>
      </w:r>
    </w:p>
    <w:p w14:paraId="13D1995E">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14.保密和披露</w:t>
      </w:r>
    </w:p>
    <w:p w14:paraId="4027FB3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14.1供应商自领取竞争性磋商文件之日起，须承担本采购项目的保密义务，不得将因本次采购获得的信息向第三人外传。</w:t>
      </w:r>
    </w:p>
    <w:p w14:paraId="2ADE624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14.2采购代理机构有权将供应商提供的所有资料向其他部门或有关的非政府机构负责评审的人员或与评审有关的人员披露。</w:t>
      </w:r>
    </w:p>
    <w:p w14:paraId="2D7A6DC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14.3在下列情形下：当发布成交公告和其他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bookmarkStart w:id="131" w:name="_Toc12613396"/>
      <w:bookmarkStart w:id="132" w:name="_Toc32299"/>
      <w:bookmarkStart w:id="133" w:name="_Toc9845229"/>
      <w:bookmarkStart w:id="134" w:name="_Toc6916064"/>
      <w:bookmarkStart w:id="135" w:name="_Toc13581204"/>
      <w:bookmarkStart w:id="136" w:name="_Toc23138"/>
      <w:bookmarkStart w:id="137" w:name="_Toc12613432"/>
    </w:p>
    <w:p w14:paraId="6DEAB6A2">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center"/>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rPr>
        <w:t>三、</w:t>
      </w:r>
      <w:bookmarkEnd w:id="131"/>
      <w:bookmarkEnd w:id="132"/>
      <w:bookmarkEnd w:id="133"/>
      <w:bookmarkEnd w:id="134"/>
      <w:bookmarkEnd w:id="135"/>
      <w:bookmarkEnd w:id="136"/>
      <w:bookmarkEnd w:id="137"/>
      <w:bookmarkStart w:id="138" w:name="_Toc13217"/>
      <w:bookmarkStart w:id="139" w:name="_Toc352332860"/>
      <w:bookmarkStart w:id="140" w:name="_Toc5511"/>
      <w:bookmarkStart w:id="141" w:name="_Toc346306739"/>
      <w:bookmarkStart w:id="142" w:name="_Toc346372886"/>
      <w:bookmarkStart w:id="143" w:name="_Toc5907"/>
      <w:r>
        <w:rPr>
          <w:rFonts w:hint="eastAsia" w:asciiTheme="minorEastAsia" w:hAnsiTheme="minorEastAsia" w:eastAsiaTheme="minorEastAsia" w:cstheme="minorEastAsia"/>
          <w:b/>
          <w:bCs/>
          <w:kern w:val="0"/>
          <w:sz w:val="24"/>
          <w:szCs w:val="24"/>
          <w:highlight w:val="none"/>
          <w:lang w:eastAsia="zh-CN"/>
        </w:rPr>
        <w:t>响应文件</w:t>
      </w:r>
    </w:p>
    <w:p w14:paraId="6699D7CE">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15.</w:t>
      </w:r>
      <w:r>
        <w:rPr>
          <w:rFonts w:hint="eastAsia" w:asciiTheme="minorEastAsia" w:hAnsiTheme="minorEastAsia" w:eastAsiaTheme="minorEastAsia" w:cstheme="minorEastAsia"/>
          <w:b/>
          <w:bCs/>
          <w:kern w:val="0"/>
          <w:sz w:val="24"/>
          <w:szCs w:val="24"/>
          <w:highlight w:val="none"/>
          <w:lang w:eastAsia="zh-CN"/>
        </w:rPr>
        <w:t>响应文件</w:t>
      </w:r>
      <w:r>
        <w:rPr>
          <w:rFonts w:hint="eastAsia" w:asciiTheme="minorEastAsia" w:hAnsiTheme="minorEastAsia" w:eastAsiaTheme="minorEastAsia" w:cstheme="minorEastAsia"/>
          <w:b/>
          <w:bCs/>
          <w:kern w:val="0"/>
          <w:sz w:val="24"/>
          <w:szCs w:val="24"/>
          <w:highlight w:val="none"/>
        </w:rPr>
        <w:t>的组成</w:t>
      </w:r>
    </w:p>
    <w:p w14:paraId="38D5288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15.1详见竞争性磋商文件第六章响应文件格式。</w:t>
      </w:r>
    </w:p>
    <w:p w14:paraId="7B388D2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15.2在采购过程中，供应商根据磋商小组书面形式要求提供的澄清文件是响应文件的有效组成部分。</w:t>
      </w:r>
    </w:p>
    <w:p w14:paraId="46F3949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15.3供应商须对提交的资格证明真实性、有效性、完整性负责，资格证明的字迹、印章必须完整、清晰，否则其响应文件将会被拒绝。</w:t>
      </w:r>
    </w:p>
    <w:p w14:paraId="0ECB62E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15.4供应商必须对所提供知识产权方面的一切产权关系负全部责任，由此而引起的法律纠纷及费用，供应商须全部承担。</w:t>
      </w:r>
    </w:p>
    <w:p w14:paraId="24E250E4">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val="en-US" w:eastAsia="zh-CN"/>
        </w:rPr>
        <w:t>16.</w:t>
      </w:r>
      <w:r>
        <w:rPr>
          <w:rFonts w:hint="eastAsia" w:asciiTheme="minorEastAsia" w:hAnsiTheme="minorEastAsia" w:eastAsiaTheme="minorEastAsia" w:cstheme="minorEastAsia"/>
          <w:b/>
          <w:bCs/>
          <w:kern w:val="0"/>
          <w:sz w:val="24"/>
          <w:szCs w:val="24"/>
          <w:highlight w:val="none"/>
          <w:lang w:eastAsia="zh-CN"/>
        </w:rPr>
        <w:t>报价</w:t>
      </w:r>
    </w:p>
    <w:p w14:paraId="5F24E72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16.1供应商的报价应包含所投产品的生产购置、运输、安装、调试、相关配件、附件、材料、税费、运输费、装卸费、储存费、有关部门检验费、售后服务等，还包括完成本工程所需的人工费、施工费、运杂费、税费、合同明示或暗示的风险、责任和义务等，以及验收时为达到国家相关标准而发生的其他一切不可预见的全部费用。供应商应充分考虑本项目合同实施期间上述可能发生的一切费用，并承担由此而带来的风险。凡供应商在报价中未列明的项目，一律视为已包括在其报价中，在合同执行中将不予考虑，采购人不再支付任何费用。</w:t>
      </w:r>
    </w:p>
    <w:p w14:paraId="32ED417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16.2供应商应保证所使用和销售的产品不侵犯他人的专利权和知识产权，一旦发生侵权行为，供应商承担采购人及其他方的全部损失。</w:t>
      </w:r>
    </w:p>
    <w:p w14:paraId="6D3A0DD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16.3采购人不接受任何有选择性的或带有条件的报价。</w:t>
      </w:r>
    </w:p>
    <w:p w14:paraId="62CC971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16.4响应文件中的报价全部采用人民币表示，除非合同的专用条款另有规定。</w:t>
      </w:r>
    </w:p>
    <w:p w14:paraId="505247B4">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16.5供应商的报价明显低于其他合格供应商的报价的，有可能影响商品质量和不能诚信履约的，磋商小组有权要求其在规定的时间内提供书面文件予以解释说明，并提交相关证明材料；否则，磋商小组可以认定其投标为低于成本价的投标，按无效投标处理。</w:t>
      </w:r>
    </w:p>
    <w:p w14:paraId="6A6A6B1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16.6本项目所有货物在交货时应接受采购人的监督，质量应经采购人认可后方可供货；所有的货物或材料（包括所有的配件）的供货、检验、验收等必须按照国家供货相关规范及技术要求完成，并达到采购人满意。</w:t>
      </w:r>
    </w:p>
    <w:p w14:paraId="5503543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16.7供应商在履行合同期间需加强运营团队的安全管理及培训，若在合同期间发生的一切安全事故，由供应商自行承担。</w:t>
      </w:r>
    </w:p>
    <w:p w14:paraId="0B8AAAE3">
      <w:pPr>
        <w:pStyle w:val="30"/>
        <w:pageBreakBefore w:val="0"/>
        <w:kinsoku/>
        <w:wordWrap/>
        <w:overflowPunct/>
        <w:topLinePunct w:val="0"/>
        <w:bidi w:val="0"/>
        <w:spacing w:after="146" w:afterLines="50" w:line="360" w:lineRule="auto"/>
        <w:ind w:left="0" w:leftChars="0" w:right="105" w:rightChars="50" w:firstLine="480" w:firstLineChars="200"/>
        <w:jc w:val="left"/>
        <w:textAlignment w:val="auto"/>
        <w:outlineLvl w:val="2"/>
        <w:rPr>
          <w:rFonts w:hint="eastAsia" w:ascii="宋体" w:hAnsi="宋体" w:eastAsia="宋体" w:cs="宋体"/>
          <w:sz w:val="24"/>
          <w:szCs w:val="24"/>
        </w:rPr>
      </w:pPr>
      <w:r>
        <w:rPr>
          <w:rFonts w:hint="eastAsia" w:asciiTheme="minorEastAsia" w:hAnsiTheme="minorEastAsia" w:eastAsiaTheme="minorEastAsia" w:cstheme="minorEastAsia"/>
          <w:kern w:val="0"/>
          <w:sz w:val="24"/>
          <w:szCs w:val="24"/>
          <w:highlight w:val="none"/>
          <w:lang w:val="en-US" w:eastAsia="zh-CN"/>
        </w:rPr>
        <w:t>16.8</w:t>
      </w:r>
      <w:r>
        <w:rPr>
          <w:rFonts w:hint="eastAsia" w:ascii="宋体" w:hAnsi="宋体" w:eastAsia="宋体" w:cs="宋体"/>
          <w:sz w:val="24"/>
          <w:szCs w:val="24"/>
          <w:lang w:eastAsia="zh-CN"/>
        </w:rPr>
        <w:t>响应文件</w:t>
      </w:r>
      <w:r>
        <w:rPr>
          <w:rFonts w:hint="eastAsia" w:ascii="宋体" w:hAnsi="宋体" w:eastAsia="宋体" w:cs="宋体"/>
          <w:sz w:val="24"/>
          <w:szCs w:val="24"/>
        </w:rPr>
        <w:t>报价出现前后不一致的，按照下列规定修正：</w:t>
      </w:r>
    </w:p>
    <w:p w14:paraId="1851593E">
      <w:pPr>
        <w:pStyle w:val="30"/>
        <w:pageBreakBefore w:val="0"/>
        <w:kinsoku/>
        <w:wordWrap/>
        <w:overflowPunct/>
        <w:topLinePunct w:val="0"/>
        <w:bidi w:val="0"/>
        <w:spacing w:after="146" w:afterLines="50" w:line="360" w:lineRule="auto"/>
        <w:ind w:left="0" w:leftChars="0" w:right="105" w:rightChars="50" w:firstLine="480" w:firstLineChars="200"/>
        <w:jc w:val="left"/>
        <w:textAlignment w:val="auto"/>
        <w:rPr>
          <w:rFonts w:hint="eastAsia" w:ascii="宋体" w:hAnsi="宋体" w:cs="宋体"/>
          <w:b w:val="0"/>
          <w:bCs/>
          <w:sz w:val="24"/>
          <w:szCs w:val="24"/>
          <w:u w:val="none"/>
          <w:lang w:eastAsia="zh-CN"/>
        </w:rPr>
      </w:pPr>
      <w:r>
        <w:rPr>
          <w:rFonts w:hint="eastAsia" w:ascii="宋体" w:hAnsi="宋体" w:cs="宋体"/>
          <w:b w:val="0"/>
          <w:bCs/>
          <w:sz w:val="24"/>
          <w:szCs w:val="24"/>
          <w:u w:val="none"/>
          <w:lang w:eastAsia="zh-CN"/>
        </w:rPr>
        <w:t>（一）响应文件中开标一览表（报价表）内容与响应文件中相应内容不一致的，以开标一览表（报价表）为准；</w:t>
      </w:r>
    </w:p>
    <w:p w14:paraId="69C6300C">
      <w:pPr>
        <w:pStyle w:val="30"/>
        <w:pageBreakBefore w:val="0"/>
        <w:kinsoku/>
        <w:wordWrap/>
        <w:overflowPunct/>
        <w:topLinePunct w:val="0"/>
        <w:bidi w:val="0"/>
        <w:spacing w:after="146" w:afterLines="50" w:line="360" w:lineRule="auto"/>
        <w:ind w:left="0" w:leftChars="0" w:right="105" w:rightChars="50" w:firstLine="480" w:firstLineChars="200"/>
        <w:jc w:val="left"/>
        <w:textAlignment w:val="auto"/>
        <w:rPr>
          <w:rFonts w:hint="eastAsia" w:ascii="宋体" w:hAnsi="宋体" w:cs="宋体"/>
          <w:b w:val="0"/>
          <w:bCs/>
          <w:sz w:val="24"/>
          <w:szCs w:val="24"/>
          <w:u w:val="none"/>
          <w:lang w:eastAsia="zh-CN"/>
        </w:rPr>
      </w:pPr>
      <w:r>
        <w:rPr>
          <w:rFonts w:hint="eastAsia" w:ascii="宋体" w:hAnsi="宋体" w:cs="宋体"/>
          <w:b w:val="0"/>
          <w:bCs/>
          <w:sz w:val="24"/>
          <w:szCs w:val="24"/>
          <w:u w:val="none"/>
          <w:lang w:eastAsia="zh-CN"/>
        </w:rPr>
        <w:t>（二）大写金额和小写金额不一致的，以大写金额为准；</w:t>
      </w:r>
    </w:p>
    <w:p w14:paraId="59B850CC">
      <w:pPr>
        <w:pStyle w:val="30"/>
        <w:pageBreakBefore w:val="0"/>
        <w:kinsoku/>
        <w:wordWrap/>
        <w:overflowPunct/>
        <w:topLinePunct w:val="0"/>
        <w:bidi w:val="0"/>
        <w:spacing w:after="146" w:afterLines="50" w:line="360" w:lineRule="auto"/>
        <w:ind w:left="0" w:leftChars="0" w:right="105" w:rightChars="50" w:firstLine="480" w:firstLineChars="200"/>
        <w:jc w:val="left"/>
        <w:textAlignment w:val="auto"/>
        <w:rPr>
          <w:rFonts w:hint="eastAsia" w:ascii="宋体" w:hAnsi="宋体" w:cs="宋体"/>
          <w:b w:val="0"/>
          <w:bCs/>
          <w:sz w:val="24"/>
          <w:szCs w:val="24"/>
          <w:u w:val="none"/>
          <w:lang w:eastAsia="zh-CN"/>
        </w:rPr>
      </w:pPr>
      <w:r>
        <w:rPr>
          <w:rFonts w:hint="eastAsia" w:ascii="宋体" w:hAnsi="宋体" w:cs="宋体"/>
          <w:b w:val="0"/>
          <w:bCs/>
          <w:sz w:val="24"/>
          <w:szCs w:val="24"/>
          <w:u w:val="none"/>
          <w:lang w:eastAsia="zh-CN"/>
        </w:rPr>
        <w:t>（三）单价金额小数点或者百分比有明显错位的，以开标一览表的总价为准，并修改单价；</w:t>
      </w:r>
    </w:p>
    <w:p w14:paraId="5B92319E">
      <w:pPr>
        <w:pStyle w:val="30"/>
        <w:pageBreakBefore w:val="0"/>
        <w:kinsoku/>
        <w:wordWrap/>
        <w:overflowPunct/>
        <w:topLinePunct w:val="0"/>
        <w:bidi w:val="0"/>
        <w:spacing w:after="146" w:afterLines="50" w:line="360" w:lineRule="auto"/>
        <w:ind w:left="0" w:leftChars="0" w:right="105" w:rightChars="50" w:firstLine="480" w:firstLineChars="200"/>
        <w:jc w:val="left"/>
        <w:textAlignment w:val="auto"/>
        <w:rPr>
          <w:rFonts w:hint="eastAsia" w:ascii="宋体" w:hAnsi="宋体" w:cs="宋体"/>
          <w:b w:val="0"/>
          <w:bCs/>
          <w:sz w:val="24"/>
          <w:szCs w:val="24"/>
          <w:u w:val="none"/>
          <w:lang w:eastAsia="zh-CN"/>
        </w:rPr>
      </w:pPr>
      <w:r>
        <w:rPr>
          <w:rFonts w:hint="eastAsia" w:ascii="宋体" w:hAnsi="宋体" w:cs="宋体"/>
          <w:b w:val="0"/>
          <w:bCs/>
          <w:sz w:val="24"/>
          <w:szCs w:val="24"/>
          <w:u w:val="none"/>
          <w:lang w:eastAsia="zh-CN"/>
        </w:rPr>
        <w:t>（四）总价金额与按单价汇总金额不一致的，以单价金额计算结果为准。</w:t>
      </w:r>
    </w:p>
    <w:p w14:paraId="513CCDF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val="en-US" w:eastAsia="zh-CN"/>
        </w:rPr>
      </w:pPr>
      <w:r>
        <w:rPr>
          <w:rFonts w:hint="eastAsia" w:ascii="宋体" w:hAnsi="宋体" w:cs="宋体"/>
          <w:b w:val="0"/>
          <w:bCs/>
          <w:sz w:val="24"/>
          <w:szCs w:val="24"/>
          <w:u w:val="none"/>
          <w:lang w:eastAsia="zh-CN"/>
        </w:rPr>
        <w:t>同时出现两种以上不一致的，按照前款规定的顺序修正。修正后的报价</w:t>
      </w:r>
      <w:r>
        <w:rPr>
          <w:rFonts w:hint="eastAsia" w:ascii="宋体" w:hAnsi="宋体" w:eastAsia="宋体" w:cs="宋体"/>
          <w:sz w:val="24"/>
          <w:szCs w:val="24"/>
        </w:rPr>
        <w:t>采用书面形式由</w:t>
      </w:r>
      <w:r>
        <w:rPr>
          <w:rFonts w:hint="eastAsia" w:ascii="宋体" w:hAnsi="宋体" w:eastAsia="宋体" w:cs="宋体"/>
          <w:sz w:val="24"/>
          <w:szCs w:val="24"/>
          <w:lang w:eastAsia="zh-CN"/>
        </w:rPr>
        <w:t>供应商</w:t>
      </w:r>
      <w:r>
        <w:rPr>
          <w:rFonts w:hint="eastAsia" w:ascii="宋体" w:hAnsi="宋体" w:eastAsia="宋体" w:cs="宋体"/>
          <w:sz w:val="24"/>
          <w:szCs w:val="24"/>
        </w:rPr>
        <w:t>加盖公章或者由法定代表人或其授权的代表签字确认后产生约束力</w:t>
      </w:r>
      <w:r>
        <w:rPr>
          <w:rFonts w:hint="eastAsia" w:ascii="宋体" w:hAnsi="宋体" w:cs="宋体"/>
          <w:b w:val="0"/>
          <w:bCs/>
          <w:sz w:val="24"/>
          <w:szCs w:val="24"/>
          <w:u w:val="none"/>
          <w:lang w:eastAsia="zh-CN"/>
        </w:rPr>
        <w:t>，供应商不确认的，其投标无效。</w:t>
      </w:r>
    </w:p>
    <w:p w14:paraId="27A5F437">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val="en-US" w:eastAsia="zh-CN"/>
        </w:rPr>
        <w:t>17.</w:t>
      </w:r>
      <w:r>
        <w:rPr>
          <w:rFonts w:hint="eastAsia" w:asciiTheme="minorEastAsia" w:hAnsiTheme="minorEastAsia" w:eastAsiaTheme="minorEastAsia" w:cstheme="minorEastAsia"/>
          <w:b/>
          <w:bCs/>
          <w:kern w:val="0"/>
          <w:sz w:val="24"/>
          <w:szCs w:val="24"/>
          <w:highlight w:val="none"/>
          <w:lang w:eastAsia="zh-CN"/>
        </w:rPr>
        <w:t>磋商有效期</w:t>
      </w:r>
    </w:p>
    <w:p w14:paraId="1467249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17.1磋商有效期见供应商须知前附表，在此期间响应文件对供应商具有法律约束力，以保证采购人有足够的时间完成评标、定标以及签订合同。磋商有效期从供应商须知前附表规定的投标截止之日起计算。磋商有效期不足的，在评标时将其视为无效投标。在投标截止日期与竞争性磋商文件中规定的有效终止日之间的时间内，供应商不能撤回响应文件，否则其投标无效。</w:t>
      </w:r>
    </w:p>
    <w:p w14:paraId="3C95894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17.2特殊情况需延长磋商有效期的，采购人或采购代理机构可于磋商有效期届满之前，要求供应商同意延长有效期，采购人或采购代理机构的要求与供应商的答复均应为书面形式。供应商拒绝延长的，其投标在原磋商有效期届满后将不再有效；供应商同意延长的，应相应延长其磋商有效期，但不允许修改或撤回响应文件。</w:t>
      </w:r>
    </w:p>
    <w:p w14:paraId="64BBF682">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18.</w:t>
      </w:r>
      <w:r>
        <w:rPr>
          <w:rFonts w:hint="eastAsia" w:asciiTheme="minorEastAsia" w:hAnsiTheme="minorEastAsia" w:eastAsiaTheme="minorEastAsia" w:cstheme="minorEastAsia"/>
          <w:b/>
          <w:bCs/>
          <w:kern w:val="0"/>
          <w:sz w:val="24"/>
          <w:szCs w:val="24"/>
          <w:highlight w:val="none"/>
          <w:lang w:eastAsia="zh-CN"/>
        </w:rPr>
        <w:t>响应文件</w:t>
      </w:r>
      <w:r>
        <w:rPr>
          <w:rFonts w:hint="eastAsia" w:asciiTheme="minorEastAsia" w:hAnsiTheme="minorEastAsia" w:eastAsiaTheme="minorEastAsia" w:cstheme="minorEastAsia"/>
          <w:b/>
          <w:bCs/>
          <w:kern w:val="0"/>
          <w:sz w:val="24"/>
          <w:szCs w:val="24"/>
          <w:highlight w:val="none"/>
        </w:rPr>
        <w:t>的编制</w:t>
      </w:r>
    </w:p>
    <w:p w14:paraId="6EB01FC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18.1</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应按本</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第六章“</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格式”规定的格式、内容等编制</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，如有必要，可以增加附页，作为</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的组成部分。</w:t>
      </w:r>
    </w:p>
    <w:p w14:paraId="49804CD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18.2</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应按照</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提供的格式要求进行签字盖章。</w:t>
      </w:r>
    </w:p>
    <w:p w14:paraId="4680349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18.3</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应当对</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有关</w:t>
      </w:r>
      <w:r>
        <w:rPr>
          <w:rFonts w:hint="eastAsia" w:asciiTheme="minorEastAsia" w:hAnsiTheme="minorEastAsia" w:eastAsiaTheme="minorEastAsia" w:cstheme="minorEastAsia"/>
          <w:kern w:val="0"/>
          <w:sz w:val="24"/>
          <w:szCs w:val="24"/>
          <w:highlight w:val="none"/>
          <w:lang w:eastAsia="zh-CN"/>
        </w:rPr>
        <w:t>供货安装期</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eastAsia="zh-CN"/>
        </w:rPr>
        <w:t>磋商有效期</w:t>
      </w:r>
      <w:r>
        <w:rPr>
          <w:rFonts w:hint="eastAsia" w:asciiTheme="minorEastAsia" w:hAnsiTheme="minorEastAsia" w:eastAsiaTheme="minorEastAsia" w:cstheme="minorEastAsia"/>
          <w:kern w:val="0"/>
          <w:sz w:val="24"/>
          <w:szCs w:val="24"/>
          <w:highlight w:val="none"/>
        </w:rPr>
        <w:t>、质量要求等实质性内容作出响应。</w:t>
      </w:r>
    </w:p>
    <w:p w14:paraId="2C6F18B6">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lang w:val="en-US" w:eastAsia="zh-CN"/>
        </w:rPr>
        <w:t>19.</w:t>
      </w:r>
      <w:r>
        <w:rPr>
          <w:rFonts w:hint="eastAsia" w:asciiTheme="minorEastAsia" w:hAnsiTheme="minorEastAsia" w:eastAsiaTheme="minorEastAsia" w:cstheme="minorEastAsia"/>
          <w:b/>
          <w:bCs/>
          <w:kern w:val="0"/>
          <w:sz w:val="24"/>
          <w:szCs w:val="24"/>
          <w:highlight w:val="none"/>
          <w:lang w:eastAsia="zh-CN"/>
        </w:rPr>
        <w:t>响应文件</w:t>
      </w:r>
      <w:r>
        <w:rPr>
          <w:rFonts w:hint="eastAsia" w:asciiTheme="minorEastAsia" w:hAnsiTheme="minorEastAsia" w:eastAsiaTheme="minorEastAsia" w:cstheme="minorEastAsia"/>
          <w:b/>
          <w:bCs/>
          <w:kern w:val="0"/>
          <w:sz w:val="24"/>
          <w:szCs w:val="24"/>
          <w:highlight w:val="none"/>
        </w:rPr>
        <w:t>的递交</w:t>
      </w:r>
    </w:p>
    <w:p w14:paraId="6C076F1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rPr>
        <w:t>.1经过加密的电子版</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一份，需在递交截止时间前在赢标电子招标采购交易平台菏泽专区（https://hz.fzbidding.com/）递交。</w:t>
      </w:r>
    </w:p>
    <w:p w14:paraId="40584824">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rPr>
        <w:t>.2电子版</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需进行电子加密，未加密的</w:t>
      </w:r>
      <w:r>
        <w:rPr>
          <w:rFonts w:hint="eastAsia" w:asciiTheme="minorEastAsia" w:hAnsiTheme="minorEastAsia" w:eastAsiaTheme="minorEastAsia" w:cstheme="minorEastAsia"/>
          <w:kern w:val="0"/>
          <w:sz w:val="24"/>
          <w:szCs w:val="24"/>
          <w:highlight w:val="none"/>
          <w:lang w:eastAsia="zh-CN"/>
        </w:rPr>
        <w:t>响应</w:t>
      </w:r>
      <w:r>
        <w:rPr>
          <w:rFonts w:hint="eastAsia" w:asciiTheme="minorEastAsia" w:hAnsiTheme="minorEastAsia" w:eastAsiaTheme="minorEastAsia" w:cstheme="minorEastAsia"/>
          <w:kern w:val="0"/>
          <w:sz w:val="24"/>
          <w:szCs w:val="24"/>
          <w:highlight w:val="none"/>
        </w:rPr>
        <w:t>文件无法通过交易系统进行上传，视为主动放弃本次投标资格。</w:t>
      </w:r>
    </w:p>
    <w:p w14:paraId="6D883DD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val="en-US" w:eastAsia="zh-CN"/>
        </w:rPr>
        <w:t>9.3</w:t>
      </w:r>
      <w:r>
        <w:rPr>
          <w:rFonts w:hint="eastAsia" w:asciiTheme="minorEastAsia" w:hAnsiTheme="minorEastAsia" w:eastAsiaTheme="minorEastAsia" w:cstheme="minorEastAsia"/>
          <w:kern w:val="0"/>
          <w:sz w:val="24"/>
          <w:szCs w:val="24"/>
          <w:highlight w:val="none"/>
        </w:rPr>
        <w:t>电子</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、电子</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具有法律效力，与其他形式的</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在内容和格式上等同，若</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与</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要求不一致，其内容影响</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结果时，责任由</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自行承担。</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递交的电子</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因</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自身原因而导致无法导入电子辅助评标系统的，该</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视为无效</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，将导致其报价被拒绝。</w:t>
      </w:r>
    </w:p>
    <w:p w14:paraId="4A159686">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lang w:val="en-US" w:eastAsia="zh-CN"/>
        </w:rPr>
        <w:t>20.</w:t>
      </w:r>
      <w:r>
        <w:rPr>
          <w:rFonts w:hint="eastAsia" w:asciiTheme="minorEastAsia" w:hAnsiTheme="minorEastAsia" w:eastAsiaTheme="minorEastAsia" w:cstheme="minorEastAsia"/>
          <w:b/>
          <w:bCs/>
          <w:kern w:val="0"/>
          <w:sz w:val="24"/>
          <w:szCs w:val="24"/>
          <w:highlight w:val="none"/>
          <w:lang w:eastAsia="zh-CN"/>
        </w:rPr>
        <w:t>响应文件</w:t>
      </w:r>
      <w:r>
        <w:rPr>
          <w:rFonts w:hint="eastAsia" w:asciiTheme="minorEastAsia" w:hAnsiTheme="minorEastAsia" w:eastAsiaTheme="minorEastAsia" w:cstheme="minorEastAsia"/>
          <w:b/>
          <w:bCs/>
          <w:kern w:val="0"/>
          <w:sz w:val="24"/>
          <w:szCs w:val="24"/>
          <w:highlight w:val="none"/>
        </w:rPr>
        <w:t>的修改和撤回</w:t>
      </w:r>
    </w:p>
    <w:p w14:paraId="5C68BCD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20.1</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在提交</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以后，在规定的递交</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截止时间之前，可随时登录赢标电子招标采购交易平台菏泽专区（https://hz.fzbidding.com/）</w:t>
      </w:r>
      <w:r>
        <w:rPr>
          <w:rFonts w:hint="eastAsia" w:asciiTheme="minorEastAsia" w:hAnsiTheme="minorEastAsia" w:eastAsiaTheme="minorEastAsia" w:cstheme="minorEastAsia"/>
          <w:kern w:val="0"/>
          <w:sz w:val="24"/>
          <w:szCs w:val="24"/>
          <w:highlight w:val="none"/>
        </w:rPr>
        <w:fldChar w:fldCharType="begin"/>
      </w:r>
      <w:r>
        <w:rPr>
          <w:rFonts w:hint="eastAsia" w:asciiTheme="minorEastAsia" w:hAnsiTheme="minorEastAsia" w:eastAsiaTheme="minorEastAsia" w:cstheme="minorEastAsia"/>
          <w:kern w:val="0"/>
          <w:sz w:val="24"/>
          <w:szCs w:val="24"/>
          <w:highlight w:val="none"/>
        </w:rPr>
        <w:instrText xml:space="preserve">HYPERLINK"http://hz.fzbidding.com/撤回投标文件。需要补充或修改投标文件时，必须先撤回投标文件，修改后重新递交。"</w:instrText>
      </w:r>
      <w:r>
        <w:rPr>
          <w:rFonts w:hint="eastAsia" w:asciiTheme="minorEastAsia" w:hAnsiTheme="minorEastAsia" w:eastAsiaTheme="minorEastAsia" w:cstheme="minorEastAsia"/>
          <w:kern w:val="0"/>
          <w:sz w:val="24"/>
          <w:szCs w:val="24"/>
          <w:highlight w:val="none"/>
        </w:rPr>
        <w:fldChar w:fldCharType="separate"/>
      </w:r>
      <w:r>
        <w:rPr>
          <w:rFonts w:hint="eastAsia" w:asciiTheme="minorEastAsia" w:hAnsiTheme="minorEastAsia" w:eastAsiaTheme="minorEastAsia" w:cstheme="minorEastAsia"/>
          <w:kern w:val="0"/>
          <w:sz w:val="24"/>
          <w:szCs w:val="24"/>
          <w:highlight w:val="none"/>
        </w:rPr>
        <w:t>撤回</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。需要补充或修改</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时，必须先撤回</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，修改后重新递交。</w:t>
      </w:r>
      <w:r>
        <w:rPr>
          <w:rFonts w:hint="eastAsia" w:asciiTheme="minorEastAsia" w:hAnsiTheme="minorEastAsia" w:eastAsiaTheme="minorEastAsia" w:cstheme="minorEastAsia"/>
          <w:kern w:val="0"/>
          <w:sz w:val="24"/>
          <w:szCs w:val="24"/>
          <w:highlight w:val="none"/>
        </w:rPr>
        <w:fldChar w:fldCharType="end"/>
      </w:r>
    </w:p>
    <w:p w14:paraId="6F7D30F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20.2重新递交的</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应按</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的规定编制、加密和CA签名。在递交</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截止时间后，不能修改或撤回</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w:t>
      </w:r>
    </w:p>
    <w:p w14:paraId="16E94F8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20.3在递交</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截止时间至</w:t>
      </w:r>
      <w:r>
        <w:rPr>
          <w:rFonts w:hint="eastAsia" w:asciiTheme="minorEastAsia" w:hAnsiTheme="minorEastAsia" w:eastAsiaTheme="minorEastAsia" w:cstheme="minorEastAsia"/>
          <w:kern w:val="0"/>
          <w:sz w:val="24"/>
          <w:szCs w:val="24"/>
          <w:highlight w:val="none"/>
          <w:lang w:eastAsia="zh-CN"/>
        </w:rPr>
        <w:t>磋商有效期</w:t>
      </w:r>
      <w:r>
        <w:rPr>
          <w:rFonts w:hint="eastAsia" w:asciiTheme="minorEastAsia" w:hAnsiTheme="minorEastAsia" w:eastAsiaTheme="minorEastAsia" w:cstheme="minorEastAsia"/>
          <w:kern w:val="0"/>
          <w:sz w:val="24"/>
          <w:szCs w:val="24"/>
          <w:highlight w:val="none"/>
        </w:rPr>
        <w:t>满之前，</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不得撤回其</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w:t>
      </w:r>
    </w:p>
    <w:bookmarkEnd w:id="138"/>
    <w:bookmarkEnd w:id="139"/>
    <w:bookmarkEnd w:id="140"/>
    <w:bookmarkEnd w:id="141"/>
    <w:bookmarkEnd w:id="142"/>
    <w:bookmarkEnd w:id="143"/>
    <w:p w14:paraId="2984FB6D">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center"/>
        <w:textAlignment w:val="auto"/>
        <w:outlineLvl w:val="3"/>
        <w:rPr>
          <w:rFonts w:hint="eastAsia" w:asciiTheme="minorEastAsia" w:hAnsiTheme="minorEastAsia" w:eastAsiaTheme="minorEastAsia" w:cstheme="minorEastAsia"/>
          <w:b/>
          <w:bCs/>
          <w:kern w:val="0"/>
          <w:sz w:val="24"/>
          <w:szCs w:val="24"/>
          <w:highlight w:val="none"/>
          <w:lang w:eastAsia="zh-CN"/>
        </w:rPr>
      </w:pPr>
      <w:bookmarkStart w:id="144" w:name="_Toc13581205"/>
      <w:bookmarkStart w:id="145" w:name="_Toc9845230"/>
      <w:bookmarkStart w:id="146" w:name="_Toc6916065"/>
      <w:bookmarkStart w:id="147" w:name="_Toc12613397"/>
      <w:bookmarkStart w:id="148" w:name="_Toc12613433"/>
      <w:bookmarkStart w:id="149" w:name="_Toc19582"/>
      <w:bookmarkStart w:id="150" w:name="_Toc1298"/>
      <w:bookmarkStart w:id="151" w:name="_Toc9178"/>
      <w:bookmarkStart w:id="152" w:name="_Toc346372900"/>
      <w:bookmarkStart w:id="153" w:name="_Toc346306753"/>
      <w:bookmarkStart w:id="154" w:name="_Toc352332874"/>
      <w:r>
        <w:rPr>
          <w:rFonts w:hint="eastAsia" w:asciiTheme="minorEastAsia" w:hAnsiTheme="minorEastAsia" w:eastAsiaTheme="minorEastAsia" w:cstheme="minorEastAsia"/>
          <w:b/>
          <w:bCs/>
          <w:kern w:val="0"/>
          <w:sz w:val="24"/>
          <w:szCs w:val="24"/>
          <w:highlight w:val="none"/>
        </w:rPr>
        <w:t>四、</w:t>
      </w:r>
      <w:bookmarkEnd w:id="144"/>
      <w:bookmarkEnd w:id="145"/>
      <w:bookmarkEnd w:id="146"/>
      <w:bookmarkEnd w:id="147"/>
      <w:bookmarkEnd w:id="148"/>
      <w:bookmarkStart w:id="155" w:name="_Toc6916066"/>
      <w:bookmarkStart w:id="156" w:name="_Toc12613434"/>
      <w:bookmarkStart w:id="157" w:name="_Toc9845231"/>
      <w:bookmarkStart w:id="158" w:name="_Toc13581206"/>
      <w:bookmarkStart w:id="159" w:name="_Toc12613398"/>
      <w:r>
        <w:rPr>
          <w:rFonts w:hint="eastAsia" w:asciiTheme="minorEastAsia" w:hAnsiTheme="minorEastAsia" w:eastAsiaTheme="minorEastAsia" w:cstheme="minorEastAsia"/>
          <w:b/>
          <w:bCs/>
          <w:kern w:val="0"/>
          <w:sz w:val="24"/>
          <w:szCs w:val="24"/>
          <w:highlight w:val="none"/>
          <w:lang w:eastAsia="zh-CN"/>
        </w:rPr>
        <w:t>开标</w:t>
      </w:r>
      <w:bookmarkEnd w:id="149"/>
      <w:bookmarkEnd w:id="150"/>
      <w:r>
        <w:rPr>
          <w:rFonts w:hint="eastAsia" w:asciiTheme="minorEastAsia" w:hAnsiTheme="minorEastAsia" w:eastAsiaTheme="minorEastAsia" w:cstheme="minorEastAsia"/>
          <w:b/>
          <w:bCs/>
          <w:kern w:val="0"/>
          <w:sz w:val="24"/>
          <w:szCs w:val="24"/>
          <w:highlight w:val="none"/>
          <w:lang w:eastAsia="zh-CN"/>
        </w:rPr>
        <w:t>与评标</w:t>
      </w:r>
      <w:bookmarkEnd w:id="151"/>
    </w:p>
    <w:p w14:paraId="53D9B064">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21.开标流程</w:t>
      </w:r>
    </w:p>
    <w:p w14:paraId="643E737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21.1</w:t>
      </w:r>
      <w:r>
        <w:rPr>
          <w:rFonts w:hint="eastAsia" w:asciiTheme="minorEastAsia" w:hAnsiTheme="minorEastAsia" w:eastAsiaTheme="minorEastAsia" w:cstheme="minorEastAsia"/>
          <w:kern w:val="0"/>
          <w:sz w:val="24"/>
          <w:szCs w:val="24"/>
          <w:highlight w:val="none"/>
          <w:lang w:eastAsia="zh-CN"/>
        </w:rPr>
        <w:t>本项目采用“不见面开标”，参与本项目投标的企业无需到现场参会，供应商须</w:t>
      </w:r>
      <w:r>
        <w:rPr>
          <w:rFonts w:hint="eastAsia" w:asciiTheme="minorEastAsia" w:hAnsiTheme="minorEastAsia" w:eastAsiaTheme="minorEastAsia" w:cstheme="minorEastAsia"/>
          <w:kern w:val="0"/>
          <w:sz w:val="24"/>
          <w:szCs w:val="24"/>
          <w:highlight w:val="none"/>
        </w:rPr>
        <w:t>在须知前附表规定的投标截止时间(开标时间)</w:t>
      </w:r>
      <w:r>
        <w:rPr>
          <w:rFonts w:hint="eastAsia" w:asciiTheme="minorEastAsia" w:hAnsiTheme="minorEastAsia" w:eastAsiaTheme="minorEastAsia" w:cstheme="minorEastAsia"/>
          <w:kern w:val="0"/>
          <w:sz w:val="24"/>
          <w:szCs w:val="24"/>
          <w:highlight w:val="none"/>
          <w:lang w:eastAsia="zh-CN"/>
        </w:rPr>
        <w:t>前，自备电脑、CA准时登录虚拟开标大厅在线参加开标。</w:t>
      </w:r>
      <w:r>
        <w:rPr>
          <w:rFonts w:hint="eastAsia" w:asciiTheme="minorEastAsia" w:hAnsiTheme="minorEastAsia" w:eastAsiaTheme="minorEastAsia" w:cstheme="minorEastAsia"/>
          <w:kern w:val="0"/>
          <w:sz w:val="24"/>
          <w:szCs w:val="24"/>
          <w:highlight w:val="none"/>
          <w:lang w:val="en-US" w:eastAsia="zh-CN"/>
        </w:rPr>
        <w:t>供应商的</w:t>
      </w:r>
      <w:r>
        <w:rPr>
          <w:rFonts w:hint="eastAsia" w:asciiTheme="minorEastAsia" w:hAnsiTheme="minorEastAsia" w:eastAsiaTheme="minorEastAsia" w:cstheme="minorEastAsia"/>
          <w:kern w:val="0"/>
          <w:sz w:val="24"/>
          <w:szCs w:val="24"/>
          <w:highlight w:val="none"/>
          <w:lang w:eastAsia="zh-CN"/>
        </w:rPr>
        <w:t>法定代表人或其委托代理人进入网上开标大厅进行签到以证明其出席，未</w:t>
      </w:r>
      <w:r>
        <w:rPr>
          <w:rFonts w:hint="eastAsia" w:asciiTheme="minorEastAsia" w:hAnsiTheme="minorEastAsia" w:eastAsiaTheme="minorEastAsia" w:cstheme="minorEastAsia"/>
          <w:kern w:val="0"/>
          <w:sz w:val="24"/>
          <w:szCs w:val="24"/>
          <w:highlight w:val="none"/>
        </w:rPr>
        <w:t>按</w:t>
      </w:r>
      <w:r>
        <w:rPr>
          <w:rFonts w:hint="eastAsia" w:asciiTheme="minorEastAsia" w:hAnsiTheme="minorEastAsia" w:eastAsiaTheme="minorEastAsia" w:cstheme="minorEastAsia"/>
          <w:kern w:val="0"/>
          <w:sz w:val="24"/>
          <w:szCs w:val="24"/>
          <w:highlight w:val="none"/>
          <w:lang w:eastAsia="zh-CN"/>
        </w:rPr>
        <w:t>要求</w:t>
      </w:r>
      <w:r>
        <w:rPr>
          <w:rFonts w:hint="eastAsia" w:asciiTheme="minorEastAsia" w:hAnsiTheme="minorEastAsia" w:eastAsiaTheme="minorEastAsia" w:cstheme="minorEastAsia"/>
          <w:kern w:val="0"/>
          <w:sz w:val="24"/>
          <w:szCs w:val="24"/>
          <w:highlight w:val="none"/>
        </w:rPr>
        <w:t>参加开标会议</w:t>
      </w:r>
      <w:r>
        <w:rPr>
          <w:rFonts w:hint="eastAsia" w:asciiTheme="minorEastAsia" w:hAnsiTheme="minorEastAsia" w:eastAsiaTheme="minorEastAsia" w:cstheme="minorEastAsia"/>
          <w:kern w:val="0"/>
          <w:sz w:val="24"/>
          <w:szCs w:val="24"/>
          <w:highlight w:val="none"/>
          <w:lang w:eastAsia="zh-CN"/>
        </w:rPr>
        <w:t>的视为放弃本项目投标资格</w:t>
      </w:r>
      <w:r>
        <w:rPr>
          <w:rFonts w:hint="eastAsia" w:asciiTheme="minorEastAsia" w:hAnsiTheme="minorEastAsia" w:eastAsiaTheme="minorEastAsia" w:cstheme="minorEastAsia"/>
          <w:kern w:val="0"/>
          <w:sz w:val="24"/>
          <w:szCs w:val="24"/>
          <w:highlight w:val="none"/>
        </w:rPr>
        <w:t>。</w:t>
      </w:r>
    </w:p>
    <w:p w14:paraId="26AFE95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21.2</w:t>
      </w:r>
      <w:r>
        <w:rPr>
          <w:rFonts w:hint="eastAsia" w:asciiTheme="minorEastAsia" w:hAnsiTheme="minorEastAsia" w:eastAsiaTheme="minorEastAsia" w:cstheme="minorEastAsia"/>
          <w:kern w:val="0"/>
          <w:sz w:val="24"/>
          <w:szCs w:val="24"/>
          <w:highlight w:val="none"/>
        </w:rPr>
        <w:t>如在投标截止时间递交</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的</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少于三家，</w:t>
      </w:r>
      <w:r>
        <w:rPr>
          <w:rFonts w:hint="eastAsia" w:asciiTheme="minorEastAsia" w:hAnsiTheme="minorEastAsia" w:eastAsiaTheme="minorEastAsia" w:cstheme="minorEastAsia"/>
          <w:kern w:val="0"/>
          <w:sz w:val="24"/>
          <w:szCs w:val="24"/>
          <w:highlight w:val="none"/>
          <w:lang w:eastAsia="zh-CN"/>
        </w:rPr>
        <w:t>采购代理机构</w:t>
      </w:r>
      <w:r>
        <w:rPr>
          <w:rFonts w:hint="eastAsia" w:asciiTheme="minorEastAsia" w:hAnsiTheme="minorEastAsia" w:eastAsiaTheme="minorEastAsia" w:cstheme="minorEastAsia"/>
          <w:kern w:val="0"/>
          <w:sz w:val="24"/>
          <w:szCs w:val="24"/>
          <w:highlight w:val="none"/>
        </w:rPr>
        <w:t>可重新</w:t>
      </w:r>
      <w:r>
        <w:rPr>
          <w:rFonts w:hint="eastAsia" w:asciiTheme="minorEastAsia" w:hAnsiTheme="minorEastAsia" w:eastAsiaTheme="minorEastAsia" w:cstheme="minorEastAsia"/>
          <w:kern w:val="0"/>
          <w:sz w:val="24"/>
          <w:szCs w:val="24"/>
          <w:highlight w:val="none"/>
          <w:lang w:eastAsia="zh-CN"/>
        </w:rPr>
        <w:t>采购</w:t>
      </w:r>
      <w:r>
        <w:rPr>
          <w:rFonts w:hint="eastAsia" w:asciiTheme="minorEastAsia" w:hAnsiTheme="minorEastAsia" w:eastAsiaTheme="minorEastAsia" w:cstheme="minorEastAsia"/>
          <w:kern w:val="0"/>
          <w:sz w:val="24"/>
          <w:szCs w:val="24"/>
          <w:highlight w:val="none"/>
        </w:rPr>
        <w:t>，且不承担任何费用和责任。</w:t>
      </w:r>
    </w:p>
    <w:p w14:paraId="75EA3BC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21.3</w:t>
      </w:r>
      <w:r>
        <w:rPr>
          <w:rFonts w:hint="eastAsia" w:asciiTheme="minorEastAsia" w:hAnsiTheme="minorEastAsia" w:eastAsiaTheme="minorEastAsia" w:cstheme="minorEastAsia"/>
          <w:kern w:val="0"/>
          <w:sz w:val="24"/>
          <w:szCs w:val="24"/>
          <w:highlight w:val="none"/>
        </w:rPr>
        <w:t>主持人按下列程序进行开标：</w:t>
      </w:r>
    </w:p>
    <w:p w14:paraId="128C0FB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（1）介绍与会</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代表、监管部门及代表人员名单；</w:t>
      </w:r>
    </w:p>
    <w:p w14:paraId="6252E0D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（2）宣读开标纪律；</w:t>
      </w:r>
    </w:p>
    <w:p w14:paraId="31728F2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（3）各投标企业即可插入CA锁，按照现场人员指导，</w:t>
      </w:r>
      <w:r>
        <w:rPr>
          <w:rFonts w:hint="eastAsia" w:asciiTheme="minorEastAsia" w:hAnsiTheme="minorEastAsia" w:eastAsiaTheme="minorEastAsia" w:cstheme="minorEastAsia"/>
          <w:kern w:val="0"/>
          <w:sz w:val="24"/>
          <w:szCs w:val="24"/>
          <w:highlight w:val="none"/>
          <w:lang w:eastAsia="zh-CN"/>
        </w:rPr>
        <w:t>登录账号</w:t>
      </w:r>
      <w:r>
        <w:rPr>
          <w:rFonts w:hint="eastAsia" w:asciiTheme="minorEastAsia" w:hAnsiTheme="minorEastAsia" w:eastAsiaTheme="minorEastAsia" w:cstheme="minorEastAsia"/>
          <w:kern w:val="0"/>
          <w:sz w:val="24"/>
          <w:szCs w:val="24"/>
          <w:highlight w:val="none"/>
        </w:rPr>
        <w:t>并等待解密。开标时间到达后，插入代理公司CA锁正式开启线上开标系统</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设置</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解密时间为30分钟，下达开启解密</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指令后</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可在自带计算机上进行加密电子</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的线上解密</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代理将解密完成的</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导入开标系统后通过电子系统生成的报价记录表依次公开唱价；公布</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名称</w:t>
      </w:r>
      <w:r>
        <w:rPr>
          <w:rFonts w:hint="eastAsia" w:asciiTheme="minorEastAsia" w:hAnsiTheme="minorEastAsia" w:eastAsiaTheme="minorEastAsia" w:cstheme="minorEastAsia"/>
          <w:kern w:val="0"/>
          <w:sz w:val="24"/>
          <w:szCs w:val="24"/>
          <w:highlight w:val="none"/>
          <w:lang w:eastAsia="zh-CN"/>
        </w:rPr>
        <w:t>，报价</w:t>
      </w:r>
      <w:r>
        <w:rPr>
          <w:rFonts w:hint="eastAsia" w:asciiTheme="minorEastAsia" w:hAnsiTheme="minorEastAsia" w:eastAsiaTheme="minorEastAsia" w:cstheme="minorEastAsia"/>
          <w:kern w:val="0"/>
          <w:sz w:val="24"/>
          <w:szCs w:val="24"/>
          <w:highlight w:val="none"/>
        </w:rPr>
        <w:t>等内容，并记录在案；</w:t>
      </w:r>
    </w:p>
    <w:p w14:paraId="1AE2A2B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法定代表人或其委托代理人等有关人员在开标记录上签字确认；</w:t>
      </w:r>
    </w:p>
    <w:p w14:paraId="71CD04F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）开标结束。</w:t>
      </w:r>
    </w:p>
    <w:p w14:paraId="14998240">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22.磋商小组</w:t>
      </w:r>
    </w:p>
    <w:p w14:paraId="49E2A6D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22.1磋商小组人数详见供应商须知前附表。</w:t>
      </w:r>
    </w:p>
    <w:p w14:paraId="5057B0D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22.2磋商小组成员有下列情形之一的，应当回避：</w:t>
      </w:r>
    </w:p>
    <w:p w14:paraId="16201FF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（1）供应商或供应商主要负责人的近亲属；</w:t>
      </w:r>
    </w:p>
    <w:p w14:paraId="4AD6DF7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（2）项目主管部门或者行政监督部门的人员；</w:t>
      </w:r>
    </w:p>
    <w:p w14:paraId="1DE8A1B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（3）与供应商有经济利益关系；</w:t>
      </w:r>
    </w:p>
    <w:p w14:paraId="3B69D41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（4）曾因在招标采购、评审以及其他与招标投标有关活动中从事违法行为而受过行政处罚或刑事处罚的；</w:t>
      </w:r>
    </w:p>
    <w:p w14:paraId="375A277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（5）与供应商有其他利害关系。</w:t>
      </w:r>
    </w:p>
    <w:p w14:paraId="26FBD0E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bookmarkStart w:id="160" w:name="_Toc352332876"/>
      <w:bookmarkStart w:id="161" w:name="_Toc346372902"/>
      <w:bookmarkStart w:id="162" w:name="_Toc346306755"/>
      <w:r>
        <w:rPr>
          <w:rFonts w:hint="eastAsia" w:asciiTheme="minorEastAsia" w:hAnsiTheme="minorEastAsia" w:eastAsiaTheme="minorEastAsia" w:cstheme="minorEastAsia"/>
          <w:kern w:val="0"/>
          <w:sz w:val="24"/>
          <w:szCs w:val="24"/>
          <w:highlight w:val="none"/>
          <w:lang w:val="en-US" w:eastAsia="zh-CN"/>
        </w:rPr>
        <w:t>22.3</w:t>
      </w:r>
      <w:r>
        <w:rPr>
          <w:rFonts w:hint="eastAsia" w:asciiTheme="minorEastAsia" w:hAnsiTheme="minorEastAsia" w:eastAsiaTheme="minorEastAsia" w:cstheme="minorEastAsia"/>
          <w:kern w:val="0"/>
          <w:sz w:val="24"/>
          <w:szCs w:val="24"/>
          <w:highlight w:val="none"/>
        </w:rPr>
        <w:t>评标原则</w:t>
      </w:r>
      <w:bookmarkEnd w:id="160"/>
      <w:bookmarkEnd w:id="161"/>
      <w:bookmarkEnd w:id="162"/>
    </w:p>
    <w:p w14:paraId="190E9E2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rPr>
      </w:pPr>
      <w:bookmarkStart w:id="163" w:name="_Toc352332877"/>
      <w:bookmarkStart w:id="164" w:name="_Toc346372903"/>
      <w:bookmarkStart w:id="165" w:name="_Toc346306756"/>
      <w:r>
        <w:rPr>
          <w:rFonts w:hint="eastAsia" w:asciiTheme="minorEastAsia" w:hAnsiTheme="minorEastAsia" w:eastAsiaTheme="minorEastAsia" w:cstheme="minorEastAsia"/>
          <w:kern w:val="0"/>
          <w:sz w:val="24"/>
          <w:szCs w:val="24"/>
          <w:highlight w:val="none"/>
        </w:rPr>
        <w:t>“客观、公正、审慎”为本次评标的基本原则，评标小组将按照这一原则公正、平等地对待各</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，同时在评标过程中遵守以下原则：</w:t>
      </w:r>
    </w:p>
    <w:p w14:paraId="2C5C522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客观性原则；</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将严格按照</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的规定，对</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的评审仅依据</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本身，而不依据</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以外的任何因素。</w:t>
      </w:r>
    </w:p>
    <w:p w14:paraId="7DE4ED5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公正性原则；</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依据</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规定的评标程序、评标方法和评标标准按统一方法、</w:t>
      </w:r>
      <w:r>
        <w:rPr>
          <w:rFonts w:hint="eastAsia" w:asciiTheme="minorEastAsia" w:hAnsiTheme="minorEastAsia" w:eastAsiaTheme="minorEastAsia" w:cstheme="minorEastAsia"/>
          <w:kern w:val="0"/>
          <w:sz w:val="24"/>
          <w:szCs w:val="24"/>
          <w:highlight w:val="none"/>
          <w:lang w:eastAsia="zh-CN"/>
        </w:rPr>
        <w:t>统一标准</w:t>
      </w:r>
      <w:r>
        <w:rPr>
          <w:rFonts w:hint="eastAsia" w:asciiTheme="minorEastAsia" w:hAnsiTheme="minorEastAsia" w:eastAsiaTheme="minorEastAsia" w:cstheme="minorEastAsia"/>
          <w:kern w:val="0"/>
          <w:sz w:val="24"/>
          <w:szCs w:val="24"/>
          <w:highlight w:val="none"/>
        </w:rPr>
        <w:t>进行独立评审，并对</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的各项指标进行综合分析和比较，而不以单项指标的优劣进行评审。</w:t>
      </w:r>
    </w:p>
    <w:p w14:paraId="7949C13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审慎性原则：</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独立对</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进行审阅，依据</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规定的评审标准审慎评审。</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的评审不受外界任何因素的干扰和影响，</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成员对出具的评标意见承担个人责任。</w:t>
      </w:r>
    </w:p>
    <w:p w14:paraId="0BA8A54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保密性原则：</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及有关工作人员，应当对评标过程及</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的商业和技术秘密予以保密。</w:t>
      </w:r>
    </w:p>
    <w:bookmarkEnd w:id="163"/>
    <w:bookmarkEnd w:id="164"/>
    <w:bookmarkEnd w:id="165"/>
    <w:p w14:paraId="21EE8A43">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23.评审程序</w:t>
      </w:r>
    </w:p>
    <w:p w14:paraId="074840B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23.1初步评审</w:t>
      </w:r>
    </w:p>
    <w:p w14:paraId="421EEA6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23.1.1磋商小组首先对供应商进行资格后审，资格后审不合格者不得进入下一步评标。资格审查资料详见供应商须知前附表。</w:t>
      </w:r>
    </w:p>
    <w:p w14:paraId="087F229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23.</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2其次，</w:t>
      </w:r>
      <w:r>
        <w:rPr>
          <w:rFonts w:hint="eastAsia" w:asciiTheme="minorEastAsia" w:hAnsiTheme="minorEastAsia" w:eastAsiaTheme="minorEastAsia" w:cstheme="minorEastAsia"/>
          <w:kern w:val="0"/>
          <w:sz w:val="24"/>
          <w:szCs w:val="24"/>
          <w:highlight w:val="none"/>
          <w:lang w:eastAsia="zh-CN"/>
        </w:rPr>
        <w:t>磋商小组对通过资格审查的供应商的响应文件进行符合性审查，以确定其是否满足竞争性磋商文件的实质性要求。符合性审查详见第三章评分办法。</w:t>
      </w:r>
    </w:p>
    <w:p w14:paraId="6F7E475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23.2磋商及</w:t>
      </w:r>
      <w:r>
        <w:rPr>
          <w:rFonts w:hint="eastAsia" w:asciiTheme="minorEastAsia" w:hAnsiTheme="minorEastAsia" w:eastAsiaTheme="minorEastAsia" w:cstheme="minorEastAsia"/>
          <w:kern w:val="0"/>
          <w:sz w:val="24"/>
          <w:szCs w:val="24"/>
          <w:highlight w:val="none"/>
          <w:lang w:eastAsia="zh-CN"/>
        </w:rPr>
        <w:t>二次报价</w:t>
      </w:r>
    </w:p>
    <w:p w14:paraId="7A12EC5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23.3.1磋商小组与初步审查合格的的供应商逐一进行磋商。磋商结束后，磋商小组要求所有合格供应商在规定时间内提交第二次报价（最多保留两位小数）。第二次报价为最终报价，最终报价是响应文件的有效组成部分。</w:t>
      </w:r>
    </w:p>
    <w:p w14:paraId="118A052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23.3.2</w:t>
      </w:r>
      <w:r>
        <w:rPr>
          <w:rFonts w:hint="eastAsia" w:asciiTheme="minorEastAsia" w:hAnsiTheme="minorEastAsia" w:eastAsiaTheme="minorEastAsia" w:cstheme="minorEastAsia"/>
          <w:kern w:val="0"/>
          <w:sz w:val="24"/>
          <w:szCs w:val="24"/>
          <w:highlight w:val="none"/>
          <w:lang w:eastAsia="zh-CN"/>
        </w:rPr>
        <w:t>在采购范围不变的情况下供应商的第二次报价不得高于第一次报价，否则按无效报价处理。</w:t>
      </w:r>
    </w:p>
    <w:p w14:paraId="32C9D84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23.</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lang w:eastAsia="zh-CN"/>
        </w:rPr>
        <w:t>详细评审</w:t>
      </w:r>
    </w:p>
    <w:p w14:paraId="0EE41BD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23.</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1磋商</w:t>
      </w:r>
      <w:r>
        <w:rPr>
          <w:rFonts w:hint="eastAsia" w:asciiTheme="minorEastAsia" w:hAnsiTheme="minorEastAsia" w:eastAsiaTheme="minorEastAsia" w:cstheme="minorEastAsia"/>
          <w:kern w:val="0"/>
          <w:sz w:val="24"/>
          <w:szCs w:val="24"/>
          <w:highlight w:val="none"/>
          <w:lang w:eastAsia="zh-CN"/>
        </w:rPr>
        <w:t>结束后，磋商小组根据第三章“评分办法”规定的评审因素对合格响应文件进行详细评审。评分办法中没有规定的方法、评审因素和标准，不作为评标依据。</w:t>
      </w:r>
    </w:p>
    <w:p w14:paraId="4C833F7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23.</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lang w:eastAsia="zh-CN"/>
        </w:rPr>
        <w:t>.2本次采购采用综合评分法，在最大限度地满足竞争性磋商文件实质性要求前提下，磋商小组按照竞争性磋商文件中规定的各项因素进行综合评审后，对每个供应商的响应文件进行独立评分，并计算综合得分，汇总各评审成员打分的得分，计算算术平均值，得出各供应商的最终得分，计算分数时保留小数点后两位，第三位四舍五入。</w:t>
      </w:r>
    </w:p>
    <w:p w14:paraId="60F9EB2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23.</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lang w:eastAsia="zh-CN"/>
        </w:rPr>
        <w:t>.3竞争性磋商文件中没有规定的评审标准不得作为评审依据。</w:t>
      </w:r>
    </w:p>
    <w:p w14:paraId="5E12F27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23.</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lang w:eastAsia="zh-CN"/>
        </w:rPr>
        <w:t>.4磋商小组根据得分由高到低排序，如得分相同，报价低的排在前；如得分且报价相同的，技术部分得分高的排在前；如技术分也相同，由磋商小组举手表决。</w:t>
      </w:r>
    </w:p>
    <w:p w14:paraId="51315CB5">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2</w:t>
      </w:r>
      <w:r>
        <w:rPr>
          <w:rFonts w:hint="eastAsia" w:asciiTheme="minorEastAsia" w:hAnsiTheme="minorEastAsia" w:eastAsiaTheme="minorEastAsia" w:cstheme="minorEastAsia"/>
          <w:b/>
          <w:bCs/>
          <w:kern w:val="0"/>
          <w:sz w:val="24"/>
          <w:szCs w:val="24"/>
          <w:highlight w:val="none"/>
          <w:lang w:val="en-US" w:eastAsia="zh-CN"/>
        </w:rPr>
        <w:t>4</w:t>
      </w:r>
      <w:r>
        <w:rPr>
          <w:rFonts w:hint="eastAsia" w:asciiTheme="minorEastAsia" w:hAnsiTheme="minorEastAsia" w:eastAsiaTheme="minorEastAsia" w:cstheme="minorEastAsia"/>
          <w:b/>
          <w:bCs/>
          <w:kern w:val="0"/>
          <w:sz w:val="24"/>
          <w:szCs w:val="24"/>
          <w:highlight w:val="none"/>
          <w:lang w:eastAsia="zh-CN"/>
        </w:rPr>
        <w:t>.响应文件的澄清</w:t>
      </w:r>
    </w:p>
    <w:p w14:paraId="6B23F27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lang w:eastAsia="zh-CN"/>
        </w:rPr>
        <w:t>.1为有助于响应文件进行审查、评估和比较，磋商小组有权向供应商询问。供应商有义务以书面形式对其响应文件中含义不明确、同类问题表述不一致或有明显文字错误的内容进行澄清和说明，但澄清和说明的内容不得超出响应文件的范围或改变响应文件的实质性内容。供应商澄清和说明的内容构成响应文件的组成部分；拒不进行澄清、说明或补正的，磋商小组可以视为供应商未实质性响应投标。</w:t>
      </w:r>
    </w:p>
    <w:p w14:paraId="1255CEA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lang w:eastAsia="zh-CN"/>
        </w:rPr>
        <w:t>.2磋商小组不接受供应商主动提出的澄清，采购人也不接受供应商主动承诺给予采购人赠品、回扣或者与采购无关的其他商品、服务。</w:t>
      </w:r>
    </w:p>
    <w:p w14:paraId="33C036DE">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eastAsia="zh-CN"/>
        </w:rPr>
        <w:t>2</w:t>
      </w:r>
      <w:r>
        <w:rPr>
          <w:rFonts w:hint="eastAsia" w:asciiTheme="minorEastAsia" w:hAnsiTheme="minorEastAsia" w:eastAsiaTheme="minorEastAsia" w:cstheme="minorEastAsia"/>
          <w:b/>
          <w:bCs/>
          <w:kern w:val="0"/>
          <w:sz w:val="24"/>
          <w:szCs w:val="24"/>
          <w:highlight w:val="none"/>
          <w:lang w:val="en-US" w:eastAsia="zh-CN"/>
        </w:rPr>
        <w:t>5.无效投标</w:t>
      </w:r>
    </w:p>
    <w:p w14:paraId="09FAF8C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25.1</w:t>
      </w:r>
      <w:r>
        <w:rPr>
          <w:rFonts w:hint="eastAsia" w:asciiTheme="minorEastAsia" w:hAnsiTheme="minorEastAsia" w:eastAsiaTheme="minorEastAsia" w:cstheme="minorEastAsia"/>
          <w:kern w:val="0"/>
          <w:sz w:val="24"/>
          <w:szCs w:val="24"/>
          <w:highlight w:val="none"/>
          <w:lang w:eastAsia="zh-CN"/>
        </w:rPr>
        <w:t>供应商或其响应文件存在下列情况之一的，投标无效:</w:t>
      </w:r>
    </w:p>
    <w:p w14:paraId="7148525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（1）不具备竞争性磋商文件中规定的资格要求的；</w:t>
      </w:r>
    </w:p>
    <w:p w14:paraId="761707A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（2）响应文件未按竞争性磋商文件要求签署、盖章的；</w:t>
      </w:r>
    </w:p>
    <w:p w14:paraId="4A858D4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（3）报价超过竞争性磋商文件中规定的采购限价的；；</w:t>
      </w:r>
    </w:p>
    <w:p w14:paraId="717F450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（4）非法定代表人签字而未提供其授权委托书的；</w:t>
      </w:r>
    </w:p>
    <w:p w14:paraId="2BC0F6D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（5）供应商提交的供货安装期、响应文件有效期等明显不符合竞争性磋商文件要求的；</w:t>
      </w:r>
    </w:p>
    <w:p w14:paraId="57729DC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（6）响应文件含有采购人不能接受的附加条件的；</w:t>
      </w:r>
    </w:p>
    <w:p w14:paraId="591457A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（7）响应文件不实质性响应竞争性磋商文件要求的；</w:t>
      </w:r>
    </w:p>
    <w:p w14:paraId="22C6986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lang w:eastAsia="zh-CN"/>
        </w:rPr>
        <w:t>）法律法规和竞争性磋商文件规定的其他无效情形。</w:t>
      </w:r>
    </w:p>
    <w:p w14:paraId="0425E56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5.2</w:t>
      </w:r>
      <w:r>
        <w:rPr>
          <w:rFonts w:hint="eastAsia" w:asciiTheme="minorEastAsia" w:hAnsiTheme="minorEastAsia" w:eastAsiaTheme="minorEastAsia" w:cstheme="minorEastAsia"/>
          <w:kern w:val="0"/>
          <w:sz w:val="24"/>
          <w:szCs w:val="24"/>
          <w:highlight w:val="none"/>
          <w:lang w:eastAsia="zh-CN"/>
        </w:rPr>
        <w:t>串通投标</w:t>
      </w:r>
    </w:p>
    <w:p w14:paraId="04C9B83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供应商出现串标或影响采购的违法行为时，采购人将严格按照相关法律、法规及规章制度的规定行使权利，给采购人、代理机构造成损失的，采购人、代理机构有索赔的权利，供应商应予以赔偿。</w:t>
      </w:r>
    </w:p>
    <w:p w14:paraId="7F91838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5.2.1</w:t>
      </w:r>
      <w:r>
        <w:rPr>
          <w:rFonts w:hint="eastAsia" w:asciiTheme="minorEastAsia" w:hAnsiTheme="minorEastAsia" w:eastAsiaTheme="minorEastAsia" w:cstheme="minorEastAsia"/>
          <w:kern w:val="0"/>
          <w:sz w:val="24"/>
          <w:szCs w:val="24"/>
          <w:highlight w:val="none"/>
          <w:lang w:eastAsia="zh-CN"/>
        </w:rPr>
        <w:t>有下列情形之一的，属于供应商相互串通投标；</w:t>
      </w:r>
    </w:p>
    <w:p w14:paraId="6696461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（1）供应商之间协商报价等响应文件的实质性内容；</w:t>
      </w:r>
    </w:p>
    <w:p w14:paraId="29F3995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（2）供应商之间约定成交供应商；</w:t>
      </w:r>
    </w:p>
    <w:p w14:paraId="531A098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（3）供应商之间约定部分供应商放弃投标或者成交；</w:t>
      </w:r>
    </w:p>
    <w:p w14:paraId="4735713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（4）属于同一集团、协会、商会等组织成员的供应商按照该组织要求协同投标；</w:t>
      </w:r>
    </w:p>
    <w:p w14:paraId="3D3940B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（5）供应商之间为谋取成交或者排斥特定供应商而采取的其他联合行动。</w:t>
      </w:r>
    </w:p>
    <w:p w14:paraId="5D5929D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lang w:eastAsia="zh-CN"/>
        </w:rPr>
        <w:t>）不同供应商的响应文件由同一单位或者个人编制，电子响应文件的文件制作机器码（如CPU 编码、硬盘编码、MAC 地址）存在两项及以上一致的（以交易平台评标系统的计算机信息为准）；</w:t>
      </w:r>
    </w:p>
    <w:p w14:paraId="0F929B9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lang w:eastAsia="zh-CN"/>
        </w:rPr>
        <w:t>）不同供应商委托同一单位或者个人办理投标事宜；</w:t>
      </w:r>
    </w:p>
    <w:p w14:paraId="2926303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lang w:eastAsia="zh-CN"/>
        </w:rPr>
        <w:t>）不同供应商的响应文件载明的项目管理成员为同一人；</w:t>
      </w:r>
    </w:p>
    <w:p w14:paraId="4B4FCFA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lang w:eastAsia="zh-CN"/>
        </w:rPr>
        <w:t>）不同供应商的响应文件异常一致或者报价呈规律性差异；</w:t>
      </w:r>
    </w:p>
    <w:p w14:paraId="4E8409F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lang w:eastAsia="zh-CN"/>
        </w:rPr>
        <w:t>）不同供应商的响应文件相互混装等；</w:t>
      </w:r>
    </w:p>
    <w:p w14:paraId="270477A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5.2.2</w:t>
      </w:r>
      <w:r>
        <w:rPr>
          <w:rFonts w:hint="eastAsia" w:asciiTheme="minorEastAsia" w:hAnsiTheme="minorEastAsia" w:eastAsiaTheme="minorEastAsia" w:cstheme="minorEastAsia"/>
          <w:kern w:val="0"/>
          <w:sz w:val="24"/>
          <w:szCs w:val="24"/>
          <w:highlight w:val="none"/>
          <w:lang w:eastAsia="zh-CN"/>
        </w:rPr>
        <w:t>有下列情形之一的，属于采购人与供应商串通投标；</w:t>
      </w:r>
    </w:p>
    <w:p w14:paraId="7E821BC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（1）采购人在开标前开启响应文件并将有关信息泄露给其他供应商；</w:t>
      </w:r>
    </w:p>
    <w:p w14:paraId="3175318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（2）采购人直接或者间接向供应商泄露标底、磋商小组成员信息；</w:t>
      </w:r>
    </w:p>
    <w:p w14:paraId="0A69E8E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（3）采购人明示或者暗示供应商压低或者抬高报价；</w:t>
      </w:r>
    </w:p>
    <w:p w14:paraId="53FD971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（4）采购人授意供应商撤换、修改竞争性磋商文件；</w:t>
      </w:r>
    </w:p>
    <w:p w14:paraId="0F54F3B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（5）采购人明示或者暗示供应商为特定供应商成交提供方便；</w:t>
      </w:r>
    </w:p>
    <w:p w14:paraId="2DABC2D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（6）采购人与供应商为谋求特定供应商成交而采取的其他串通行为。</w:t>
      </w:r>
    </w:p>
    <w:p w14:paraId="6143BA7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5.2.3</w:t>
      </w:r>
      <w:r>
        <w:rPr>
          <w:rFonts w:hint="eastAsia" w:asciiTheme="minorEastAsia" w:hAnsiTheme="minorEastAsia" w:eastAsiaTheme="minorEastAsia" w:cstheme="minorEastAsia"/>
          <w:kern w:val="0"/>
          <w:sz w:val="24"/>
          <w:szCs w:val="24"/>
          <w:highlight w:val="none"/>
          <w:lang w:eastAsia="zh-CN"/>
        </w:rPr>
        <w:t>禁止通过受让或者租借等方式获取的资格、资质证书或以他人名义投标。</w:t>
      </w:r>
    </w:p>
    <w:p w14:paraId="070BAB1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5.2.4</w:t>
      </w:r>
      <w:r>
        <w:rPr>
          <w:rFonts w:hint="eastAsia" w:asciiTheme="minorEastAsia" w:hAnsiTheme="minorEastAsia" w:eastAsiaTheme="minorEastAsia" w:cstheme="minorEastAsia"/>
          <w:kern w:val="0"/>
          <w:sz w:val="24"/>
          <w:szCs w:val="24"/>
          <w:highlight w:val="none"/>
          <w:lang w:eastAsia="zh-CN"/>
        </w:rPr>
        <w:t>供应商有下列情形之一的，属于以其他方式弄虚作假的行为：</w:t>
      </w:r>
    </w:p>
    <w:p w14:paraId="292129A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（1）使用伪造、变造的许可证件；</w:t>
      </w:r>
    </w:p>
    <w:p w14:paraId="5860EBE4">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（2）提供虚假的财务状况或者业绩；</w:t>
      </w:r>
    </w:p>
    <w:p w14:paraId="37F2FAF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（3）提供虚假的项目负责人或者主要技术人员简历、劳动关系证明；</w:t>
      </w:r>
    </w:p>
    <w:p w14:paraId="6923AD5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（4）提供虚假的信用状况；</w:t>
      </w:r>
    </w:p>
    <w:p w14:paraId="7D4A92C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（5）其他弄虚作假的行为。</w:t>
      </w:r>
    </w:p>
    <w:p w14:paraId="311E6346">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2</w:t>
      </w:r>
      <w:r>
        <w:rPr>
          <w:rFonts w:hint="eastAsia" w:asciiTheme="minorEastAsia" w:hAnsiTheme="minorEastAsia" w:eastAsiaTheme="minorEastAsia" w:cstheme="minorEastAsia"/>
          <w:b/>
          <w:bCs/>
          <w:kern w:val="0"/>
          <w:sz w:val="24"/>
          <w:szCs w:val="24"/>
          <w:highlight w:val="none"/>
          <w:lang w:val="en-US" w:eastAsia="zh-CN"/>
        </w:rPr>
        <w:t>6</w:t>
      </w:r>
      <w:r>
        <w:rPr>
          <w:rFonts w:hint="eastAsia" w:asciiTheme="minorEastAsia" w:hAnsiTheme="minorEastAsia" w:eastAsiaTheme="minorEastAsia" w:cstheme="minorEastAsia"/>
          <w:b/>
          <w:bCs/>
          <w:kern w:val="0"/>
          <w:sz w:val="24"/>
          <w:szCs w:val="24"/>
          <w:highlight w:val="none"/>
          <w:lang w:eastAsia="zh-CN"/>
        </w:rPr>
        <w:t>.特殊情况下的评标方法</w:t>
      </w:r>
    </w:p>
    <w:p w14:paraId="7E75727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lang w:eastAsia="zh-CN"/>
        </w:rPr>
        <w:t>.1如出现有效投标的供应商达不到法定数量、串通投标以及供应商互相诋毁，导致磋商小组无法评标时，磋商小组有权否决所有投标。</w:t>
      </w:r>
    </w:p>
    <w:p w14:paraId="6A63651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lang w:eastAsia="zh-CN"/>
        </w:rPr>
        <w:t>.2磋商小组发现竞争性磋商文件存在歧义、重大缺陷导致评标工作无法进行，或者竞争性磋商文件内容违反国家有关强制性规定的，应当停止评标工作，与采购人或者代理机构沟通并作书面记录。采购人或者代理机构确认后，应当修改竞争性磋商文件，重新组织采购活动。</w:t>
      </w:r>
    </w:p>
    <w:p w14:paraId="0ABD87EC">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2</w:t>
      </w:r>
      <w:r>
        <w:rPr>
          <w:rFonts w:hint="eastAsia" w:asciiTheme="minorEastAsia" w:hAnsiTheme="minorEastAsia" w:eastAsiaTheme="minorEastAsia" w:cstheme="minorEastAsia"/>
          <w:b/>
          <w:bCs/>
          <w:kern w:val="0"/>
          <w:sz w:val="24"/>
          <w:szCs w:val="24"/>
          <w:highlight w:val="none"/>
          <w:lang w:val="en-US" w:eastAsia="zh-CN"/>
        </w:rPr>
        <w:t>7</w:t>
      </w:r>
      <w:r>
        <w:rPr>
          <w:rFonts w:hint="eastAsia" w:asciiTheme="minorEastAsia" w:hAnsiTheme="minorEastAsia" w:eastAsiaTheme="minorEastAsia" w:cstheme="minorEastAsia"/>
          <w:b/>
          <w:bCs/>
          <w:kern w:val="0"/>
          <w:sz w:val="24"/>
          <w:szCs w:val="24"/>
          <w:highlight w:val="none"/>
          <w:lang w:eastAsia="zh-CN"/>
        </w:rPr>
        <w:t>.供应商投标瑕疵滞后的处理</w:t>
      </w:r>
    </w:p>
    <w:p w14:paraId="080EB08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无论基于何种原因，各项本应作拒绝处理的情形即便未被及时发现而使该供应商进入初审、综合评审或其他后续程序，包括已经签订合同的情形，一旦发现，采购人均有权随时视情形决定是否取消该供应商的此前评议结果，或随时视情形决定是否对该投标予以拒绝，并有权决定采取相应的补救或纠正措施。一旦该供应商被拒绝或被取消该供应商的此前评议结果，相关的一切损失均由该供应商自行承担。</w:t>
      </w:r>
    </w:p>
    <w:p w14:paraId="0B5663E3">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2</w:t>
      </w:r>
      <w:r>
        <w:rPr>
          <w:rFonts w:hint="eastAsia" w:asciiTheme="minorEastAsia" w:hAnsiTheme="minorEastAsia" w:eastAsiaTheme="minorEastAsia" w:cstheme="minorEastAsia"/>
          <w:b/>
          <w:bCs/>
          <w:kern w:val="0"/>
          <w:sz w:val="24"/>
          <w:szCs w:val="24"/>
          <w:highlight w:val="none"/>
          <w:lang w:val="en-US" w:eastAsia="zh-CN"/>
        </w:rPr>
        <w:t>8</w:t>
      </w:r>
      <w:r>
        <w:rPr>
          <w:rFonts w:hint="eastAsia" w:asciiTheme="minorEastAsia" w:hAnsiTheme="minorEastAsia" w:eastAsiaTheme="minorEastAsia" w:cstheme="minorEastAsia"/>
          <w:b/>
          <w:bCs/>
          <w:kern w:val="0"/>
          <w:sz w:val="24"/>
          <w:szCs w:val="24"/>
          <w:highlight w:val="none"/>
          <w:lang w:eastAsia="zh-CN"/>
        </w:rPr>
        <w:t>.编制评标报告</w:t>
      </w:r>
    </w:p>
    <w:p w14:paraId="5EF1C68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lang w:eastAsia="zh-CN"/>
        </w:rPr>
        <w:t>.1磋商小组向采购人提交评标报告。评标报告应当由全体磋商小组成员签字，并于评标结束时抄送采购人。</w:t>
      </w:r>
    </w:p>
    <w:p w14:paraId="1C575F9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bookmarkStart w:id="166" w:name="_Toc28786"/>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lang w:eastAsia="zh-CN"/>
        </w:rPr>
        <w:t>.2评标报告由磋商小组全体成员签字。对评标结论持有异议的磋商小组成员可以书面形式阐述其不同意见和理由。磋商小组成员拒绝在评标报告上签字且不陈述其不同意见和理由的，视为同意评标结论。磋商小组应当对此作出书面说明并记录在案。</w:t>
      </w:r>
      <w:bookmarkEnd w:id="166"/>
    </w:p>
    <w:p w14:paraId="2B1C80DA">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center"/>
        <w:textAlignment w:val="auto"/>
        <w:outlineLvl w:val="3"/>
        <w:rPr>
          <w:rFonts w:hint="eastAsia" w:asciiTheme="minorEastAsia" w:hAnsiTheme="minorEastAsia" w:eastAsiaTheme="minorEastAsia" w:cstheme="minorEastAsia"/>
          <w:b/>
          <w:bCs/>
          <w:kern w:val="0"/>
          <w:sz w:val="24"/>
          <w:szCs w:val="24"/>
          <w:highlight w:val="none"/>
          <w:lang w:eastAsia="zh-CN"/>
        </w:rPr>
      </w:pPr>
      <w:bookmarkStart w:id="167" w:name="_Toc5313"/>
      <w:r>
        <w:rPr>
          <w:rFonts w:hint="eastAsia" w:asciiTheme="minorEastAsia" w:hAnsiTheme="minorEastAsia" w:eastAsiaTheme="minorEastAsia" w:cstheme="minorEastAsia"/>
          <w:b/>
          <w:bCs/>
          <w:kern w:val="0"/>
          <w:sz w:val="24"/>
          <w:szCs w:val="24"/>
          <w:highlight w:val="none"/>
          <w:lang w:eastAsia="zh-CN"/>
        </w:rPr>
        <w:t>五</w:t>
      </w:r>
      <w:r>
        <w:rPr>
          <w:rFonts w:hint="eastAsia" w:asciiTheme="minorEastAsia" w:hAnsiTheme="minorEastAsia" w:eastAsiaTheme="minorEastAsia" w:cstheme="minorEastAsia"/>
          <w:b/>
          <w:bCs/>
          <w:kern w:val="0"/>
          <w:sz w:val="24"/>
          <w:szCs w:val="24"/>
          <w:highlight w:val="none"/>
        </w:rPr>
        <w:t>、</w:t>
      </w:r>
      <w:r>
        <w:rPr>
          <w:rFonts w:hint="eastAsia" w:asciiTheme="minorEastAsia" w:hAnsiTheme="minorEastAsia" w:eastAsiaTheme="minorEastAsia" w:cstheme="minorEastAsia"/>
          <w:b/>
          <w:bCs/>
          <w:kern w:val="0"/>
          <w:sz w:val="24"/>
          <w:szCs w:val="24"/>
          <w:highlight w:val="none"/>
          <w:lang w:eastAsia="zh-CN"/>
        </w:rPr>
        <w:t>成交与签订合同</w:t>
      </w:r>
      <w:bookmarkEnd w:id="167"/>
    </w:p>
    <w:p w14:paraId="111AB146">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2</w:t>
      </w:r>
      <w:r>
        <w:rPr>
          <w:rFonts w:hint="eastAsia" w:asciiTheme="minorEastAsia" w:hAnsiTheme="minorEastAsia" w:eastAsiaTheme="minorEastAsia" w:cstheme="minorEastAsia"/>
          <w:b/>
          <w:bCs/>
          <w:kern w:val="0"/>
          <w:sz w:val="24"/>
          <w:szCs w:val="24"/>
          <w:highlight w:val="none"/>
          <w:lang w:val="en-US" w:eastAsia="zh-CN"/>
        </w:rPr>
        <w:t>9</w:t>
      </w:r>
      <w:r>
        <w:rPr>
          <w:rFonts w:hint="eastAsia" w:asciiTheme="minorEastAsia" w:hAnsiTheme="minorEastAsia" w:eastAsiaTheme="minorEastAsia" w:cstheme="minorEastAsia"/>
          <w:b/>
          <w:bCs/>
          <w:kern w:val="0"/>
          <w:sz w:val="24"/>
          <w:szCs w:val="24"/>
          <w:highlight w:val="none"/>
          <w:lang w:eastAsia="zh-CN"/>
        </w:rPr>
        <w:t>.确定成交供应商</w:t>
      </w:r>
    </w:p>
    <w:p w14:paraId="1438BEF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lang w:eastAsia="zh-CN"/>
        </w:rPr>
        <w:t>.1磋商小组按照综合得分由高到低顺序排列，推荐前三名成交候选供应商。采购人一般应当确定排名第一的成交候选供应商为成交供应商，当排名第一的成交候选供应商放弃成交或因不可抗力提出不能履行合同时，采购人可以顺延排名第二的成交候选供应商为成交供应商，也可以重新组织采购。</w:t>
      </w:r>
    </w:p>
    <w:p w14:paraId="4588CEA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lang w:eastAsia="zh-CN"/>
        </w:rPr>
        <w:t>.2采购代理机构应当在评标结束之日起2个工作日内将评标报告送采购人。</w:t>
      </w:r>
    </w:p>
    <w:p w14:paraId="27B52C3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w:t>
      </w: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lang w:eastAsia="zh-CN"/>
        </w:rPr>
        <w:t>.2采购人应当在收到评标报告之日起5个工作日内，在评标报告确定的成交候选供应商名单中按顺序确定成交供应商。</w:t>
      </w:r>
    </w:p>
    <w:p w14:paraId="7FBB00A2">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val="en-US" w:eastAsia="zh-CN"/>
        </w:rPr>
        <w:t>30.</w:t>
      </w:r>
      <w:r>
        <w:rPr>
          <w:rFonts w:hint="eastAsia" w:asciiTheme="minorEastAsia" w:hAnsiTheme="minorEastAsia" w:eastAsiaTheme="minorEastAsia" w:cstheme="minorEastAsia"/>
          <w:b/>
          <w:bCs/>
          <w:kern w:val="0"/>
          <w:sz w:val="24"/>
          <w:szCs w:val="24"/>
          <w:highlight w:val="none"/>
          <w:lang w:eastAsia="zh-CN"/>
        </w:rPr>
        <w:t>流标</w:t>
      </w:r>
    </w:p>
    <w:p w14:paraId="1D9C01E4">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有下列情形之一，本项目将予以流标：</w:t>
      </w:r>
    </w:p>
    <w:p w14:paraId="30AC7BD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1）在投标截止时间结束后参加投标的供应商不足3家的；</w:t>
      </w:r>
    </w:p>
    <w:p w14:paraId="3EBC917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2）符合竞争性磋商文件规定条件的供应商不足3家或者对竞争性磋商文件作实质性响应的供应商不足3家的；</w:t>
      </w:r>
    </w:p>
    <w:p w14:paraId="152A19B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3）出现影响采购公正的违法违规行为的；</w:t>
      </w:r>
    </w:p>
    <w:p w14:paraId="78C0808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4）供应商的报价均超过采购预算的；</w:t>
      </w:r>
    </w:p>
    <w:p w14:paraId="537F6A2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5）因重大变故，采购任务取消的；</w:t>
      </w:r>
    </w:p>
    <w:p w14:paraId="658883C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6）法律、法规及竞争性磋商文件规定的其他情况。</w:t>
      </w:r>
    </w:p>
    <w:bookmarkEnd w:id="152"/>
    <w:bookmarkEnd w:id="153"/>
    <w:bookmarkEnd w:id="154"/>
    <w:bookmarkEnd w:id="155"/>
    <w:bookmarkEnd w:id="156"/>
    <w:bookmarkEnd w:id="157"/>
    <w:bookmarkEnd w:id="158"/>
    <w:bookmarkEnd w:id="159"/>
    <w:p w14:paraId="74F34743">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lang w:val="en-US" w:eastAsia="zh-CN"/>
        </w:rPr>
        <w:t>31</w:t>
      </w:r>
      <w:r>
        <w:rPr>
          <w:rFonts w:hint="eastAsia" w:asciiTheme="minorEastAsia" w:hAnsiTheme="minorEastAsia" w:eastAsiaTheme="minorEastAsia" w:cstheme="minorEastAsia"/>
          <w:b/>
          <w:bCs/>
          <w:kern w:val="0"/>
          <w:sz w:val="24"/>
          <w:szCs w:val="24"/>
          <w:highlight w:val="none"/>
        </w:rPr>
        <w:t>.</w:t>
      </w:r>
      <w:r>
        <w:rPr>
          <w:rFonts w:hint="eastAsia" w:asciiTheme="minorEastAsia" w:hAnsiTheme="minorEastAsia" w:eastAsiaTheme="minorEastAsia" w:cstheme="minorEastAsia"/>
          <w:b/>
          <w:bCs/>
          <w:kern w:val="0"/>
          <w:sz w:val="24"/>
          <w:szCs w:val="24"/>
          <w:highlight w:val="none"/>
          <w:lang w:eastAsia="zh-CN"/>
        </w:rPr>
        <w:t>成交</w:t>
      </w:r>
      <w:r>
        <w:rPr>
          <w:rFonts w:hint="eastAsia" w:asciiTheme="minorEastAsia" w:hAnsiTheme="minorEastAsia" w:eastAsiaTheme="minorEastAsia" w:cstheme="minorEastAsia"/>
          <w:b/>
          <w:bCs/>
          <w:kern w:val="0"/>
          <w:sz w:val="24"/>
          <w:szCs w:val="24"/>
          <w:highlight w:val="none"/>
        </w:rPr>
        <w:t>公告</w:t>
      </w:r>
    </w:p>
    <w:p w14:paraId="7C88B39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31</w:t>
      </w: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确定</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后，</w:t>
      </w:r>
      <w:r>
        <w:rPr>
          <w:rFonts w:hint="eastAsia" w:asciiTheme="minorEastAsia" w:hAnsiTheme="minorEastAsia" w:eastAsiaTheme="minorEastAsia" w:cstheme="minorEastAsia"/>
          <w:kern w:val="0"/>
          <w:sz w:val="24"/>
          <w:szCs w:val="24"/>
          <w:highlight w:val="none"/>
          <w:lang w:eastAsia="zh-CN"/>
        </w:rPr>
        <w:t>代理机构</w:t>
      </w:r>
      <w:r>
        <w:rPr>
          <w:rFonts w:hint="eastAsia" w:asciiTheme="minorEastAsia" w:hAnsiTheme="minorEastAsia" w:eastAsiaTheme="minorEastAsia" w:cstheme="minorEastAsia"/>
          <w:kern w:val="0"/>
          <w:sz w:val="24"/>
          <w:szCs w:val="24"/>
          <w:highlight w:val="none"/>
        </w:rPr>
        <w:t>将在发布</w:t>
      </w:r>
      <w:r>
        <w:rPr>
          <w:rFonts w:hint="eastAsia" w:asciiTheme="minorEastAsia" w:hAnsiTheme="minorEastAsia" w:eastAsiaTheme="minorEastAsia" w:cstheme="minorEastAsia"/>
          <w:kern w:val="0"/>
          <w:sz w:val="24"/>
          <w:szCs w:val="24"/>
          <w:highlight w:val="none"/>
          <w:lang w:eastAsia="zh-CN"/>
        </w:rPr>
        <w:t>竞争性磋商公告</w:t>
      </w:r>
      <w:r>
        <w:rPr>
          <w:rFonts w:hint="eastAsia" w:asciiTheme="minorEastAsia" w:hAnsiTheme="minorEastAsia" w:eastAsiaTheme="minorEastAsia" w:cstheme="minorEastAsia"/>
          <w:kern w:val="0"/>
          <w:sz w:val="24"/>
          <w:szCs w:val="24"/>
          <w:highlight w:val="none"/>
        </w:rPr>
        <w:t>的同一媒体发布</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公告</w:t>
      </w:r>
      <w:r>
        <w:rPr>
          <w:rFonts w:hint="eastAsia" w:asciiTheme="minorEastAsia" w:hAnsiTheme="minorEastAsia" w:eastAsiaTheme="minorEastAsia" w:cstheme="minorEastAsia"/>
          <w:kern w:val="0"/>
          <w:sz w:val="24"/>
          <w:szCs w:val="24"/>
          <w:highlight w:val="none"/>
          <w:lang w:eastAsia="zh-CN"/>
        </w:rPr>
        <w:t>，成交公示期为</w:t>
      </w:r>
      <w:r>
        <w:rPr>
          <w:rFonts w:hint="eastAsia" w:asciiTheme="minorEastAsia" w:hAnsiTheme="minorEastAsia" w:eastAsiaTheme="minorEastAsia" w:cstheme="minorEastAsia"/>
          <w:kern w:val="0"/>
          <w:sz w:val="24"/>
          <w:szCs w:val="24"/>
          <w:highlight w:val="none"/>
          <w:lang w:val="en-US" w:eastAsia="zh-CN"/>
        </w:rPr>
        <w:t>1个工作日</w:t>
      </w:r>
      <w:r>
        <w:rPr>
          <w:rFonts w:hint="eastAsia" w:asciiTheme="minorEastAsia" w:hAnsiTheme="minorEastAsia" w:eastAsiaTheme="minorEastAsia" w:cstheme="minorEastAsia"/>
          <w:kern w:val="0"/>
          <w:sz w:val="24"/>
          <w:szCs w:val="24"/>
          <w:highlight w:val="none"/>
        </w:rPr>
        <w:t>。</w:t>
      </w:r>
    </w:p>
    <w:p w14:paraId="614938E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31</w:t>
      </w:r>
      <w:r>
        <w:rPr>
          <w:rFonts w:hint="eastAsia" w:asciiTheme="minorEastAsia" w:hAnsiTheme="minorEastAsia" w:eastAsiaTheme="minorEastAsia" w:cstheme="minorEastAsia"/>
          <w:kern w:val="0"/>
          <w:sz w:val="24"/>
          <w:szCs w:val="24"/>
          <w:highlight w:val="none"/>
        </w:rPr>
        <w:t>.2</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或者</w:t>
      </w:r>
      <w:r>
        <w:rPr>
          <w:rFonts w:hint="eastAsia" w:asciiTheme="minorEastAsia" w:hAnsiTheme="minorEastAsia" w:eastAsiaTheme="minorEastAsia" w:cstheme="minorEastAsia"/>
          <w:kern w:val="0"/>
          <w:sz w:val="24"/>
          <w:szCs w:val="24"/>
          <w:highlight w:val="none"/>
          <w:lang w:eastAsia="zh-CN"/>
        </w:rPr>
        <w:t>采购代理机构</w:t>
      </w:r>
      <w:r>
        <w:rPr>
          <w:rFonts w:hint="eastAsia" w:asciiTheme="minorEastAsia" w:hAnsiTheme="minorEastAsia" w:eastAsiaTheme="minorEastAsia" w:cstheme="minorEastAsia"/>
          <w:kern w:val="0"/>
          <w:sz w:val="24"/>
          <w:szCs w:val="24"/>
          <w:highlight w:val="none"/>
        </w:rPr>
        <w:t>应当自发布</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公告的同时，发出</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通知书，</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通知书对</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和</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具有同等法律效力。</w:t>
      </w:r>
    </w:p>
    <w:p w14:paraId="6894269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31</w:t>
      </w: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通知书发出后，</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无正当理由不得放弃</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，否则三年内禁止参加任何招标</w:t>
      </w:r>
      <w:r>
        <w:rPr>
          <w:rFonts w:hint="eastAsia" w:asciiTheme="minorEastAsia" w:hAnsiTheme="minorEastAsia" w:eastAsiaTheme="minorEastAsia" w:cstheme="minorEastAsia"/>
          <w:kern w:val="0"/>
          <w:sz w:val="24"/>
          <w:szCs w:val="24"/>
          <w:highlight w:val="none"/>
          <w:lang w:eastAsia="zh-CN"/>
        </w:rPr>
        <w:t>采购</w:t>
      </w:r>
      <w:r>
        <w:rPr>
          <w:rFonts w:hint="eastAsia" w:asciiTheme="minorEastAsia" w:hAnsiTheme="minorEastAsia" w:eastAsiaTheme="minorEastAsia" w:cstheme="minorEastAsia"/>
          <w:kern w:val="0"/>
          <w:sz w:val="24"/>
          <w:szCs w:val="24"/>
          <w:highlight w:val="none"/>
        </w:rPr>
        <w:t>活动。</w:t>
      </w:r>
    </w:p>
    <w:p w14:paraId="336758E5">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rPr>
      </w:pPr>
      <w:bookmarkStart w:id="168" w:name="_Toc2343"/>
      <w:bookmarkStart w:id="169" w:name="_Toc18303"/>
      <w:bookmarkStart w:id="170" w:name="_Toc12613400"/>
      <w:bookmarkStart w:id="171" w:name="_Toc10784"/>
      <w:bookmarkStart w:id="172" w:name="_Toc508784353"/>
      <w:bookmarkStart w:id="173" w:name="_Toc13581208"/>
      <w:bookmarkStart w:id="174" w:name="_Toc12613436"/>
      <w:bookmarkStart w:id="175" w:name="_Toc9845233"/>
      <w:bookmarkStart w:id="176" w:name="_Toc6916068"/>
      <w:r>
        <w:rPr>
          <w:rFonts w:hint="eastAsia" w:asciiTheme="minorEastAsia" w:hAnsiTheme="minorEastAsia" w:eastAsiaTheme="minorEastAsia" w:cstheme="minorEastAsia"/>
          <w:b/>
          <w:bCs/>
          <w:kern w:val="0"/>
          <w:sz w:val="24"/>
          <w:szCs w:val="24"/>
          <w:highlight w:val="none"/>
          <w:lang w:val="en-US" w:eastAsia="zh-CN"/>
        </w:rPr>
        <w:t>32.</w:t>
      </w:r>
      <w:r>
        <w:rPr>
          <w:rFonts w:hint="eastAsia" w:asciiTheme="minorEastAsia" w:hAnsiTheme="minorEastAsia" w:eastAsiaTheme="minorEastAsia" w:cstheme="minorEastAsia"/>
          <w:b/>
          <w:bCs/>
          <w:kern w:val="0"/>
          <w:sz w:val="24"/>
          <w:szCs w:val="24"/>
          <w:highlight w:val="none"/>
        </w:rPr>
        <w:t>授予合同</w:t>
      </w:r>
      <w:bookmarkEnd w:id="168"/>
      <w:bookmarkEnd w:id="169"/>
      <w:bookmarkEnd w:id="170"/>
      <w:bookmarkEnd w:id="171"/>
      <w:bookmarkEnd w:id="172"/>
      <w:bookmarkEnd w:id="173"/>
      <w:bookmarkEnd w:id="174"/>
      <w:bookmarkEnd w:id="175"/>
      <w:bookmarkEnd w:id="176"/>
    </w:p>
    <w:p w14:paraId="5929870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bookmarkStart w:id="177" w:name="_Toc28834"/>
      <w:bookmarkStart w:id="178" w:name="_Toc28136"/>
      <w:bookmarkStart w:id="179" w:name="_Toc11893"/>
      <w:bookmarkStart w:id="180" w:name="_Toc19288"/>
      <w:bookmarkStart w:id="181" w:name="_Toc346306762"/>
      <w:bookmarkStart w:id="182" w:name="_Toc346372909"/>
      <w:bookmarkStart w:id="183" w:name="_Toc352332883"/>
      <w:r>
        <w:rPr>
          <w:rFonts w:hint="eastAsia" w:asciiTheme="minorEastAsia" w:hAnsiTheme="minorEastAsia" w:eastAsiaTheme="minorEastAsia" w:cstheme="minorEastAsia"/>
          <w:kern w:val="0"/>
          <w:sz w:val="24"/>
          <w:szCs w:val="24"/>
          <w:highlight w:val="none"/>
          <w:lang w:val="en-US" w:eastAsia="zh-CN"/>
        </w:rPr>
        <w:t>32</w:t>
      </w: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与</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应当自</w:t>
      </w:r>
      <w:r>
        <w:rPr>
          <w:rFonts w:hint="eastAsia" w:asciiTheme="minorEastAsia" w:hAnsiTheme="minorEastAsia" w:eastAsiaTheme="minorEastAsia" w:cstheme="minorEastAsia"/>
          <w:kern w:val="0"/>
          <w:sz w:val="24"/>
          <w:szCs w:val="24"/>
          <w:highlight w:val="none"/>
          <w:lang w:eastAsia="zh-CN"/>
        </w:rPr>
        <w:t>成交通知书</w:t>
      </w:r>
      <w:r>
        <w:rPr>
          <w:rFonts w:hint="eastAsia" w:asciiTheme="minorEastAsia" w:hAnsiTheme="minorEastAsia" w:eastAsiaTheme="minorEastAsia" w:cstheme="minorEastAsia"/>
          <w:kern w:val="0"/>
          <w:sz w:val="24"/>
          <w:szCs w:val="24"/>
          <w:highlight w:val="none"/>
        </w:rPr>
        <w:t>发出之日起</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0日内，按照</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和</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确定的事项签订合同。</w:t>
      </w:r>
      <w:bookmarkEnd w:id="177"/>
      <w:bookmarkEnd w:id="178"/>
      <w:bookmarkEnd w:id="179"/>
      <w:bookmarkEnd w:id="180"/>
    </w:p>
    <w:p w14:paraId="19852A5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bookmarkStart w:id="184" w:name="_Toc23626"/>
      <w:bookmarkStart w:id="185" w:name="_Toc29957"/>
      <w:bookmarkStart w:id="186" w:name="_Toc7498"/>
      <w:bookmarkStart w:id="187" w:name="_Toc9056"/>
      <w:r>
        <w:rPr>
          <w:rFonts w:hint="eastAsia" w:asciiTheme="minorEastAsia" w:hAnsiTheme="minorEastAsia" w:eastAsiaTheme="minorEastAsia" w:cstheme="minorEastAsia"/>
          <w:kern w:val="0"/>
          <w:sz w:val="24"/>
          <w:szCs w:val="24"/>
          <w:highlight w:val="none"/>
          <w:lang w:val="en-US" w:eastAsia="zh-CN"/>
        </w:rPr>
        <w:t>32</w:t>
      </w:r>
      <w:r>
        <w:rPr>
          <w:rFonts w:hint="eastAsia" w:asciiTheme="minorEastAsia" w:hAnsiTheme="minorEastAsia" w:eastAsiaTheme="minorEastAsia" w:cstheme="minorEastAsia"/>
          <w:kern w:val="0"/>
          <w:sz w:val="24"/>
          <w:szCs w:val="24"/>
          <w:highlight w:val="none"/>
        </w:rPr>
        <w:t>.2</w:t>
      </w:r>
      <w:bookmarkEnd w:id="184"/>
      <w:bookmarkEnd w:id="185"/>
      <w:bookmarkEnd w:id="186"/>
      <w:bookmarkEnd w:id="187"/>
      <w:bookmarkStart w:id="188" w:name="_Toc19285"/>
      <w:bookmarkStart w:id="189" w:name="_Toc14240"/>
      <w:bookmarkStart w:id="190" w:name="_Toc12519"/>
      <w:r>
        <w:rPr>
          <w:rFonts w:hint="eastAsia" w:asciiTheme="minorEastAsia" w:hAnsiTheme="minorEastAsia" w:eastAsiaTheme="minorEastAsia" w:cstheme="minorEastAsia"/>
          <w:kern w:val="0"/>
          <w:sz w:val="24"/>
          <w:szCs w:val="24"/>
          <w:highlight w:val="none"/>
        </w:rPr>
        <w:t>由于</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原因导致在</w:t>
      </w:r>
      <w:r>
        <w:rPr>
          <w:rFonts w:hint="eastAsia" w:asciiTheme="minorEastAsia" w:hAnsiTheme="minorEastAsia" w:eastAsiaTheme="minorEastAsia" w:cstheme="minorEastAsia"/>
          <w:kern w:val="0"/>
          <w:sz w:val="24"/>
          <w:szCs w:val="24"/>
          <w:highlight w:val="none"/>
          <w:lang w:eastAsia="zh-CN"/>
        </w:rPr>
        <w:t>成交通知书</w:t>
      </w:r>
      <w:r>
        <w:rPr>
          <w:rFonts w:hint="eastAsia" w:asciiTheme="minorEastAsia" w:hAnsiTheme="minorEastAsia" w:eastAsiaTheme="minorEastAsia" w:cstheme="minorEastAsia"/>
          <w:kern w:val="0"/>
          <w:sz w:val="24"/>
          <w:szCs w:val="24"/>
          <w:highlight w:val="none"/>
        </w:rPr>
        <w:t>发出后规定时间内不能与</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签订合同，则</w:t>
      </w:r>
      <w:r>
        <w:rPr>
          <w:rFonts w:hint="eastAsia" w:asciiTheme="minorEastAsia" w:hAnsiTheme="minorEastAsia" w:eastAsiaTheme="minorEastAsia" w:cstheme="minorEastAsia"/>
          <w:kern w:val="0"/>
          <w:sz w:val="24"/>
          <w:szCs w:val="24"/>
          <w:highlight w:val="none"/>
          <w:lang w:val="en-US" w:eastAsia="zh-CN"/>
        </w:rPr>
        <w:t>采购人</w:t>
      </w:r>
      <w:r>
        <w:rPr>
          <w:rFonts w:hint="eastAsia" w:asciiTheme="minorEastAsia" w:hAnsiTheme="minorEastAsia" w:eastAsiaTheme="minorEastAsia" w:cstheme="minorEastAsia"/>
          <w:kern w:val="0"/>
          <w:sz w:val="24"/>
          <w:szCs w:val="24"/>
          <w:highlight w:val="none"/>
        </w:rPr>
        <w:t>有权取消该</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的</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资格</w:t>
      </w:r>
      <w:bookmarkEnd w:id="181"/>
      <w:bookmarkEnd w:id="182"/>
      <w:bookmarkEnd w:id="183"/>
      <w:bookmarkEnd w:id="188"/>
      <w:bookmarkEnd w:id="189"/>
      <w:bookmarkEnd w:id="190"/>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给</w:t>
      </w:r>
      <w:r>
        <w:rPr>
          <w:rFonts w:hint="eastAsia" w:asciiTheme="minorEastAsia" w:hAnsiTheme="minorEastAsia" w:eastAsiaTheme="minorEastAsia" w:cstheme="minorEastAsia"/>
          <w:kern w:val="0"/>
          <w:sz w:val="24"/>
          <w:szCs w:val="24"/>
          <w:highlight w:val="none"/>
          <w:lang w:eastAsia="zh-CN"/>
        </w:rPr>
        <w:t>采购人造成</w:t>
      </w:r>
      <w:r>
        <w:rPr>
          <w:rFonts w:hint="eastAsia" w:asciiTheme="minorEastAsia" w:hAnsiTheme="minorEastAsia" w:eastAsiaTheme="minorEastAsia" w:cstheme="minorEastAsia"/>
          <w:kern w:val="0"/>
          <w:sz w:val="24"/>
          <w:szCs w:val="24"/>
          <w:highlight w:val="none"/>
        </w:rPr>
        <w:t>损失的，</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应当予以赔偿</w:t>
      </w:r>
    </w:p>
    <w:p w14:paraId="23225F3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在评标结束后至采购合同签订前，经查询</w:t>
      </w:r>
      <w:r>
        <w:rPr>
          <w:rFonts w:hint="eastAsia" w:asciiTheme="minorEastAsia" w:hAnsiTheme="minorEastAsia" w:eastAsiaTheme="minorEastAsia" w:cstheme="minorEastAsia"/>
          <w:kern w:val="0"/>
          <w:sz w:val="24"/>
          <w:szCs w:val="24"/>
          <w:highlight w:val="none"/>
          <w:lang w:eastAsia="zh-CN"/>
        </w:rPr>
        <w:t>成交供应商提供虚假资料、</w:t>
      </w:r>
      <w:r>
        <w:rPr>
          <w:rFonts w:hint="eastAsia" w:asciiTheme="minorEastAsia" w:hAnsiTheme="minorEastAsia" w:eastAsiaTheme="minorEastAsia" w:cstheme="minorEastAsia"/>
          <w:kern w:val="0"/>
          <w:sz w:val="24"/>
          <w:szCs w:val="24"/>
          <w:highlight w:val="none"/>
        </w:rPr>
        <w:t>存在不良信用记录</w:t>
      </w:r>
      <w:r>
        <w:rPr>
          <w:rFonts w:hint="eastAsia" w:asciiTheme="minorEastAsia" w:hAnsiTheme="minorEastAsia" w:eastAsiaTheme="minorEastAsia" w:cstheme="minorEastAsia"/>
          <w:kern w:val="0"/>
          <w:sz w:val="24"/>
          <w:szCs w:val="24"/>
          <w:highlight w:val="none"/>
          <w:lang w:eastAsia="zh-CN"/>
        </w:rPr>
        <w:t>等情况</w:t>
      </w:r>
      <w:r>
        <w:rPr>
          <w:rFonts w:hint="eastAsia" w:asciiTheme="minorEastAsia" w:hAnsiTheme="minorEastAsia" w:eastAsiaTheme="minorEastAsia" w:cstheme="minorEastAsia"/>
          <w:kern w:val="0"/>
          <w:sz w:val="24"/>
          <w:szCs w:val="24"/>
          <w:highlight w:val="none"/>
        </w:rPr>
        <w:t>的，</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有权取消</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的</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资格、收回</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通知书、不与</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签订采购合同而不承担违约责任</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可以按照评审报告推荐的</w:t>
      </w:r>
      <w:r>
        <w:rPr>
          <w:rFonts w:hint="eastAsia" w:asciiTheme="minorEastAsia" w:hAnsiTheme="minorEastAsia" w:eastAsiaTheme="minorEastAsia" w:cstheme="minorEastAsia"/>
          <w:kern w:val="0"/>
          <w:sz w:val="24"/>
          <w:szCs w:val="24"/>
          <w:highlight w:val="none"/>
          <w:lang w:eastAsia="zh-CN"/>
        </w:rPr>
        <w:t>成交候选供应商</w:t>
      </w:r>
      <w:r>
        <w:rPr>
          <w:rFonts w:hint="eastAsia" w:asciiTheme="minorEastAsia" w:hAnsiTheme="minorEastAsia" w:eastAsiaTheme="minorEastAsia" w:cstheme="minorEastAsia"/>
          <w:kern w:val="0"/>
          <w:sz w:val="24"/>
          <w:szCs w:val="24"/>
          <w:highlight w:val="none"/>
        </w:rPr>
        <w:t>名单排序，确定下一候选人为</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，也可以重新开展采购活动。</w:t>
      </w:r>
    </w:p>
    <w:p w14:paraId="3812188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kern w:val="0"/>
          <w:sz w:val="24"/>
          <w:szCs w:val="24"/>
          <w:highlight w:val="none"/>
          <w:lang w:val="en-US" w:eastAsia="zh-CN"/>
        </w:rPr>
        <w:t>2.4</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有下列情形之一的，</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有权取消其</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资格：</w:t>
      </w:r>
    </w:p>
    <w:p w14:paraId="5E7B726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后无正当理由不按规定与</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签订合同的；</w:t>
      </w:r>
    </w:p>
    <w:p w14:paraId="252CBBC4">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（2）将</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项目转让</w:t>
      </w:r>
      <w:r>
        <w:rPr>
          <w:rFonts w:hint="eastAsia" w:asciiTheme="minorEastAsia" w:hAnsiTheme="minorEastAsia" w:eastAsiaTheme="minorEastAsia" w:cstheme="minorEastAsia"/>
          <w:kern w:val="0"/>
          <w:sz w:val="24"/>
          <w:szCs w:val="24"/>
          <w:highlight w:val="none"/>
          <w:lang w:val="en-US" w:eastAsia="zh-CN"/>
        </w:rPr>
        <w:t>或</w:t>
      </w:r>
      <w:r>
        <w:rPr>
          <w:rFonts w:hint="eastAsia" w:asciiTheme="minorEastAsia" w:hAnsiTheme="minorEastAsia" w:eastAsiaTheme="minorEastAsia" w:cstheme="minorEastAsia"/>
          <w:kern w:val="0"/>
          <w:sz w:val="24"/>
          <w:szCs w:val="24"/>
          <w:highlight w:val="none"/>
        </w:rPr>
        <w:t>分包给他人的；</w:t>
      </w:r>
    </w:p>
    <w:p w14:paraId="5F6C715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（3）拒绝履行合同义务的。</w:t>
      </w:r>
    </w:p>
    <w:p w14:paraId="6E277316">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center"/>
        <w:textAlignment w:val="auto"/>
        <w:outlineLvl w:val="3"/>
        <w:rPr>
          <w:rFonts w:hint="eastAsia" w:asciiTheme="minorEastAsia" w:hAnsiTheme="minorEastAsia" w:eastAsiaTheme="minorEastAsia" w:cstheme="minorEastAsia"/>
          <w:b/>
          <w:bCs/>
          <w:kern w:val="0"/>
          <w:sz w:val="24"/>
          <w:szCs w:val="24"/>
          <w:highlight w:val="none"/>
        </w:rPr>
      </w:pPr>
      <w:bookmarkStart w:id="191" w:name="_Toc21006"/>
      <w:bookmarkStart w:id="192" w:name="_Toc30967"/>
      <w:bookmarkStart w:id="193" w:name="_Toc24556"/>
      <w:bookmarkStart w:id="194" w:name="_Toc16425"/>
      <w:bookmarkStart w:id="195" w:name="_Toc20677"/>
      <w:bookmarkStart w:id="196" w:name="_Toc2581"/>
      <w:bookmarkStart w:id="197" w:name="_Toc13280"/>
      <w:r>
        <w:rPr>
          <w:rFonts w:hint="eastAsia" w:asciiTheme="minorEastAsia" w:hAnsiTheme="minorEastAsia" w:eastAsiaTheme="minorEastAsia" w:cstheme="minorEastAsia"/>
          <w:b/>
          <w:bCs/>
          <w:kern w:val="0"/>
          <w:sz w:val="24"/>
          <w:szCs w:val="24"/>
          <w:highlight w:val="none"/>
          <w:lang w:eastAsia="zh-CN"/>
        </w:rPr>
        <w:t>六</w:t>
      </w:r>
      <w:r>
        <w:rPr>
          <w:rFonts w:hint="eastAsia" w:asciiTheme="minorEastAsia" w:hAnsiTheme="minorEastAsia" w:eastAsiaTheme="minorEastAsia" w:cstheme="minorEastAsia"/>
          <w:b/>
          <w:bCs/>
          <w:kern w:val="0"/>
          <w:sz w:val="24"/>
          <w:szCs w:val="24"/>
          <w:highlight w:val="none"/>
        </w:rPr>
        <w:t>、解释权</w:t>
      </w:r>
      <w:bookmarkEnd w:id="191"/>
      <w:bookmarkEnd w:id="192"/>
      <w:bookmarkEnd w:id="193"/>
      <w:bookmarkEnd w:id="194"/>
      <w:bookmarkEnd w:id="195"/>
      <w:bookmarkEnd w:id="196"/>
    </w:p>
    <w:p w14:paraId="63D218F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本</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的最终解释权归竞争性</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，当对一个问题有多种解释时以竞争性</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的书面解释为准。</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未做须知明示，而又有相关法律、法规规定的，竞争性</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对此所</w:t>
      </w:r>
      <w:r>
        <w:rPr>
          <w:rFonts w:hint="eastAsia" w:asciiTheme="minorEastAsia" w:hAnsiTheme="minorEastAsia" w:eastAsiaTheme="minorEastAsia" w:cstheme="minorEastAsia"/>
          <w:kern w:val="0"/>
          <w:sz w:val="24"/>
          <w:szCs w:val="24"/>
          <w:highlight w:val="none"/>
          <w:lang w:eastAsia="zh-CN"/>
        </w:rPr>
        <w:t>作</w:t>
      </w:r>
      <w:r>
        <w:rPr>
          <w:rFonts w:hint="eastAsia" w:asciiTheme="minorEastAsia" w:hAnsiTheme="minorEastAsia" w:eastAsiaTheme="minorEastAsia" w:cstheme="minorEastAsia"/>
          <w:kern w:val="0"/>
          <w:sz w:val="24"/>
          <w:szCs w:val="24"/>
          <w:highlight w:val="none"/>
        </w:rPr>
        <w:t>解释以相关的法律、法规规定为依据。本</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的解释权归</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所有。</w:t>
      </w:r>
    </w:p>
    <w:p w14:paraId="068F625D">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center"/>
        <w:textAlignment w:val="auto"/>
        <w:outlineLvl w:val="3"/>
        <w:rPr>
          <w:rFonts w:hint="eastAsia" w:asciiTheme="minorEastAsia" w:hAnsiTheme="minorEastAsia" w:eastAsiaTheme="minorEastAsia" w:cstheme="minorEastAsia"/>
          <w:b/>
          <w:bCs/>
          <w:kern w:val="0"/>
          <w:sz w:val="24"/>
          <w:szCs w:val="24"/>
          <w:highlight w:val="none"/>
        </w:rPr>
      </w:pPr>
      <w:bookmarkStart w:id="198" w:name="_Toc152045579"/>
      <w:bookmarkStart w:id="199" w:name="_Toc29865"/>
      <w:bookmarkStart w:id="200" w:name="_Toc152042356"/>
      <w:bookmarkStart w:id="201" w:name="_Toc24824"/>
      <w:bookmarkStart w:id="202" w:name="_Toc296602466"/>
      <w:bookmarkStart w:id="203" w:name="_Toc25253"/>
      <w:bookmarkStart w:id="204" w:name="_Toc23795"/>
      <w:bookmarkStart w:id="205" w:name="_Toc19376"/>
      <w:bookmarkStart w:id="206" w:name="_Toc25774"/>
      <w:bookmarkStart w:id="207" w:name="_Toc246996966"/>
      <w:bookmarkStart w:id="208" w:name="_Toc16582"/>
      <w:bookmarkStart w:id="209" w:name="_Toc247085737"/>
      <w:bookmarkStart w:id="210" w:name="_Toc179632597"/>
      <w:bookmarkStart w:id="211" w:name="_Toc246996223"/>
      <w:bookmarkStart w:id="212" w:name="_Toc144974546"/>
      <w:bookmarkStart w:id="213" w:name="_Toc19205"/>
      <w:bookmarkStart w:id="214" w:name="_Toc31496"/>
      <w:bookmarkStart w:id="215" w:name="_Toc28720"/>
      <w:bookmarkStart w:id="216" w:name="_Toc22605"/>
      <w:r>
        <w:rPr>
          <w:rFonts w:hint="eastAsia" w:asciiTheme="minorEastAsia" w:hAnsiTheme="minorEastAsia" w:eastAsiaTheme="minorEastAsia" w:cstheme="minorEastAsia"/>
          <w:b/>
          <w:bCs/>
          <w:kern w:val="0"/>
          <w:sz w:val="24"/>
          <w:szCs w:val="24"/>
          <w:highlight w:val="none"/>
          <w:lang w:eastAsia="zh-CN"/>
        </w:rPr>
        <w:t>七</w:t>
      </w:r>
      <w:r>
        <w:rPr>
          <w:rFonts w:hint="eastAsia" w:asciiTheme="minorEastAsia" w:hAnsiTheme="minorEastAsia" w:eastAsiaTheme="minorEastAsia" w:cstheme="minorEastAsia"/>
          <w:b/>
          <w:bCs/>
          <w:kern w:val="0"/>
          <w:sz w:val="24"/>
          <w:szCs w:val="24"/>
          <w:highlight w:val="none"/>
        </w:rPr>
        <w: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Theme="minorEastAsia" w:hAnsiTheme="minorEastAsia" w:eastAsiaTheme="minorEastAsia" w:cstheme="minorEastAsia"/>
          <w:b/>
          <w:bCs/>
          <w:kern w:val="0"/>
          <w:sz w:val="24"/>
          <w:szCs w:val="24"/>
          <w:highlight w:val="none"/>
        </w:rPr>
        <w:t>需要补充的其他内容</w:t>
      </w:r>
      <w:bookmarkEnd w:id="216"/>
    </w:p>
    <w:p w14:paraId="5C10659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bookmarkStart w:id="217" w:name="_Toc18396"/>
      <w:r>
        <w:rPr>
          <w:rFonts w:hint="eastAsia" w:asciiTheme="minorEastAsia" w:hAnsiTheme="minorEastAsia" w:eastAsiaTheme="minorEastAsia" w:cstheme="minorEastAsia"/>
          <w:kern w:val="0"/>
          <w:sz w:val="24"/>
          <w:szCs w:val="24"/>
          <w:highlight w:val="none"/>
          <w:lang w:val="en-US" w:eastAsia="zh-CN"/>
        </w:rPr>
        <w:t>详见供应商须知前附表。</w:t>
      </w:r>
      <w:bookmarkEnd w:id="197"/>
      <w:bookmarkEnd w:id="217"/>
    </w:p>
    <w:p w14:paraId="5ACDFB21">
      <w:pPr>
        <w:pStyle w:val="2"/>
        <w:bidi w:val="0"/>
        <w:jc w:val="center"/>
        <w:rPr>
          <w:rFonts w:hint="eastAsia" w:ascii="Times New Roman" w:hAnsi="Times New Roman" w:eastAsia="宋体" w:cs="Times New Roman"/>
          <w:lang w:val="en-US" w:eastAsia="zh-CN"/>
        </w:rPr>
      </w:pPr>
      <w:r>
        <w:rPr>
          <w:rFonts w:hint="eastAsia" w:asciiTheme="minorEastAsia" w:hAnsiTheme="minorEastAsia" w:eastAsiaTheme="minorEastAsia" w:cstheme="minorEastAsia"/>
          <w:kern w:val="0"/>
          <w:sz w:val="24"/>
          <w:szCs w:val="24"/>
          <w:highlight w:val="none"/>
        </w:rPr>
        <w:br w:type="page"/>
      </w:r>
      <w:bookmarkStart w:id="218" w:name="_Toc12613404"/>
      <w:bookmarkStart w:id="219" w:name="_Toc19112"/>
      <w:bookmarkStart w:id="220" w:name="_Toc13581212"/>
      <w:bookmarkStart w:id="221" w:name="_Toc12613440"/>
      <w:bookmarkStart w:id="222" w:name="_Toc9845237"/>
      <w:bookmarkStart w:id="223" w:name="_Toc6916072"/>
      <w:r>
        <w:rPr>
          <w:rFonts w:hint="eastAsia" w:ascii="Times New Roman" w:hAnsi="Times New Roman" w:eastAsia="宋体" w:cs="Times New Roman"/>
          <w:lang w:val="en-US" w:eastAsia="zh-CN"/>
        </w:rPr>
        <w:t>第三章 评分办法</w:t>
      </w:r>
      <w:bookmarkEnd w:id="218"/>
      <w:bookmarkEnd w:id="219"/>
      <w:bookmarkEnd w:id="220"/>
      <w:bookmarkEnd w:id="221"/>
      <w:bookmarkEnd w:id="222"/>
      <w:bookmarkEnd w:id="223"/>
    </w:p>
    <w:p w14:paraId="5F721B29">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eastAsia="zh-CN"/>
        </w:rPr>
      </w:pPr>
      <w:bookmarkStart w:id="224" w:name="_Toc4023"/>
      <w:bookmarkStart w:id="225" w:name="_Toc25102"/>
      <w:r>
        <w:rPr>
          <w:rFonts w:hint="eastAsia" w:asciiTheme="minorEastAsia" w:hAnsiTheme="minorEastAsia" w:eastAsiaTheme="minorEastAsia" w:cstheme="minorEastAsia"/>
          <w:b/>
          <w:bCs/>
          <w:kern w:val="0"/>
          <w:sz w:val="24"/>
          <w:szCs w:val="24"/>
          <w:highlight w:val="none"/>
          <w:lang w:eastAsia="zh-CN"/>
        </w:rPr>
        <w:t>一、评审办法前附表</w:t>
      </w:r>
      <w:bookmarkEnd w:id="224"/>
      <w:bookmarkEnd w:id="225"/>
    </w:p>
    <w:tbl>
      <w:tblPr>
        <w:tblStyle w:val="76"/>
        <w:tblpPr w:leftFromText="180" w:rightFromText="180" w:vertAnchor="text" w:horzAnchor="page" w:tblpXSpec="center" w:tblpY="80"/>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334"/>
        <w:gridCol w:w="1763"/>
        <w:gridCol w:w="5317"/>
      </w:tblGrid>
      <w:tr w14:paraId="179E53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35" w:type="dxa"/>
            <w:gridSpan w:val="2"/>
            <w:vAlign w:val="center"/>
          </w:tcPr>
          <w:p w14:paraId="3969A570">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条款号</w:t>
            </w:r>
          </w:p>
        </w:tc>
        <w:tc>
          <w:tcPr>
            <w:tcW w:w="1763" w:type="dxa"/>
            <w:vAlign w:val="center"/>
          </w:tcPr>
          <w:p w14:paraId="7291A727">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评审因素</w:t>
            </w:r>
          </w:p>
        </w:tc>
        <w:tc>
          <w:tcPr>
            <w:tcW w:w="5317" w:type="dxa"/>
            <w:vAlign w:val="center"/>
          </w:tcPr>
          <w:p w14:paraId="36F87286">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评审标准</w:t>
            </w:r>
          </w:p>
        </w:tc>
      </w:tr>
      <w:tr w14:paraId="04C550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01" w:type="dxa"/>
            <w:vAlign w:val="center"/>
          </w:tcPr>
          <w:p w14:paraId="012C90DA">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1.1</w:t>
            </w:r>
          </w:p>
        </w:tc>
        <w:tc>
          <w:tcPr>
            <w:tcW w:w="1334" w:type="dxa"/>
            <w:vAlign w:val="center"/>
          </w:tcPr>
          <w:p w14:paraId="2E3C029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资格评审</w:t>
            </w:r>
          </w:p>
          <w:p w14:paraId="642CA937">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标准</w:t>
            </w:r>
          </w:p>
        </w:tc>
        <w:tc>
          <w:tcPr>
            <w:tcW w:w="1763" w:type="dxa"/>
            <w:vAlign w:val="center"/>
          </w:tcPr>
          <w:p w14:paraId="7ACB409A">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具体要求</w:t>
            </w:r>
          </w:p>
        </w:tc>
        <w:tc>
          <w:tcPr>
            <w:tcW w:w="5317" w:type="dxa"/>
            <w:vAlign w:val="center"/>
          </w:tcPr>
          <w:p w14:paraId="0C4A5CB0">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详见第二章“供应商须知前附表”第</w:t>
            </w:r>
            <w:r>
              <w:rPr>
                <w:rFonts w:hint="eastAsia" w:asciiTheme="minorEastAsia" w:hAnsiTheme="minorEastAsia" w:eastAsiaTheme="minorEastAsia" w:cstheme="minorEastAsia"/>
                <w:kern w:val="0"/>
                <w:sz w:val="24"/>
                <w:szCs w:val="24"/>
                <w:highlight w:val="none"/>
                <w:lang w:val="en-US" w:eastAsia="zh-CN"/>
              </w:rPr>
              <w:t>16项</w:t>
            </w:r>
            <w:r>
              <w:rPr>
                <w:rFonts w:hint="eastAsia" w:asciiTheme="minorEastAsia" w:hAnsiTheme="minorEastAsia" w:eastAsiaTheme="minorEastAsia" w:cstheme="minorEastAsia"/>
                <w:kern w:val="0"/>
                <w:sz w:val="24"/>
                <w:szCs w:val="24"/>
                <w:highlight w:val="none"/>
                <w:lang w:eastAsia="zh-CN"/>
              </w:rPr>
              <w:t>规定。</w:t>
            </w:r>
          </w:p>
        </w:tc>
      </w:tr>
      <w:tr w14:paraId="43AA3A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vMerge w:val="restart"/>
            <w:vAlign w:val="center"/>
          </w:tcPr>
          <w:p w14:paraId="337F3BE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1.2</w:t>
            </w:r>
          </w:p>
        </w:tc>
        <w:tc>
          <w:tcPr>
            <w:tcW w:w="1334" w:type="dxa"/>
            <w:vMerge w:val="restart"/>
            <w:vAlign w:val="center"/>
          </w:tcPr>
          <w:p w14:paraId="092EAE26">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符合</w:t>
            </w:r>
            <w:r>
              <w:rPr>
                <w:rFonts w:hint="eastAsia" w:asciiTheme="minorEastAsia" w:hAnsiTheme="minorEastAsia" w:eastAsiaTheme="minorEastAsia" w:cstheme="minorEastAsia"/>
                <w:kern w:val="0"/>
                <w:sz w:val="24"/>
                <w:szCs w:val="24"/>
                <w:highlight w:val="none"/>
              </w:rPr>
              <w:t>性评审标准</w:t>
            </w:r>
          </w:p>
        </w:tc>
        <w:tc>
          <w:tcPr>
            <w:tcW w:w="1763" w:type="dxa"/>
            <w:vAlign w:val="center"/>
          </w:tcPr>
          <w:p w14:paraId="78AC9A75">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名称</w:t>
            </w:r>
          </w:p>
        </w:tc>
        <w:tc>
          <w:tcPr>
            <w:tcW w:w="5317" w:type="dxa"/>
            <w:vAlign w:val="center"/>
          </w:tcPr>
          <w:p w14:paraId="5C5F65D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与营业执照一致</w:t>
            </w:r>
            <w:r>
              <w:rPr>
                <w:rFonts w:hint="eastAsia" w:asciiTheme="minorEastAsia" w:hAnsiTheme="minorEastAsia" w:eastAsiaTheme="minorEastAsia" w:cstheme="minorEastAsia"/>
                <w:kern w:val="0"/>
                <w:sz w:val="24"/>
                <w:szCs w:val="24"/>
                <w:highlight w:val="none"/>
                <w:lang w:eastAsia="zh-CN"/>
              </w:rPr>
              <w:t>。</w:t>
            </w:r>
          </w:p>
        </w:tc>
      </w:tr>
      <w:tr w14:paraId="0959F7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vMerge w:val="continue"/>
            <w:vAlign w:val="center"/>
          </w:tcPr>
          <w:p w14:paraId="6766F480">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334" w:type="dxa"/>
            <w:vMerge w:val="continue"/>
            <w:vAlign w:val="center"/>
          </w:tcPr>
          <w:p w14:paraId="3585ED55">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763" w:type="dxa"/>
            <w:vAlign w:val="center"/>
          </w:tcPr>
          <w:p w14:paraId="136FBD93">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签字盖章</w:t>
            </w:r>
          </w:p>
        </w:tc>
        <w:tc>
          <w:tcPr>
            <w:tcW w:w="5317" w:type="dxa"/>
            <w:vAlign w:val="center"/>
          </w:tcPr>
          <w:p w14:paraId="2D5FD5D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按竞争性磋商文件格式要求进行</w:t>
            </w:r>
            <w:r>
              <w:rPr>
                <w:rFonts w:hint="eastAsia" w:asciiTheme="minorEastAsia" w:hAnsiTheme="minorEastAsia" w:eastAsiaTheme="minorEastAsia" w:cstheme="minorEastAsia"/>
                <w:kern w:val="0"/>
                <w:sz w:val="24"/>
                <w:szCs w:val="24"/>
                <w:highlight w:val="none"/>
              </w:rPr>
              <w:t>签字盖章</w:t>
            </w:r>
            <w:r>
              <w:rPr>
                <w:rFonts w:hint="eastAsia" w:asciiTheme="minorEastAsia" w:hAnsiTheme="minorEastAsia" w:eastAsiaTheme="minorEastAsia" w:cstheme="minorEastAsia"/>
                <w:kern w:val="0"/>
                <w:sz w:val="24"/>
                <w:szCs w:val="24"/>
                <w:highlight w:val="none"/>
                <w:lang w:eastAsia="zh-CN"/>
              </w:rPr>
              <w:t>。</w:t>
            </w:r>
          </w:p>
        </w:tc>
      </w:tr>
      <w:tr w14:paraId="0C92B6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vMerge w:val="continue"/>
            <w:vAlign w:val="center"/>
          </w:tcPr>
          <w:p w14:paraId="0A48E62F">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334" w:type="dxa"/>
            <w:vMerge w:val="continue"/>
            <w:vAlign w:val="center"/>
          </w:tcPr>
          <w:p w14:paraId="18A939A0">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763" w:type="dxa"/>
            <w:vAlign w:val="center"/>
          </w:tcPr>
          <w:p w14:paraId="1A5CA427">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格式</w:t>
            </w:r>
          </w:p>
        </w:tc>
        <w:tc>
          <w:tcPr>
            <w:tcW w:w="5317" w:type="dxa"/>
            <w:vAlign w:val="center"/>
          </w:tcPr>
          <w:p w14:paraId="025CB543">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符合第</w:t>
            </w:r>
            <w:r>
              <w:rPr>
                <w:rFonts w:hint="eastAsia" w:asciiTheme="minorEastAsia" w:hAnsiTheme="minorEastAsia" w:eastAsiaTheme="minorEastAsia" w:cstheme="minorEastAsia"/>
                <w:kern w:val="0"/>
                <w:sz w:val="24"/>
                <w:szCs w:val="24"/>
                <w:highlight w:val="none"/>
                <w:lang w:eastAsia="zh-CN"/>
              </w:rPr>
              <w:t>六</w:t>
            </w:r>
            <w:r>
              <w:rPr>
                <w:rFonts w:hint="eastAsia" w:asciiTheme="minorEastAsia" w:hAnsiTheme="minorEastAsia" w:eastAsiaTheme="minorEastAsia" w:cstheme="minorEastAsia"/>
                <w:kern w:val="0"/>
                <w:sz w:val="24"/>
                <w:szCs w:val="24"/>
                <w:highlight w:val="none"/>
              </w:rPr>
              <w:t>章“</w:t>
            </w:r>
            <w:r>
              <w:rPr>
                <w:rFonts w:hint="eastAsia" w:asciiTheme="minorEastAsia" w:hAnsiTheme="minorEastAsia" w:eastAsiaTheme="minorEastAsia" w:cstheme="minorEastAsia"/>
                <w:kern w:val="0"/>
                <w:sz w:val="24"/>
                <w:szCs w:val="24"/>
                <w:highlight w:val="none"/>
                <w:lang w:eastAsia="zh-CN"/>
              </w:rPr>
              <w:t>响应文件</w:t>
            </w:r>
            <w:r>
              <w:rPr>
                <w:rFonts w:hint="eastAsia" w:asciiTheme="minorEastAsia" w:hAnsiTheme="minorEastAsia" w:eastAsiaTheme="minorEastAsia" w:cstheme="minorEastAsia"/>
                <w:kern w:val="0"/>
                <w:sz w:val="24"/>
                <w:szCs w:val="24"/>
                <w:highlight w:val="none"/>
              </w:rPr>
              <w:t>格式”的要求</w:t>
            </w:r>
            <w:r>
              <w:rPr>
                <w:rFonts w:hint="eastAsia" w:asciiTheme="minorEastAsia" w:hAnsiTheme="minorEastAsia" w:eastAsiaTheme="minorEastAsia" w:cstheme="minorEastAsia"/>
                <w:kern w:val="0"/>
                <w:sz w:val="24"/>
                <w:szCs w:val="24"/>
                <w:highlight w:val="none"/>
                <w:lang w:eastAsia="zh-CN"/>
              </w:rPr>
              <w:t>。</w:t>
            </w:r>
          </w:p>
        </w:tc>
      </w:tr>
      <w:tr w14:paraId="55E5B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vMerge w:val="continue"/>
            <w:vAlign w:val="center"/>
          </w:tcPr>
          <w:p w14:paraId="05BEA743">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334" w:type="dxa"/>
            <w:vMerge w:val="continue"/>
            <w:vAlign w:val="center"/>
          </w:tcPr>
          <w:p w14:paraId="1BC5B6C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763" w:type="dxa"/>
            <w:vAlign w:val="center"/>
          </w:tcPr>
          <w:p w14:paraId="0140671E">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报价</w:t>
            </w:r>
          </w:p>
        </w:tc>
        <w:tc>
          <w:tcPr>
            <w:tcW w:w="5317" w:type="dxa"/>
            <w:vAlign w:val="center"/>
          </w:tcPr>
          <w:p w14:paraId="4AD2BCE9">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报价不超过采购限价且报价唯一。</w:t>
            </w:r>
          </w:p>
        </w:tc>
      </w:tr>
      <w:tr w14:paraId="417D7D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vMerge w:val="continue"/>
            <w:vAlign w:val="center"/>
          </w:tcPr>
          <w:p w14:paraId="7F6632D7">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334" w:type="dxa"/>
            <w:vMerge w:val="continue"/>
            <w:vAlign w:val="center"/>
          </w:tcPr>
          <w:p w14:paraId="5AE20DBA">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763" w:type="dxa"/>
            <w:vAlign w:val="center"/>
          </w:tcPr>
          <w:p w14:paraId="5CA7718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供货安装期</w:t>
            </w:r>
          </w:p>
        </w:tc>
        <w:tc>
          <w:tcPr>
            <w:tcW w:w="5317" w:type="dxa"/>
            <w:vAlign w:val="center"/>
          </w:tcPr>
          <w:p w14:paraId="1109B754">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符合第二章“</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须知”规定</w:t>
            </w:r>
            <w:r>
              <w:rPr>
                <w:rFonts w:hint="eastAsia" w:asciiTheme="minorEastAsia" w:hAnsiTheme="minorEastAsia" w:eastAsiaTheme="minorEastAsia" w:cstheme="minorEastAsia"/>
                <w:kern w:val="0"/>
                <w:sz w:val="24"/>
                <w:szCs w:val="24"/>
                <w:highlight w:val="none"/>
                <w:lang w:eastAsia="zh-CN"/>
              </w:rPr>
              <w:t>。</w:t>
            </w:r>
          </w:p>
        </w:tc>
      </w:tr>
      <w:tr w14:paraId="061444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vMerge w:val="continue"/>
            <w:vAlign w:val="center"/>
          </w:tcPr>
          <w:p w14:paraId="7AB54547">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334" w:type="dxa"/>
            <w:vMerge w:val="continue"/>
            <w:vAlign w:val="center"/>
          </w:tcPr>
          <w:p w14:paraId="48278AB0">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763" w:type="dxa"/>
            <w:vAlign w:val="center"/>
          </w:tcPr>
          <w:p w14:paraId="62E8B590">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磋商有效期</w:t>
            </w:r>
          </w:p>
        </w:tc>
        <w:tc>
          <w:tcPr>
            <w:tcW w:w="5317" w:type="dxa"/>
            <w:vAlign w:val="center"/>
          </w:tcPr>
          <w:p w14:paraId="2EB36802">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符合第二章“</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须知”规定</w:t>
            </w:r>
            <w:r>
              <w:rPr>
                <w:rFonts w:hint="eastAsia" w:asciiTheme="minorEastAsia" w:hAnsiTheme="minorEastAsia" w:eastAsiaTheme="minorEastAsia" w:cstheme="minorEastAsia"/>
                <w:kern w:val="0"/>
                <w:sz w:val="24"/>
                <w:szCs w:val="24"/>
                <w:highlight w:val="none"/>
                <w:lang w:eastAsia="zh-CN"/>
              </w:rPr>
              <w:t>。</w:t>
            </w:r>
          </w:p>
        </w:tc>
      </w:tr>
      <w:tr w14:paraId="7F3E9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vMerge w:val="continue"/>
            <w:vAlign w:val="center"/>
          </w:tcPr>
          <w:p w14:paraId="5F65FE32">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334" w:type="dxa"/>
            <w:vMerge w:val="continue"/>
            <w:vAlign w:val="center"/>
          </w:tcPr>
          <w:p w14:paraId="7C6D6D7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763" w:type="dxa"/>
            <w:vAlign w:val="center"/>
          </w:tcPr>
          <w:p w14:paraId="38000D83">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质保期</w:t>
            </w:r>
          </w:p>
        </w:tc>
        <w:tc>
          <w:tcPr>
            <w:tcW w:w="5317" w:type="dxa"/>
            <w:vAlign w:val="center"/>
          </w:tcPr>
          <w:p w14:paraId="0C7802DE">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符合第二章“</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须知”规定</w:t>
            </w:r>
            <w:r>
              <w:rPr>
                <w:rFonts w:hint="eastAsia" w:asciiTheme="minorEastAsia" w:hAnsiTheme="minorEastAsia" w:eastAsiaTheme="minorEastAsia" w:cstheme="minorEastAsia"/>
                <w:kern w:val="0"/>
                <w:sz w:val="24"/>
                <w:szCs w:val="24"/>
                <w:highlight w:val="none"/>
                <w:lang w:eastAsia="zh-CN"/>
              </w:rPr>
              <w:t>。</w:t>
            </w:r>
          </w:p>
        </w:tc>
      </w:tr>
      <w:tr w14:paraId="6E72A9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vMerge w:val="continue"/>
            <w:vAlign w:val="center"/>
          </w:tcPr>
          <w:p w14:paraId="6A9730EA">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334" w:type="dxa"/>
            <w:vMerge w:val="continue"/>
            <w:vAlign w:val="center"/>
          </w:tcPr>
          <w:p w14:paraId="19D6E5D4">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p>
        </w:tc>
        <w:tc>
          <w:tcPr>
            <w:tcW w:w="1763" w:type="dxa"/>
            <w:vAlign w:val="center"/>
          </w:tcPr>
          <w:p w14:paraId="0D9AAA26">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其他无效报价情形</w:t>
            </w:r>
          </w:p>
        </w:tc>
        <w:tc>
          <w:tcPr>
            <w:tcW w:w="5317" w:type="dxa"/>
            <w:vAlign w:val="center"/>
          </w:tcPr>
          <w:p w14:paraId="42AD8C69">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未出现竞争性磋商文件规定的其他无效报价情形。</w:t>
            </w:r>
          </w:p>
        </w:tc>
      </w:tr>
    </w:tbl>
    <w:p w14:paraId="58C27D19">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kern w:val="0"/>
          <w:sz w:val="24"/>
          <w:szCs w:val="24"/>
          <w:highlight w:val="none"/>
        </w:rPr>
      </w:pPr>
      <w:bookmarkStart w:id="226" w:name="_Toc32438"/>
      <w:r>
        <w:rPr>
          <w:rFonts w:hint="eastAsia" w:asciiTheme="minorEastAsia" w:hAnsiTheme="minorEastAsia" w:eastAsiaTheme="minorEastAsia" w:cstheme="minorEastAsia"/>
          <w:b/>
          <w:bCs/>
          <w:kern w:val="0"/>
          <w:sz w:val="24"/>
          <w:szCs w:val="24"/>
          <w:highlight w:val="none"/>
        </w:rPr>
        <w:t>注：</w:t>
      </w:r>
      <w:r>
        <w:rPr>
          <w:rFonts w:hint="eastAsia" w:asciiTheme="minorEastAsia" w:hAnsiTheme="minorEastAsia" w:eastAsiaTheme="minorEastAsia" w:cstheme="minorEastAsia"/>
          <w:b/>
          <w:bCs/>
          <w:kern w:val="0"/>
          <w:sz w:val="24"/>
          <w:szCs w:val="24"/>
          <w:highlight w:val="none"/>
          <w:lang w:eastAsia="zh-CN"/>
        </w:rPr>
        <w:t>磋商小组</w:t>
      </w:r>
      <w:r>
        <w:rPr>
          <w:rFonts w:hint="eastAsia" w:asciiTheme="minorEastAsia" w:hAnsiTheme="minorEastAsia" w:eastAsiaTheme="minorEastAsia" w:cstheme="minorEastAsia"/>
          <w:b/>
          <w:bCs/>
          <w:kern w:val="0"/>
          <w:sz w:val="24"/>
          <w:szCs w:val="24"/>
          <w:highlight w:val="none"/>
        </w:rPr>
        <w:t>按照以上条款内容对</w:t>
      </w:r>
      <w:r>
        <w:rPr>
          <w:rFonts w:hint="eastAsia" w:asciiTheme="minorEastAsia" w:hAnsiTheme="minorEastAsia" w:eastAsiaTheme="minorEastAsia" w:cstheme="minorEastAsia"/>
          <w:b/>
          <w:bCs/>
          <w:kern w:val="0"/>
          <w:sz w:val="24"/>
          <w:szCs w:val="24"/>
          <w:highlight w:val="none"/>
          <w:lang w:eastAsia="zh-CN"/>
        </w:rPr>
        <w:t>响应文件</w:t>
      </w:r>
      <w:r>
        <w:rPr>
          <w:rFonts w:hint="eastAsia" w:asciiTheme="minorEastAsia" w:hAnsiTheme="minorEastAsia" w:eastAsiaTheme="minorEastAsia" w:cstheme="minorEastAsia"/>
          <w:b/>
          <w:bCs/>
          <w:kern w:val="0"/>
          <w:sz w:val="24"/>
          <w:szCs w:val="24"/>
          <w:highlight w:val="none"/>
        </w:rPr>
        <w:t>进行审查，发现</w:t>
      </w:r>
      <w:r>
        <w:rPr>
          <w:rFonts w:hint="eastAsia" w:asciiTheme="minorEastAsia" w:hAnsiTheme="minorEastAsia" w:eastAsiaTheme="minorEastAsia" w:cstheme="minorEastAsia"/>
          <w:b/>
          <w:bCs/>
          <w:kern w:val="0"/>
          <w:sz w:val="24"/>
          <w:szCs w:val="24"/>
          <w:highlight w:val="none"/>
          <w:lang w:eastAsia="zh-CN"/>
        </w:rPr>
        <w:t>响应文件</w:t>
      </w:r>
      <w:r>
        <w:rPr>
          <w:rFonts w:hint="eastAsia" w:asciiTheme="minorEastAsia" w:hAnsiTheme="minorEastAsia" w:eastAsiaTheme="minorEastAsia" w:cstheme="minorEastAsia"/>
          <w:b/>
          <w:bCs/>
          <w:kern w:val="0"/>
          <w:sz w:val="24"/>
          <w:szCs w:val="24"/>
          <w:highlight w:val="none"/>
        </w:rPr>
        <w:t>中有一项或多项不响应者，按无效</w:t>
      </w:r>
      <w:r>
        <w:rPr>
          <w:rFonts w:hint="eastAsia" w:asciiTheme="minorEastAsia" w:hAnsiTheme="minorEastAsia" w:eastAsiaTheme="minorEastAsia" w:cstheme="minorEastAsia"/>
          <w:b/>
          <w:bCs/>
          <w:kern w:val="0"/>
          <w:sz w:val="24"/>
          <w:szCs w:val="24"/>
          <w:highlight w:val="none"/>
          <w:lang w:eastAsia="zh-CN"/>
        </w:rPr>
        <w:t>报价</w:t>
      </w:r>
      <w:r>
        <w:rPr>
          <w:rFonts w:hint="eastAsia" w:asciiTheme="minorEastAsia" w:hAnsiTheme="minorEastAsia" w:eastAsiaTheme="minorEastAsia" w:cstheme="minorEastAsia"/>
          <w:b/>
          <w:bCs/>
          <w:kern w:val="0"/>
          <w:sz w:val="24"/>
          <w:szCs w:val="24"/>
          <w:highlight w:val="none"/>
        </w:rPr>
        <w:t>处理，不得进入下一步评审。</w:t>
      </w:r>
    </w:p>
    <w:p w14:paraId="7EB663E9">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rPr>
      </w:pPr>
      <w:bookmarkStart w:id="227" w:name="_Toc16364"/>
      <w:r>
        <w:rPr>
          <w:rFonts w:hint="eastAsia" w:asciiTheme="minorEastAsia" w:hAnsiTheme="minorEastAsia" w:eastAsiaTheme="minorEastAsia" w:cstheme="minorEastAsia"/>
          <w:b/>
          <w:bCs/>
          <w:kern w:val="0"/>
          <w:sz w:val="24"/>
          <w:szCs w:val="24"/>
          <w:highlight w:val="none"/>
          <w:lang w:eastAsia="zh-CN"/>
        </w:rPr>
        <w:t>二、</w:t>
      </w:r>
      <w:r>
        <w:rPr>
          <w:rFonts w:hint="eastAsia" w:asciiTheme="minorEastAsia" w:hAnsiTheme="minorEastAsia" w:eastAsiaTheme="minorEastAsia" w:cstheme="minorEastAsia"/>
          <w:b/>
          <w:bCs/>
          <w:kern w:val="0"/>
          <w:sz w:val="24"/>
          <w:szCs w:val="24"/>
          <w:highlight w:val="none"/>
        </w:rPr>
        <w:t>评标方法</w:t>
      </w:r>
      <w:bookmarkEnd w:id="226"/>
      <w:bookmarkEnd w:id="227"/>
    </w:p>
    <w:p w14:paraId="307243B2">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.1本项目评标方法采用综合评分法。</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将依据各</w:t>
      </w:r>
      <w:r>
        <w:rPr>
          <w:rFonts w:hint="eastAsia" w:asciiTheme="minorEastAsia" w:hAnsiTheme="minorEastAsia" w:eastAsiaTheme="minorEastAsia" w:cstheme="minorEastAsia"/>
          <w:kern w:val="0"/>
          <w:sz w:val="24"/>
          <w:szCs w:val="24"/>
          <w:highlight w:val="none"/>
          <w:lang w:eastAsia="zh-CN"/>
        </w:rPr>
        <w:t>供应商响应文件</w:t>
      </w:r>
      <w:r>
        <w:rPr>
          <w:rFonts w:hint="eastAsia" w:asciiTheme="minorEastAsia" w:hAnsiTheme="minorEastAsia" w:eastAsiaTheme="minorEastAsia" w:cstheme="minorEastAsia"/>
          <w:kern w:val="0"/>
          <w:sz w:val="24"/>
          <w:szCs w:val="24"/>
          <w:highlight w:val="none"/>
        </w:rPr>
        <w:t>，对其商务、技术、价格等各项因素进行评价并按评分细则进行打分。每一</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的最终得分为所有评委评分的算术平均值。</w:t>
      </w:r>
    </w:p>
    <w:p w14:paraId="36E4999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.2</w:t>
      </w:r>
      <w:r>
        <w:rPr>
          <w:rFonts w:hint="eastAsia" w:asciiTheme="minorEastAsia" w:hAnsiTheme="minorEastAsia" w:eastAsiaTheme="minorEastAsia" w:cstheme="minorEastAsia"/>
          <w:kern w:val="0"/>
          <w:sz w:val="24"/>
          <w:szCs w:val="24"/>
          <w:highlight w:val="none"/>
          <w:lang w:eastAsia="zh-CN"/>
        </w:rPr>
        <w:t>磋商小组</w:t>
      </w:r>
      <w:r>
        <w:rPr>
          <w:rFonts w:hint="eastAsia" w:asciiTheme="minorEastAsia" w:hAnsiTheme="minorEastAsia" w:eastAsiaTheme="minorEastAsia" w:cstheme="minorEastAsia"/>
          <w:kern w:val="0"/>
          <w:sz w:val="24"/>
          <w:szCs w:val="24"/>
          <w:highlight w:val="none"/>
        </w:rPr>
        <w:t>按各</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最终得分由高到低顺序排列</w:t>
      </w:r>
      <w:r>
        <w:rPr>
          <w:rFonts w:hint="eastAsia" w:asciiTheme="minorEastAsia" w:hAnsiTheme="minorEastAsia" w:eastAsiaTheme="minorEastAsia" w:cstheme="minorEastAsia"/>
          <w:kern w:val="0"/>
          <w:sz w:val="24"/>
          <w:szCs w:val="24"/>
          <w:highlight w:val="none"/>
          <w:lang w:eastAsia="zh-CN"/>
        </w:rPr>
        <w:t>，推荐三名成交候选供应商</w:t>
      </w:r>
      <w:r>
        <w:rPr>
          <w:rFonts w:hint="eastAsia" w:asciiTheme="minorEastAsia" w:hAnsiTheme="minorEastAsia" w:eastAsiaTheme="minorEastAsia" w:cstheme="minorEastAsia"/>
          <w:kern w:val="0"/>
          <w:sz w:val="24"/>
          <w:szCs w:val="24"/>
          <w:highlight w:val="none"/>
        </w:rPr>
        <w:t>。得分相同的，按</w:t>
      </w:r>
      <w:r>
        <w:rPr>
          <w:rFonts w:hint="eastAsia" w:asciiTheme="minorEastAsia" w:hAnsiTheme="minorEastAsia" w:eastAsiaTheme="minorEastAsia" w:cstheme="minorEastAsia"/>
          <w:kern w:val="0"/>
          <w:sz w:val="24"/>
          <w:szCs w:val="24"/>
          <w:highlight w:val="none"/>
          <w:lang w:eastAsia="zh-CN"/>
        </w:rPr>
        <w:t>最终</w:t>
      </w:r>
      <w:r>
        <w:rPr>
          <w:rFonts w:hint="eastAsia" w:asciiTheme="minorEastAsia" w:hAnsiTheme="minorEastAsia" w:eastAsiaTheme="minorEastAsia" w:cstheme="minorEastAsia"/>
          <w:kern w:val="0"/>
          <w:sz w:val="24"/>
          <w:szCs w:val="24"/>
          <w:highlight w:val="none"/>
        </w:rPr>
        <w:t>报价由低到高顺序排列。得分且</w:t>
      </w:r>
      <w:r>
        <w:rPr>
          <w:rFonts w:hint="eastAsia" w:asciiTheme="minorEastAsia" w:hAnsiTheme="minorEastAsia" w:eastAsiaTheme="minorEastAsia" w:cstheme="minorEastAsia"/>
          <w:kern w:val="0"/>
          <w:sz w:val="24"/>
          <w:szCs w:val="24"/>
          <w:highlight w:val="none"/>
          <w:lang w:eastAsia="zh-CN"/>
        </w:rPr>
        <w:t>最终</w:t>
      </w:r>
      <w:r>
        <w:rPr>
          <w:rFonts w:hint="eastAsia" w:asciiTheme="minorEastAsia" w:hAnsiTheme="minorEastAsia" w:eastAsiaTheme="minorEastAsia" w:cstheme="minorEastAsia"/>
          <w:kern w:val="0"/>
          <w:sz w:val="24"/>
          <w:szCs w:val="24"/>
          <w:highlight w:val="none"/>
        </w:rPr>
        <w:t>报价相同的，按技术指标优劣</w:t>
      </w:r>
      <w:r>
        <w:rPr>
          <w:rFonts w:hint="eastAsia" w:asciiTheme="minorEastAsia" w:hAnsiTheme="minorEastAsia" w:eastAsiaTheme="minorEastAsia" w:cstheme="minorEastAsia"/>
          <w:kern w:val="0"/>
          <w:sz w:val="24"/>
          <w:szCs w:val="24"/>
          <w:highlight w:val="none"/>
          <w:lang w:eastAsia="zh-CN"/>
        </w:rPr>
        <w:t>由磋商小组确定</w:t>
      </w:r>
      <w:r>
        <w:rPr>
          <w:rFonts w:hint="eastAsia" w:asciiTheme="minorEastAsia" w:hAnsiTheme="minorEastAsia" w:eastAsiaTheme="minorEastAsia" w:cstheme="minorEastAsia"/>
          <w:kern w:val="0"/>
          <w:sz w:val="24"/>
          <w:szCs w:val="24"/>
          <w:highlight w:val="none"/>
        </w:rPr>
        <w:t>排列顺序。</w:t>
      </w:r>
    </w:p>
    <w:p w14:paraId="3DE13C0A">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eastAsia="zh-CN"/>
        </w:rPr>
      </w:pPr>
      <w:bookmarkStart w:id="228" w:name="_Toc28622"/>
      <w:bookmarkStart w:id="229" w:name="_Toc10266"/>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将确定排名第一的</w:t>
      </w:r>
      <w:r>
        <w:rPr>
          <w:rFonts w:hint="eastAsia" w:asciiTheme="minorEastAsia" w:hAnsiTheme="minorEastAsia" w:eastAsiaTheme="minorEastAsia" w:cstheme="minorEastAsia"/>
          <w:kern w:val="0"/>
          <w:sz w:val="24"/>
          <w:szCs w:val="24"/>
          <w:highlight w:val="none"/>
          <w:lang w:eastAsia="zh-CN"/>
        </w:rPr>
        <w:t>成交候选供应商</w:t>
      </w:r>
      <w:r>
        <w:rPr>
          <w:rFonts w:hint="eastAsia" w:asciiTheme="minorEastAsia" w:hAnsiTheme="minorEastAsia" w:eastAsiaTheme="minorEastAsia" w:cstheme="minorEastAsia"/>
          <w:kern w:val="0"/>
          <w:sz w:val="24"/>
          <w:szCs w:val="24"/>
          <w:highlight w:val="none"/>
        </w:rPr>
        <w:t>为</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。第一</w:t>
      </w:r>
      <w:r>
        <w:rPr>
          <w:rFonts w:hint="eastAsia" w:asciiTheme="minorEastAsia" w:hAnsiTheme="minorEastAsia" w:eastAsiaTheme="minorEastAsia" w:cstheme="minorEastAsia"/>
          <w:kern w:val="0"/>
          <w:sz w:val="24"/>
          <w:szCs w:val="24"/>
          <w:highlight w:val="none"/>
          <w:lang w:eastAsia="zh-CN"/>
        </w:rPr>
        <w:t>成交候选供应商</w:t>
      </w:r>
      <w:r>
        <w:rPr>
          <w:rFonts w:hint="eastAsia" w:asciiTheme="minorEastAsia" w:hAnsiTheme="minorEastAsia" w:eastAsiaTheme="minorEastAsia" w:cstheme="minorEastAsia"/>
          <w:kern w:val="0"/>
          <w:sz w:val="24"/>
          <w:szCs w:val="24"/>
          <w:highlight w:val="none"/>
        </w:rPr>
        <w:t>如放弃</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或因故被取消</w:t>
      </w:r>
      <w:r>
        <w:rPr>
          <w:rFonts w:hint="eastAsia" w:asciiTheme="minorEastAsia" w:hAnsiTheme="minorEastAsia" w:eastAsiaTheme="minorEastAsia" w:cstheme="minorEastAsia"/>
          <w:kern w:val="0"/>
          <w:sz w:val="24"/>
          <w:szCs w:val="24"/>
          <w:highlight w:val="none"/>
          <w:lang w:eastAsia="zh-CN"/>
        </w:rPr>
        <w:t>成交</w:t>
      </w:r>
      <w:r>
        <w:rPr>
          <w:rFonts w:hint="eastAsia" w:asciiTheme="minorEastAsia" w:hAnsiTheme="minorEastAsia" w:eastAsiaTheme="minorEastAsia" w:cstheme="minorEastAsia"/>
          <w:kern w:val="0"/>
          <w:sz w:val="24"/>
          <w:szCs w:val="24"/>
          <w:highlight w:val="none"/>
        </w:rPr>
        <w:t>资格，</w:t>
      </w:r>
      <w:r>
        <w:rPr>
          <w:rFonts w:hint="eastAsia" w:asciiTheme="minorEastAsia" w:hAnsiTheme="minorEastAsia" w:eastAsiaTheme="minorEastAsia" w:cstheme="minorEastAsia"/>
          <w:kern w:val="0"/>
          <w:sz w:val="24"/>
          <w:szCs w:val="24"/>
          <w:highlight w:val="none"/>
          <w:lang w:eastAsia="zh-CN"/>
        </w:rPr>
        <w:t>采购人</w:t>
      </w:r>
      <w:r>
        <w:rPr>
          <w:rFonts w:hint="eastAsia" w:asciiTheme="minorEastAsia" w:hAnsiTheme="minorEastAsia" w:eastAsiaTheme="minorEastAsia" w:cstheme="minorEastAsia"/>
          <w:kern w:val="0"/>
          <w:sz w:val="24"/>
          <w:szCs w:val="24"/>
          <w:highlight w:val="none"/>
        </w:rPr>
        <w:t>可以依法选择排名第二的</w:t>
      </w:r>
      <w:r>
        <w:rPr>
          <w:rFonts w:hint="eastAsia" w:asciiTheme="minorEastAsia" w:hAnsiTheme="minorEastAsia" w:eastAsiaTheme="minorEastAsia" w:cstheme="minorEastAsia"/>
          <w:kern w:val="0"/>
          <w:sz w:val="24"/>
          <w:szCs w:val="24"/>
          <w:highlight w:val="none"/>
          <w:lang w:eastAsia="zh-CN"/>
        </w:rPr>
        <w:t>成交候选供应商</w:t>
      </w:r>
      <w:r>
        <w:rPr>
          <w:rFonts w:hint="eastAsia" w:asciiTheme="minorEastAsia" w:hAnsiTheme="minorEastAsia" w:eastAsiaTheme="minorEastAsia" w:cstheme="minorEastAsia"/>
          <w:kern w:val="0"/>
          <w:sz w:val="24"/>
          <w:szCs w:val="24"/>
          <w:highlight w:val="none"/>
        </w:rPr>
        <w:t>为</w:t>
      </w:r>
      <w:r>
        <w:rPr>
          <w:rFonts w:hint="eastAsia" w:asciiTheme="minorEastAsia" w:hAnsiTheme="minorEastAsia" w:eastAsiaTheme="minorEastAsia" w:cstheme="minorEastAsia"/>
          <w:kern w:val="0"/>
          <w:sz w:val="24"/>
          <w:szCs w:val="24"/>
          <w:highlight w:val="none"/>
          <w:lang w:eastAsia="zh-CN"/>
        </w:rPr>
        <w:t>成交供应商</w:t>
      </w:r>
      <w:r>
        <w:rPr>
          <w:rFonts w:hint="eastAsia" w:asciiTheme="minorEastAsia" w:hAnsiTheme="minorEastAsia" w:eastAsiaTheme="minorEastAsia" w:cstheme="minorEastAsia"/>
          <w:kern w:val="0"/>
          <w:sz w:val="24"/>
          <w:szCs w:val="24"/>
          <w:highlight w:val="none"/>
        </w:rPr>
        <w:t>或重新组织</w:t>
      </w:r>
      <w:r>
        <w:rPr>
          <w:rFonts w:hint="eastAsia" w:asciiTheme="minorEastAsia" w:hAnsiTheme="minorEastAsia" w:eastAsiaTheme="minorEastAsia" w:cstheme="minorEastAsia"/>
          <w:kern w:val="0"/>
          <w:sz w:val="24"/>
          <w:szCs w:val="24"/>
          <w:highlight w:val="none"/>
          <w:lang w:eastAsia="zh-CN"/>
        </w:rPr>
        <w:t>采购，以此类推。</w:t>
      </w:r>
      <w:bookmarkEnd w:id="228"/>
      <w:bookmarkEnd w:id="229"/>
    </w:p>
    <w:p w14:paraId="42FA632B">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bookmarkStart w:id="230" w:name="_Toc30711"/>
      <w:bookmarkStart w:id="231" w:name="_Toc8872"/>
      <w:bookmarkStart w:id="232" w:name="_Toc18208"/>
      <w:r>
        <w:rPr>
          <w:rFonts w:hint="eastAsia" w:asciiTheme="minorEastAsia" w:hAnsiTheme="minorEastAsia" w:eastAsiaTheme="minorEastAsia" w:cstheme="minorEastAsia"/>
          <w:b/>
          <w:bCs/>
          <w:kern w:val="0"/>
          <w:sz w:val="24"/>
          <w:szCs w:val="24"/>
          <w:highlight w:val="none"/>
          <w:lang w:val="en-US" w:eastAsia="zh-CN"/>
        </w:rPr>
        <w:t>三、评分细则</w:t>
      </w:r>
      <w:bookmarkEnd w:id="230"/>
      <w:bookmarkEnd w:id="231"/>
      <w:bookmarkEnd w:id="232"/>
    </w:p>
    <w:tbl>
      <w:tblPr>
        <w:tblStyle w:val="7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75"/>
        <w:gridCol w:w="725"/>
        <w:gridCol w:w="6288"/>
      </w:tblGrid>
      <w:tr w14:paraId="0CB5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455" w:type="dxa"/>
            <w:gridSpan w:val="2"/>
            <w:noWrap w:val="0"/>
            <w:vAlign w:val="center"/>
          </w:tcPr>
          <w:p w14:paraId="55589437">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评分项目</w:t>
            </w:r>
          </w:p>
        </w:tc>
        <w:tc>
          <w:tcPr>
            <w:tcW w:w="725" w:type="dxa"/>
            <w:noWrap w:val="0"/>
            <w:vAlign w:val="center"/>
          </w:tcPr>
          <w:p w14:paraId="1F6A810A">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满分</w:t>
            </w:r>
          </w:p>
        </w:tc>
        <w:tc>
          <w:tcPr>
            <w:tcW w:w="6288" w:type="dxa"/>
            <w:noWrap w:val="0"/>
            <w:vAlign w:val="center"/>
          </w:tcPr>
          <w:p w14:paraId="7E4C01E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评分标准</w:t>
            </w:r>
          </w:p>
        </w:tc>
      </w:tr>
      <w:tr w14:paraId="4EC4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455" w:type="dxa"/>
            <w:gridSpan w:val="2"/>
            <w:noWrap w:val="0"/>
            <w:vAlign w:val="center"/>
          </w:tcPr>
          <w:p w14:paraId="46E82C9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报价得分（</w:t>
            </w:r>
            <w:r>
              <w:rPr>
                <w:rFonts w:hint="eastAsia" w:asciiTheme="minorEastAsia" w:hAnsiTheme="minorEastAsia" w:eastAsiaTheme="minorEastAsia" w:cstheme="minorEastAsia"/>
                <w:kern w:val="0"/>
                <w:sz w:val="24"/>
                <w:szCs w:val="24"/>
                <w:highlight w:val="none"/>
                <w:lang w:val="en-US" w:eastAsia="zh-CN"/>
              </w:rPr>
              <w:t>30分</w:t>
            </w:r>
            <w:r>
              <w:rPr>
                <w:rFonts w:hint="eastAsia" w:asciiTheme="minorEastAsia" w:hAnsiTheme="minorEastAsia" w:eastAsiaTheme="minorEastAsia" w:cstheme="minorEastAsia"/>
                <w:kern w:val="0"/>
                <w:sz w:val="24"/>
                <w:szCs w:val="24"/>
                <w:highlight w:val="none"/>
                <w:lang w:eastAsia="zh-CN"/>
              </w:rPr>
              <w:t>）</w:t>
            </w:r>
          </w:p>
        </w:tc>
        <w:tc>
          <w:tcPr>
            <w:tcW w:w="725" w:type="dxa"/>
            <w:noWrap w:val="0"/>
            <w:vAlign w:val="center"/>
          </w:tcPr>
          <w:p w14:paraId="3E5B1D3C">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30分</w:t>
            </w:r>
          </w:p>
        </w:tc>
        <w:tc>
          <w:tcPr>
            <w:tcW w:w="6288" w:type="dxa"/>
            <w:noWrap w:val="0"/>
            <w:vAlign w:val="center"/>
          </w:tcPr>
          <w:p w14:paraId="4306762B">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报价</w:t>
            </w:r>
            <w:r>
              <w:rPr>
                <w:rFonts w:hint="eastAsia" w:asciiTheme="minorEastAsia" w:hAnsiTheme="minorEastAsia" w:eastAsiaTheme="minorEastAsia" w:cstheme="minorEastAsia"/>
                <w:kern w:val="0"/>
                <w:sz w:val="24"/>
                <w:szCs w:val="24"/>
                <w:highlight w:val="none"/>
              </w:rPr>
              <w:t>得分采用低价优先法计算，既满足</w:t>
            </w:r>
            <w:r>
              <w:rPr>
                <w:rFonts w:hint="eastAsia" w:asciiTheme="minorEastAsia" w:hAnsiTheme="minorEastAsia" w:eastAsiaTheme="minorEastAsia" w:cstheme="minorEastAsia"/>
                <w:kern w:val="0"/>
                <w:sz w:val="24"/>
                <w:szCs w:val="24"/>
                <w:highlight w:val="none"/>
                <w:lang w:eastAsia="zh-CN"/>
              </w:rPr>
              <w:t>竞争性磋商文件</w:t>
            </w:r>
            <w:r>
              <w:rPr>
                <w:rFonts w:hint="eastAsia" w:asciiTheme="minorEastAsia" w:hAnsiTheme="minorEastAsia" w:eastAsiaTheme="minorEastAsia" w:cstheme="minorEastAsia"/>
                <w:kern w:val="0"/>
                <w:sz w:val="24"/>
                <w:szCs w:val="24"/>
                <w:highlight w:val="none"/>
              </w:rPr>
              <w:t>要求且报价最低的</w:t>
            </w:r>
            <w:r>
              <w:rPr>
                <w:rFonts w:hint="eastAsia" w:asciiTheme="minorEastAsia" w:hAnsiTheme="minorEastAsia" w:eastAsiaTheme="minorEastAsia" w:cstheme="minorEastAsia"/>
                <w:kern w:val="0"/>
                <w:sz w:val="24"/>
                <w:szCs w:val="24"/>
                <w:highlight w:val="none"/>
                <w:lang w:eastAsia="zh-CN"/>
              </w:rPr>
              <w:t>最终报价</w:t>
            </w:r>
            <w:r>
              <w:rPr>
                <w:rFonts w:hint="eastAsia" w:asciiTheme="minorEastAsia" w:hAnsiTheme="minorEastAsia" w:eastAsiaTheme="minorEastAsia" w:cstheme="minorEastAsia"/>
                <w:kern w:val="0"/>
                <w:sz w:val="24"/>
                <w:szCs w:val="24"/>
                <w:highlight w:val="none"/>
              </w:rPr>
              <w:t>为评标基准价，其价格分为满分，其他</w:t>
            </w:r>
            <w:r>
              <w:rPr>
                <w:rFonts w:hint="eastAsia" w:asciiTheme="minorEastAsia" w:hAnsiTheme="minorEastAsia" w:eastAsiaTheme="minorEastAsia" w:cstheme="minorEastAsia"/>
                <w:kern w:val="0"/>
                <w:sz w:val="24"/>
                <w:szCs w:val="24"/>
                <w:highlight w:val="none"/>
                <w:lang w:eastAsia="zh-CN"/>
              </w:rPr>
              <w:t>供应商</w:t>
            </w:r>
            <w:r>
              <w:rPr>
                <w:rFonts w:hint="eastAsia" w:asciiTheme="minorEastAsia" w:hAnsiTheme="minorEastAsia" w:eastAsiaTheme="minorEastAsia" w:cstheme="minorEastAsia"/>
                <w:kern w:val="0"/>
                <w:sz w:val="24"/>
                <w:szCs w:val="24"/>
                <w:highlight w:val="none"/>
              </w:rPr>
              <w:t>的</w:t>
            </w:r>
            <w:r>
              <w:rPr>
                <w:rFonts w:hint="eastAsia" w:asciiTheme="minorEastAsia" w:hAnsiTheme="minorEastAsia" w:eastAsiaTheme="minorEastAsia" w:cstheme="minorEastAsia"/>
                <w:kern w:val="0"/>
                <w:sz w:val="24"/>
                <w:szCs w:val="24"/>
                <w:highlight w:val="none"/>
                <w:lang w:eastAsia="zh-CN"/>
              </w:rPr>
              <w:t>报价</w:t>
            </w:r>
            <w:r>
              <w:rPr>
                <w:rFonts w:hint="eastAsia" w:asciiTheme="minorEastAsia" w:hAnsiTheme="minorEastAsia" w:eastAsiaTheme="minorEastAsia" w:cstheme="minorEastAsia"/>
                <w:kern w:val="0"/>
                <w:sz w:val="24"/>
                <w:szCs w:val="24"/>
                <w:highlight w:val="none"/>
              </w:rPr>
              <w:t>得分统一按照下列公式计算：</w:t>
            </w:r>
            <w:r>
              <w:rPr>
                <w:rFonts w:hint="eastAsia" w:asciiTheme="minorEastAsia" w:hAnsiTheme="minorEastAsia" w:eastAsiaTheme="minorEastAsia" w:cstheme="minorEastAsia"/>
                <w:kern w:val="0"/>
                <w:sz w:val="24"/>
                <w:szCs w:val="24"/>
                <w:highlight w:val="none"/>
                <w:lang w:eastAsia="zh-CN"/>
              </w:rPr>
              <w:t>报价</w:t>
            </w:r>
            <w:r>
              <w:rPr>
                <w:rFonts w:hint="eastAsia" w:asciiTheme="minorEastAsia" w:hAnsiTheme="minorEastAsia" w:eastAsiaTheme="minorEastAsia" w:cstheme="minorEastAsia"/>
                <w:kern w:val="0"/>
                <w:sz w:val="24"/>
                <w:szCs w:val="24"/>
                <w:highlight w:val="none"/>
              </w:rPr>
              <w:t>得分＝（评标基准价/</w:t>
            </w:r>
            <w:r>
              <w:rPr>
                <w:rFonts w:hint="eastAsia" w:asciiTheme="minorEastAsia" w:hAnsiTheme="minorEastAsia" w:eastAsiaTheme="minorEastAsia" w:cstheme="minorEastAsia"/>
                <w:kern w:val="0"/>
                <w:sz w:val="24"/>
                <w:szCs w:val="24"/>
                <w:highlight w:val="none"/>
                <w:lang w:eastAsia="zh-CN"/>
              </w:rPr>
              <w:t>最终</w:t>
            </w:r>
            <w:r>
              <w:rPr>
                <w:rFonts w:hint="eastAsia" w:asciiTheme="minorEastAsia" w:hAnsiTheme="minorEastAsia" w:eastAsiaTheme="minorEastAsia" w:cstheme="minorEastAsia"/>
                <w:kern w:val="0"/>
                <w:sz w:val="24"/>
                <w:szCs w:val="24"/>
                <w:highlight w:val="none"/>
              </w:rPr>
              <w:t>报价）×</w:t>
            </w:r>
            <w:r>
              <w:rPr>
                <w:rFonts w:hint="eastAsia" w:asciiTheme="minorEastAsia" w:hAnsiTheme="minorEastAsia" w:eastAsiaTheme="minorEastAsia" w:cstheme="minorEastAsia"/>
                <w:kern w:val="0"/>
                <w:sz w:val="24"/>
                <w:szCs w:val="24"/>
                <w:highlight w:val="none"/>
                <w:lang w:val="en-US" w:eastAsia="zh-CN"/>
              </w:rPr>
              <w:t>价格权值（30%）</w:t>
            </w:r>
            <w:r>
              <w:rPr>
                <w:rFonts w:hint="eastAsia" w:asciiTheme="minorEastAsia" w:hAnsiTheme="minorEastAsia" w:eastAsiaTheme="minorEastAsia" w:cstheme="minorEastAsia"/>
                <w:kern w:val="0"/>
                <w:sz w:val="24"/>
                <w:szCs w:val="24"/>
                <w:highlight w:val="none"/>
              </w:rPr>
              <w:t xml:space="preserve">×100。 </w:t>
            </w:r>
          </w:p>
        </w:tc>
      </w:tr>
      <w:tr w14:paraId="7C83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80" w:type="dxa"/>
            <w:noWrap w:val="0"/>
            <w:vAlign w:val="center"/>
          </w:tcPr>
          <w:p w14:paraId="3A4A18D3">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商务部分（</w:t>
            </w:r>
            <w:r>
              <w:rPr>
                <w:rFonts w:hint="eastAsia" w:asciiTheme="minorEastAsia" w:hAnsiTheme="minorEastAsia" w:eastAsiaTheme="minorEastAsia" w:cstheme="minorEastAsia"/>
                <w:kern w:val="0"/>
                <w:sz w:val="24"/>
                <w:szCs w:val="24"/>
                <w:highlight w:val="none"/>
                <w:lang w:val="en-US" w:eastAsia="zh-CN"/>
              </w:rPr>
              <w:t>5分</w:t>
            </w:r>
            <w:r>
              <w:rPr>
                <w:rFonts w:hint="eastAsia" w:asciiTheme="minorEastAsia" w:hAnsiTheme="minorEastAsia" w:eastAsiaTheme="minorEastAsia" w:cstheme="minorEastAsia"/>
                <w:kern w:val="0"/>
                <w:sz w:val="24"/>
                <w:szCs w:val="24"/>
                <w:highlight w:val="none"/>
                <w:lang w:eastAsia="zh-CN"/>
              </w:rPr>
              <w:t>）</w:t>
            </w:r>
          </w:p>
        </w:tc>
        <w:tc>
          <w:tcPr>
            <w:tcW w:w="1275" w:type="dxa"/>
            <w:noWrap w:val="0"/>
            <w:vAlign w:val="center"/>
          </w:tcPr>
          <w:p w14:paraId="7CD1727E">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企业业绩</w:t>
            </w:r>
          </w:p>
        </w:tc>
        <w:tc>
          <w:tcPr>
            <w:tcW w:w="725" w:type="dxa"/>
            <w:noWrap w:val="0"/>
            <w:vAlign w:val="center"/>
          </w:tcPr>
          <w:p w14:paraId="4D56CAF5">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5分</w:t>
            </w:r>
          </w:p>
        </w:tc>
        <w:tc>
          <w:tcPr>
            <w:tcW w:w="6288" w:type="dxa"/>
            <w:noWrap w:val="0"/>
            <w:vAlign w:val="center"/>
          </w:tcPr>
          <w:p w14:paraId="4ADDA7AC">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供应商提供</w:t>
            </w:r>
            <w:r>
              <w:rPr>
                <w:rFonts w:hint="default" w:asciiTheme="minorEastAsia" w:hAnsiTheme="minorEastAsia" w:eastAsiaTheme="minorEastAsia" w:cstheme="minorEastAsia"/>
                <w:kern w:val="0"/>
                <w:sz w:val="24"/>
                <w:szCs w:val="24"/>
                <w:highlight w:val="none"/>
                <w:lang w:val="en-US" w:eastAsia="zh-CN"/>
              </w:rPr>
              <w:t>20</w:t>
            </w:r>
            <w:r>
              <w:rPr>
                <w:rFonts w:hint="eastAsia" w:asciiTheme="minorEastAsia" w:hAnsiTheme="minorEastAsia" w:eastAsiaTheme="minorEastAsia" w:cstheme="minorEastAsia"/>
                <w:kern w:val="0"/>
                <w:sz w:val="24"/>
                <w:szCs w:val="24"/>
                <w:highlight w:val="none"/>
                <w:lang w:val="en-US" w:eastAsia="zh-CN"/>
              </w:rPr>
              <w:t>22</w:t>
            </w:r>
            <w:r>
              <w:rPr>
                <w:rFonts w:hint="default" w:asciiTheme="minorEastAsia" w:hAnsiTheme="minorEastAsia" w:eastAsiaTheme="minorEastAsia" w:cstheme="minorEastAsia"/>
                <w:kern w:val="0"/>
                <w:sz w:val="24"/>
                <w:szCs w:val="24"/>
                <w:highlight w:val="none"/>
                <w:lang w:val="en-US" w:eastAsia="zh-CN"/>
              </w:rPr>
              <w:t>年1月1日</w:t>
            </w:r>
            <w:r>
              <w:rPr>
                <w:rFonts w:hint="eastAsia" w:asciiTheme="minorEastAsia" w:hAnsiTheme="minorEastAsia" w:eastAsiaTheme="minorEastAsia" w:cstheme="minorEastAsia"/>
                <w:kern w:val="0"/>
                <w:sz w:val="24"/>
                <w:szCs w:val="24"/>
                <w:highlight w:val="none"/>
                <w:lang w:val="en-US" w:eastAsia="zh-CN"/>
              </w:rPr>
              <w:t>至今（以合同签订时间为准）</w:t>
            </w:r>
            <w:r>
              <w:rPr>
                <w:rFonts w:hint="default" w:asciiTheme="minorEastAsia" w:hAnsiTheme="minorEastAsia" w:eastAsiaTheme="minorEastAsia" w:cstheme="minorEastAsia"/>
                <w:kern w:val="0"/>
                <w:sz w:val="24"/>
                <w:szCs w:val="24"/>
                <w:highlight w:val="none"/>
                <w:lang w:val="en-US" w:eastAsia="zh-CN"/>
              </w:rPr>
              <w:t>承担过</w:t>
            </w:r>
            <w:r>
              <w:rPr>
                <w:rFonts w:hint="eastAsia" w:asciiTheme="minorEastAsia" w:hAnsiTheme="minorEastAsia" w:eastAsiaTheme="minorEastAsia" w:cstheme="minorEastAsia"/>
                <w:kern w:val="0"/>
                <w:sz w:val="24"/>
                <w:szCs w:val="24"/>
                <w:highlight w:val="none"/>
                <w:lang w:val="en-US" w:eastAsia="zh-CN"/>
              </w:rPr>
              <w:t>的</w:t>
            </w:r>
            <w:r>
              <w:rPr>
                <w:rFonts w:hint="default" w:asciiTheme="minorEastAsia" w:hAnsiTheme="minorEastAsia" w:eastAsiaTheme="minorEastAsia" w:cstheme="minorEastAsia"/>
                <w:kern w:val="0"/>
                <w:sz w:val="24"/>
                <w:szCs w:val="24"/>
                <w:highlight w:val="none"/>
                <w:lang w:val="en-US" w:eastAsia="zh-CN"/>
              </w:rPr>
              <w:t>所投产品的</w:t>
            </w:r>
            <w:r>
              <w:rPr>
                <w:rFonts w:hint="eastAsia" w:asciiTheme="minorEastAsia" w:hAnsiTheme="minorEastAsia" w:eastAsiaTheme="minorEastAsia" w:cstheme="minorEastAsia"/>
                <w:kern w:val="0"/>
                <w:sz w:val="24"/>
                <w:szCs w:val="24"/>
                <w:highlight w:val="none"/>
                <w:lang w:val="en-US" w:eastAsia="zh-CN"/>
              </w:rPr>
              <w:t>业绩</w:t>
            </w:r>
            <w:r>
              <w:rPr>
                <w:rFonts w:hint="default" w:asciiTheme="minorEastAsia" w:hAnsiTheme="minorEastAsia" w:eastAsia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每提供一份</w:t>
            </w:r>
            <w:r>
              <w:rPr>
                <w:rFonts w:hint="default" w:asciiTheme="minorEastAsia" w:hAnsiTheme="minorEastAsia" w:eastAsiaTheme="minorEastAsia" w:cstheme="minorEastAsia"/>
                <w:kern w:val="0"/>
                <w:sz w:val="24"/>
                <w:szCs w:val="24"/>
                <w:highlight w:val="none"/>
                <w:lang w:val="en-US" w:eastAsia="zh-CN"/>
              </w:rPr>
              <w:t>得</w:t>
            </w:r>
            <w:r>
              <w:rPr>
                <w:rFonts w:hint="eastAsia" w:asciiTheme="minorEastAsia" w:hAnsiTheme="minorEastAsia" w:eastAsiaTheme="minorEastAsia" w:cstheme="minorEastAsia"/>
                <w:kern w:val="0"/>
                <w:sz w:val="24"/>
                <w:szCs w:val="24"/>
                <w:highlight w:val="none"/>
                <w:lang w:val="en-US" w:eastAsia="zh-CN"/>
              </w:rPr>
              <w:t>1</w:t>
            </w:r>
            <w:r>
              <w:rPr>
                <w:rFonts w:hint="default" w:asciiTheme="minorEastAsia" w:hAnsiTheme="minorEastAsia" w:eastAsiaTheme="minorEastAsia" w:cstheme="minorEastAsia"/>
                <w:kern w:val="0"/>
                <w:sz w:val="24"/>
                <w:szCs w:val="24"/>
                <w:highlight w:val="none"/>
                <w:lang w:val="en-US" w:eastAsia="zh-CN"/>
              </w:rPr>
              <w:t>分；本项最高得</w:t>
            </w:r>
            <w:r>
              <w:rPr>
                <w:rFonts w:hint="eastAsia" w:asciiTheme="minorEastAsia" w:hAnsiTheme="minorEastAsia" w:eastAsiaTheme="minorEastAsia" w:cstheme="minorEastAsia"/>
                <w:kern w:val="0"/>
                <w:sz w:val="24"/>
                <w:szCs w:val="24"/>
                <w:highlight w:val="none"/>
                <w:lang w:val="en-US" w:eastAsia="zh-CN"/>
              </w:rPr>
              <w:t>5</w:t>
            </w:r>
            <w:r>
              <w:rPr>
                <w:rFonts w:hint="default" w:asciiTheme="minorEastAsia" w:hAnsiTheme="minorEastAsia" w:eastAsiaTheme="minorEastAsia" w:cstheme="minorEastAsia"/>
                <w:kern w:val="0"/>
                <w:sz w:val="24"/>
                <w:szCs w:val="24"/>
                <w:highlight w:val="none"/>
                <w:lang w:val="en-US" w:eastAsia="zh-CN"/>
              </w:rPr>
              <w:t>分。</w:t>
            </w:r>
          </w:p>
          <w:p w14:paraId="7102595C">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eastAsiaTheme="minorEastAsia" w:cstheme="minorEastAsia"/>
                <w:b/>
                <w:bCs/>
                <w:kern w:val="0"/>
                <w:sz w:val="24"/>
                <w:szCs w:val="24"/>
                <w:highlight w:val="none"/>
                <w:lang w:val="en-US" w:eastAsia="zh-CN"/>
              </w:rPr>
              <w:t>注：提供合同</w:t>
            </w:r>
            <w:r>
              <w:rPr>
                <w:rFonts w:hint="eastAsia" w:asciiTheme="minorEastAsia" w:hAnsiTheme="minorEastAsia" w:eastAsiaTheme="minorEastAsia" w:cstheme="minorEastAsia"/>
                <w:b/>
                <w:bCs/>
                <w:kern w:val="0"/>
                <w:sz w:val="24"/>
                <w:szCs w:val="24"/>
                <w:highlight w:val="none"/>
                <w:lang w:val="en-US" w:eastAsia="zh-CN"/>
              </w:rPr>
              <w:t>扫描件附在电子响应文件中，未按要求提供的不得分</w:t>
            </w:r>
            <w:r>
              <w:rPr>
                <w:rFonts w:hint="default" w:asciiTheme="minorEastAsia" w:hAnsiTheme="minorEastAsia" w:eastAsiaTheme="minorEastAsia" w:cstheme="minorEastAsia"/>
                <w:b/>
                <w:bCs/>
                <w:kern w:val="0"/>
                <w:sz w:val="24"/>
                <w:szCs w:val="24"/>
                <w:highlight w:val="none"/>
                <w:lang w:val="en-US" w:eastAsia="zh-CN"/>
              </w:rPr>
              <w:t>。</w:t>
            </w:r>
          </w:p>
        </w:tc>
      </w:tr>
      <w:tr w14:paraId="75BA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80" w:type="dxa"/>
            <w:vMerge w:val="restart"/>
            <w:noWrap w:val="0"/>
            <w:vAlign w:val="center"/>
          </w:tcPr>
          <w:p w14:paraId="488E75CC">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技术部分（</w:t>
            </w:r>
            <w:r>
              <w:rPr>
                <w:rFonts w:hint="eastAsia" w:asciiTheme="minorEastAsia" w:hAnsiTheme="minorEastAsia" w:eastAsiaTheme="minorEastAsia" w:cstheme="minorEastAsia"/>
                <w:kern w:val="0"/>
                <w:sz w:val="24"/>
                <w:szCs w:val="24"/>
                <w:highlight w:val="none"/>
                <w:lang w:val="en-US" w:eastAsia="zh-CN"/>
              </w:rPr>
              <w:t>65分</w:t>
            </w:r>
            <w:r>
              <w:rPr>
                <w:rFonts w:hint="eastAsia" w:asciiTheme="minorEastAsia" w:hAnsiTheme="minorEastAsia" w:eastAsiaTheme="minorEastAsia" w:cstheme="minorEastAsia"/>
                <w:kern w:val="0"/>
                <w:sz w:val="24"/>
                <w:szCs w:val="24"/>
                <w:highlight w:val="none"/>
                <w:lang w:eastAsia="zh-CN"/>
              </w:rPr>
              <w:t>）</w:t>
            </w:r>
          </w:p>
        </w:tc>
        <w:tc>
          <w:tcPr>
            <w:tcW w:w="1275" w:type="dxa"/>
            <w:noWrap w:val="0"/>
            <w:vAlign w:val="center"/>
          </w:tcPr>
          <w:p w14:paraId="15B49D8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技术参数响应情况</w:t>
            </w:r>
          </w:p>
        </w:tc>
        <w:tc>
          <w:tcPr>
            <w:tcW w:w="725" w:type="dxa"/>
            <w:noWrap w:val="0"/>
            <w:vAlign w:val="center"/>
          </w:tcPr>
          <w:p w14:paraId="1AC25B44">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w:t>
            </w:r>
            <w:r>
              <w:rPr>
                <w:rFonts w:hint="default" w:asciiTheme="minorEastAsia" w:hAnsiTheme="minorEastAsia" w:eastAsiaTheme="minorEastAsia" w:cstheme="minorEastAsia"/>
                <w:kern w:val="0"/>
                <w:sz w:val="24"/>
                <w:szCs w:val="24"/>
                <w:highlight w:val="none"/>
                <w:lang w:eastAsia="zh-CN"/>
              </w:rPr>
              <w:t>5</w:t>
            </w:r>
            <w:r>
              <w:rPr>
                <w:rFonts w:hint="eastAsia" w:asciiTheme="minorEastAsia" w:hAnsiTheme="minorEastAsia" w:eastAsiaTheme="minorEastAsia" w:cstheme="minorEastAsia"/>
                <w:kern w:val="0"/>
                <w:sz w:val="24"/>
                <w:szCs w:val="24"/>
                <w:highlight w:val="none"/>
                <w:lang w:val="en-US" w:eastAsia="zh-CN"/>
              </w:rPr>
              <w:t>分</w:t>
            </w:r>
          </w:p>
        </w:tc>
        <w:tc>
          <w:tcPr>
            <w:tcW w:w="6288" w:type="dxa"/>
            <w:noWrap w:val="0"/>
            <w:vAlign w:val="center"/>
          </w:tcPr>
          <w:p w14:paraId="074A956E">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根据供应商提供的所投产品技术参数的相关证明材料进行评审，技术参数完全满足竞争性磋商文件要求，得基础分1</w:t>
            </w:r>
            <w:r>
              <w:rPr>
                <w:rFonts w:hint="default" w:asciiTheme="minorEastAsia" w:hAnsiTheme="minorEastAsia" w:eastAsiaTheme="minorEastAsia" w:cstheme="minorEastAsia"/>
                <w:kern w:val="0"/>
                <w:sz w:val="24"/>
                <w:szCs w:val="24"/>
                <w:highlight w:val="none"/>
                <w:lang w:eastAsia="zh-CN"/>
              </w:rPr>
              <w:t>5</w:t>
            </w:r>
            <w:r>
              <w:rPr>
                <w:rFonts w:hint="eastAsia" w:asciiTheme="minorEastAsia" w:hAnsiTheme="minorEastAsia" w:eastAsiaTheme="minorEastAsia" w:cstheme="minorEastAsia"/>
                <w:kern w:val="0"/>
                <w:sz w:val="24"/>
                <w:szCs w:val="24"/>
                <w:highlight w:val="none"/>
                <w:lang w:val="en-US" w:eastAsia="zh-CN"/>
              </w:rPr>
              <w:t>分；每有一处负偏离，在15分的基础上扣</w:t>
            </w:r>
            <w:r>
              <w:rPr>
                <w:rFonts w:hint="default" w:asciiTheme="minorEastAsia" w:hAnsiTheme="minorEastAsia" w:eastAsiaTheme="minorEastAsia" w:cstheme="minorEastAsia"/>
                <w:kern w:val="0"/>
                <w:sz w:val="24"/>
                <w:szCs w:val="24"/>
                <w:highlight w:val="none"/>
                <w:lang w:eastAsia="zh-CN"/>
              </w:rPr>
              <w:t>1</w:t>
            </w:r>
            <w:r>
              <w:rPr>
                <w:rFonts w:hint="eastAsia" w:asciiTheme="minorEastAsia" w:hAnsiTheme="minorEastAsia" w:eastAsiaTheme="minorEastAsia" w:cstheme="minorEastAsia"/>
                <w:kern w:val="0"/>
                <w:sz w:val="24"/>
                <w:szCs w:val="24"/>
                <w:highlight w:val="none"/>
                <w:lang w:val="en-US" w:eastAsia="zh-CN"/>
              </w:rPr>
              <w:t>分，扣完为止。</w:t>
            </w:r>
          </w:p>
          <w:p w14:paraId="75EFCE5F">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注：未提交技术参数相关证明材料的，磋商小组有权按负偏离处理。</w:t>
            </w:r>
          </w:p>
        </w:tc>
      </w:tr>
      <w:tr w14:paraId="050F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80" w:type="dxa"/>
            <w:vMerge w:val="continue"/>
            <w:noWrap w:val="0"/>
            <w:vAlign w:val="center"/>
          </w:tcPr>
          <w:p w14:paraId="598F66CA">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p>
        </w:tc>
        <w:tc>
          <w:tcPr>
            <w:tcW w:w="1275" w:type="dxa"/>
            <w:noWrap w:val="0"/>
            <w:vAlign w:val="center"/>
          </w:tcPr>
          <w:p w14:paraId="6B703419">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产品配置</w:t>
            </w:r>
          </w:p>
        </w:tc>
        <w:tc>
          <w:tcPr>
            <w:tcW w:w="725" w:type="dxa"/>
            <w:noWrap w:val="0"/>
            <w:vAlign w:val="center"/>
          </w:tcPr>
          <w:p w14:paraId="69BB34E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9分</w:t>
            </w:r>
          </w:p>
        </w:tc>
        <w:tc>
          <w:tcPr>
            <w:tcW w:w="6288" w:type="dxa"/>
            <w:noWrap w:val="0"/>
            <w:vAlign w:val="center"/>
          </w:tcPr>
          <w:p w14:paraId="1C847464">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根据供应商所投产品的技术成熟度、产品选型、产品配置情况等进行评审，产品配置高、选型合理、技术成熟得9分；每发现一处缺陷及内容不合理扣1分，扣完为止。</w:t>
            </w:r>
            <w:r>
              <w:rPr>
                <w:rFonts w:hint="eastAsia" w:asciiTheme="minorEastAsia" w:hAnsiTheme="minorEastAsia" w:eastAsiaTheme="minorEastAsia" w:cstheme="minorEastAsia"/>
                <w:kern w:val="0"/>
                <w:sz w:val="24"/>
                <w:szCs w:val="24"/>
                <w:highlight w:val="none"/>
                <w:lang w:val="en-US" w:eastAsia="en-US"/>
              </w:rPr>
              <w:t>无本项描述的不得分。</w:t>
            </w:r>
          </w:p>
        </w:tc>
      </w:tr>
      <w:tr w14:paraId="03E9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80" w:type="dxa"/>
            <w:vMerge w:val="continue"/>
            <w:noWrap w:val="0"/>
            <w:vAlign w:val="center"/>
          </w:tcPr>
          <w:p w14:paraId="114D5245">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p>
        </w:tc>
        <w:tc>
          <w:tcPr>
            <w:tcW w:w="1275" w:type="dxa"/>
            <w:noWrap w:val="0"/>
            <w:vAlign w:val="center"/>
          </w:tcPr>
          <w:p w14:paraId="73F4057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产品性能</w:t>
            </w:r>
          </w:p>
        </w:tc>
        <w:tc>
          <w:tcPr>
            <w:tcW w:w="725" w:type="dxa"/>
            <w:noWrap w:val="0"/>
            <w:vAlign w:val="center"/>
          </w:tcPr>
          <w:p w14:paraId="65C939BA">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8分</w:t>
            </w:r>
          </w:p>
        </w:tc>
        <w:tc>
          <w:tcPr>
            <w:tcW w:w="6288" w:type="dxa"/>
            <w:noWrap w:val="0"/>
            <w:vAlign w:val="center"/>
          </w:tcPr>
          <w:p w14:paraId="60C01490">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根据供应商所投产品的先进性、可靠性、完整性、设备稳定性等产品性能方面进行评审，产品技术先进、可靠，运行稳定，无故障运行时间长的得9分；每发现一处缺陷及内容不合理扣1分，扣完为止。</w:t>
            </w:r>
            <w:r>
              <w:rPr>
                <w:rFonts w:hint="eastAsia" w:asciiTheme="minorEastAsia" w:hAnsiTheme="minorEastAsia" w:eastAsiaTheme="minorEastAsia" w:cstheme="minorEastAsia"/>
                <w:kern w:val="0"/>
                <w:sz w:val="24"/>
                <w:szCs w:val="24"/>
                <w:highlight w:val="none"/>
                <w:lang w:val="en-US" w:eastAsia="en-US"/>
              </w:rPr>
              <w:t>无本项描述的不得分。</w:t>
            </w:r>
          </w:p>
        </w:tc>
      </w:tr>
      <w:tr w14:paraId="0ED7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80" w:type="dxa"/>
            <w:vMerge w:val="continue"/>
            <w:noWrap w:val="0"/>
            <w:vAlign w:val="center"/>
          </w:tcPr>
          <w:p w14:paraId="537EF17F">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p>
        </w:tc>
        <w:tc>
          <w:tcPr>
            <w:tcW w:w="1275" w:type="dxa"/>
            <w:noWrap w:val="0"/>
            <w:vAlign w:val="center"/>
          </w:tcPr>
          <w:p w14:paraId="1194771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供货组织方案</w:t>
            </w:r>
          </w:p>
        </w:tc>
        <w:tc>
          <w:tcPr>
            <w:tcW w:w="725" w:type="dxa"/>
            <w:noWrap w:val="0"/>
            <w:vAlign w:val="center"/>
          </w:tcPr>
          <w:p w14:paraId="1E13A7D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7分</w:t>
            </w:r>
          </w:p>
        </w:tc>
        <w:tc>
          <w:tcPr>
            <w:tcW w:w="6288" w:type="dxa"/>
            <w:noWrap w:val="0"/>
            <w:vAlign w:val="center"/>
          </w:tcPr>
          <w:p w14:paraId="5F182E4B">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根据供货组织方案、产品运输、安装和调试的具体实施方案、主要技术保障措施、应用技术支持等进行评审，方案科学合理、可操作性强、技术保障措施全面、应用技术支持完善得8分；每发现一处缺陷及内容不合理扣1分，扣完为止。</w:t>
            </w:r>
            <w:r>
              <w:rPr>
                <w:rFonts w:hint="eastAsia" w:asciiTheme="minorEastAsia" w:hAnsiTheme="minorEastAsia" w:eastAsiaTheme="minorEastAsia" w:cstheme="minorEastAsia"/>
                <w:kern w:val="0"/>
                <w:sz w:val="24"/>
                <w:szCs w:val="24"/>
                <w:highlight w:val="none"/>
                <w:lang w:val="en-US" w:eastAsia="en-US"/>
              </w:rPr>
              <w:t>无本项描述的不得分。</w:t>
            </w:r>
          </w:p>
        </w:tc>
      </w:tr>
      <w:tr w14:paraId="5BEC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80" w:type="dxa"/>
            <w:vMerge w:val="continue"/>
            <w:noWrap w:val="0"/>
            <w:vAlign w:val="center"/>
          </w:tcPr>
          <w:p w14:paraId="3A174247">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p>
        </w:tc>
        <w:tc>
          <w:tcPr>
            <w:tcW w:w="1275" w:type="dxa"/>
            <w:noWrap w:val="0"/>
            <w:vAlign w:val="center"/>
          </w:tcPr>
          <w:p w14:paraId="273C8D1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产品质量保证措施</w:t>
            </w:r>
          </w:p>
        </w:tc>
        <w:tc>
          <w:tcPr>
            <w:tcW w:w="725" w:type="dxa"/>
            <w:noWrap w:val="0"/>
            <w:vAlign w:val="center"/>
          </w:tcPr>
          <w:p w14:paraId="284AF9DF">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7分</w:t>
            </w:r>
          </w:p>
        </w:tc>
        <w:tc>
          <w:tcPr>
            <w:tcW w:w="6288" w:type="dxa"/>
            <w:noWrap w:val="0"/>
            <w:vAlign w:val="center"/>
          </w:tcPr>
          <w:p w14:paraId="17DE855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根据响应文件中提供的</w:t>
            </w:r>
            <w:r>
              <w:rPr>
                <w:rFonts w:hint="eastAsia" w:asciiTheme="minorEastAsia" w:hAnsiTheme="minorEastAsia" w:eastAsiaTheme="minorEastAsia" w:cstheme="minorEastAsia"/>
                <w:kern w:val="0"/>
                <w:sz w:val="24"/>
                <w:szCs w:val="24"/>
                <w:highlight w:val="none"/>
                <w:lang w:eastAsia="zh-CN"/>
              </w:rPr>
              <w:t>产品</w:t>
            </w:r>
            <w:r>
              <w:rPr>
                <w:rFonts w:hint="eastAsia" w:asciiTheme="minorEastAsia" w:hAnsiTheme="minorEastAsia" w:eastAsiaTheme="minorEastAsia" w:cstheme="minorEastAsia"/>
                <w:kern w:val="0"/>
                <w:sz w:val="24"/>
                <w:szCs w:val="24"/>
                <w:highlight w:val="none"/>
              </w:rPr>
              <w:t>质量保证措施</w:t>
            </w:r>
            <w:r>
              <w:rPr>
                <w:rFonts w:hint="eastAsia" w:asciiTheme="minorEastAsia" w:hAnsiTheme="minorEastAsia" w:eastAsiaTheme="minorEastAsia" w:cstheme="minorEastAsia"/>
                <w:kern w:val="0"/>
                <w:sz w:val="24"/>
                <w:szCs w:val="24"/>
                <w:highlight w:val="none"/>
                <w:lang w:val="en-US" w:eastAsia="zh-CN"/>
              </w:rPr>
              <w:t>及</w:t>
            </w:r>
            <w:r>
              <w:rPr>
                <w:rFonts w:hint="eastAsia" w:asciiTheme="minorEastAsia" w:hAnsiTheme="minorEastAsia" w:eastAsiaTheme="minorEastAsia" w:cstheme="minorEastAsia"/>
                <w:kern w:val="0"/>
                <w:sz w:val="24"/>
                <w:szCs w:val="24"/>
                <w:highlight w:val="none"/>
              </w:rPr>
              <w:t>验收标准进行评审，措施健全、有针对性</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验收标准</w:t>
            </w:r>
            <w:r>
              <w:rPr>
                <w:rFonts w:hint="eastAsia" w:asciiTheme="minorEastAsia" w:hAnsiTheme="minorEastAsia" w:eastAsiaTheme="minorEastAsia" w:cstheme="minorEastAsia"/>
                <w:kern w:val="0"/>
                <w:sz w:val="24"/>
                <w:szCs w:val="24"/>
                <w:highlight w:val="none"/>
                <w:lang w:val="en-US" w:eastAsia="zh-CN"/>
              </w:rPr>
              <w:t>完善得8分；每发现一处缺陷及内容不合理扣1分，扣完为止。</w:t>
            </w:r>
            <w:r>
              <w:rPr>
                <w:rFonts w:hint="eastAsia" w:asciiTheme="minorEastAsia" w:hAnsiTheme="minorEastAsia" w:eastAsiaTheme="minorEastAsia" w:cstheme="minorEastAsia"/>
                <w:kern w:val="0"/>
                <w:sz w:val="24"/>
                <w:szCs w:val="24"/>
                <w:highlight w:val="none"/>
                <w:lang w:val="en-US" w:eastAsia="en-US"/>
              </w:rPr>
              <w:t>无本项描述的不得分。</w:t>
            </w:r>
          </w:p>
        </w:tc>
      </w:tr>
      <w:tr w14:paraId="12EC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80" w:type="dxa"/>
            <w:vMerge w:val="continue"/>
            <w:noWrap w:val="0"/>
            <w:vAlign w:val="center"/>
          </w:tcPr>
          <w:p w14:paraId="38BC2A12">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p>
        </w:tc>
        <w:tc>
          <w:tcPr>
            <w:tcW w:w="1275" w:type="dxa"/>
            <w:noWrap w:val="0"/>
            <w:vAlign w:val="center"/>
          </w:tcPr>
          <w:p w14:paraId="18CDCE13">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培训方案</w:t>
            </w:r>
          </w:p>
        </w:tc>
        <w:tc>
          <w:tcPr>
            <w:tcW w:w="725" w:type="dxa"/>
            <w:noWrap w:val="0"/>
            <w:vAlign w:val="center"/>
          </w:tcPr>
          <w:p w14:paraId="4FA332D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7分</w:t>
            </w:r>
          </w:p>
        </w:tc>
        <w:tc>
          <w:tcPr>
            <w:tcW w:w="6288" w:type="dxa"/>
            <w:noWrap w:val="0"/>
            <w:vAlign w:val="center"/>
          </w:tcPr>
          <w:p w14:paraId="243F0897">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根据响应文件中提供的</w:t>
            </w:r>
            <w:r>
              <w:rPr>
                <w:rFonts w:hint="eastAsia" w:asciiTheme="minorEastAsia" w:hAnsiTheme="minorEastAsia" w:eastAsiaTheme="minorEastAsia" w:cstheme="minorEastAsia"/>
                <w:kern w:val="0"/>
                <w:sz w:val="24"/>
                <w:szCs w:val="24"/>
                <w:highlight w:val="none"/>
                <w:lang w:val="en-US" w:eastAsia="zh-CN"/>
              </w:rPr>
              <w:t>培训方案</w:t>
            </w:r>
            <w:r>
              <w:rPr>
                <w:rFonts w:hint="eastAsia" w:asciiTheme="minorEastAsia" w:hAnsiTheme="minorEastAsia" w:eastAsiaTheme="minorEastAsia" w:cstheme="minorEastAsia"/>
                <w:kern w:val="0"/>
                <w:sz w:val="24"/>
                <w:szCs w:val="24"/>
                <w:highlight w:val="none"/>
              </w:rPr>
              <w:t>进行评审</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培训重点、难点清晰，理论、实操方案完善，培训时间设置合理得7分；每发现一处缺陷及内容不合理扣1分，扣完为止。</w:t>
            </w:r>
            <w:r>
              <w:rPr>
                <w:rFonts w:hint="eastAsia" w:asciiTheme="minorEastAsia" w:hAnsiTheme="minorEastAsia" w:eastAsiaTheme="minorEastAsia" w:cstheme="minorEastAsia"/>
                <w:kern w:val="0"/>
                <w:sz w:val="24"/>
                <w:szCs w:val="24"/>
                <w:highlight w:val="none"/>
                <w:lang w:val="en-US" w:eastAsia="en-US"/>
              </w:rPr>
              <w:t>无本项描述的不得分。</w:t>
            </w:r>
          </w:p>
        </w:tc>
      </w:tr>
      <w:tr w14:paraId="6FC1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80" w:type="dxa"/>
            <w:vMerge w:val="continue"/>
            <w:noWrap w:val="0"/>
            <w:vAlign w:val="center"/>
          </w:tcPr>
          <w:p w14:paraId="2A044395">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p>
        </w:tc>
        <w:tc>
          <w:tcPr>
            <w:tcW w:w="1275" w:type="dxa"/>
            <w:noWrap w:val="0"/>
            <w:vAlign w:val="center"/>
          </w:tcPr>
          <w:p w14:paraId="73D3ECCE">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备品备件配置</w:t>
            </w:r>
          </w:p>
        </w:tc>
        <w:tc>
          <w:tcPr>
            <w:tcW w:w="725" w:type="dxa"/>
            <w:noWrap w:val="0"/>
            <w:vAlign w:val="center"/>
          </w:tcPr>
          <w:p w14:paraId="723C490E">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6分</w:t>
            </w:r>
          </w:p>
        </w:tc>
        <w:tc>
          <w:tcPr>
            <w:tcW w:w="6288" w:type="dxa"/>
            <w:noWrap w:val="0"/>
            <w:vAlign w:val="center"/>
          </w:tcPr>
          <w:p w14:paraId="3FB481E8">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根据响应文件中提供的</w:t>
            </w:r>
            <w:r>
              <w:rPr>
                <w:rFonts w:hint="eastAsia" w:asciiTheme="minorEastAsia" w:hAnsiTheme="minorEastAsia" w:eastAsiaTheme="minorEastAsia" w:cstheme="minorEastAsia"/>
                <w:kern w:val="0"/>
                <w:sz w:val="24"/>
                <w:szCs w:val="24"/>
                <w:highlight w:val="none"/>
                <w:lang w:val="en-US" w:eastAsia="zh-CN"/>
              </w:rPr>
              <w:t>备品备件供应和配置情况进行评审，备品、备件配置方案具体，备件库完善，备品、备件价格合理且优惠得7分；每发现一处缺陷及内容不合理扣1分，扣完为止。</w:t>
            </w:r>
            <w:r>
              <w:rPr>
                <w:rFonts w:hint="eastAsia" w:asciiTheme="minorEastAsia" w:hAnsiTheme="minorEastAsia" w:eastAsiaTheme="minorEastAsia" w:cstheme="minorEastAsia"/>
                <w:kern w:val="0"/>
                <w:sz w:val="24"/>
                <w:szCs w:val="24"/>
                <w:highlight w:val="none"/>
                <w:lang w:val="en-US" w:eastAsia="en-US"/>
              </w:rPr>
              <w:t>无本项描述的不得分。</w:t>
            </w:r>
          </w:p>
        </w:tc>
      </w:tr>
      <w:tr w14:paraId="2865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80" w:type="dxa"/>
            <w:vMerge w:val="continue"/>
            <w:noWrap w:val="0"/>
            <w:vAlign w:val="center"/>
          </w:tcPr>
          <w:p w14:paraId="6282EC5F">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eastAsia="zh-CN"/>
              </w:rPr>
            </w:pPr>
          </w:p>
        </w:tc>
        <w:tc>
          <w:tcPr>
            <w:tcW w:w="1275" w:type="dxa"/>
            <w:noWrap w:val="0"/>
            <w:vAlign w:val="center"/>
          </w:tcPr>
          <w:p w14:paraId="6B56AC5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售后服务</w:t>
            </w:r>
          </w:p>
        </w:tc>
        <w:tc>
          <w:tcPr>
            <w:tcW w:w="725" w:type="dxa"/>
            <w:noWrap w:val="0"/>
            <w:vAlign w:val="center"/>
          </w:tcPr>
          <w:p w14:paraId="442D0D40">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6分</w:t>
            </w:r>
          </w:p>
        </w:tc>
        <w:tc>
          <w:tcPr>
            <w:tcW w:w="6288" w:type="dxa"/>
            <w:noWrap w:val="0"/>
            <w:vAlign w:val="top"/>
          </w:tcPr>
          <w:p w14:paraId="6AFF1917">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根据响应文件中提供的</w:t>
            </w:r>
            <w:r>
              <w:rPr>
                <w:rFonts w:hint="eastAsia" w:asciiTheme="minorEastAsia" w:hAnsiTheme="minorEastAsia" w:eastAsiaTheme="minorEastAsia" w:cstheme="minorEastAsia"/>
                <w:kern w:val="0"/>
                <w:sz w:val="24"/>
                <w:szCs w:val="24"/>
                <w:highlight w:val="none"/>
                <w:lang w:val="en-US" w:eastAsia="zh-CN"/>
              </w:rPr>
              <w:t>售后服务保障体系、售后服务承诺等情况进行评审，售后服务内容详尽、服务响应时间迅速、</w:t>
            </w:r>
          </w:p>
          <w:p w14:paraId="2CE00261">
            <w:pPr>
              <w:pStyle w:val="30"/>
              <w:keepNext w:val="0"/>
              <w:keepLines w:val="0"/>
              <w:pageBreakBefore w:val="0"/>
              <w:widowControl w:val="0"/>
              <w:tabs>
                <w:tab w:val="left" w:pos="955"/>
              </w:tabs>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紧急故障处理措施合理得7分；每发现一处缺陷及内容不合理扣1分，扣完为止。</w:t>
            </w:r>
            <w:r>
              <w:rPr>
                <w:rFonts w:hint="eastAsia" w:asciiTheme="minorEastAsia" w:hAnsiTheme="minorEastAsia" w:eastAsiaTheme="minorEastAsia" w:cstheme="minorEastAsia"/>
                <w:kern w:val="0"/>
                <w:sz w:val="24"/>
                <w:szCs w:val="24"/>
                <w:highlight w:val="none"/>
                <w:lang w:val="en-US" w:eastAsia="en-US"/>
              </w:rPr>
              <w:t>无本项描述的不得分。</w:t>
            </w:r>
          </w:p>
        </w:tc>
      </w:tr>
    </w:tbl>
    <w:p w14:paraId="3DCDEA32">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9"/>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注：本细则只针对有效响应文件予以评分，评分计算均保留小数点后两位有效数字，第三位四舍五入。</w:t>
      </w:r>
      <w:bookmarkStart w:id="233" w:name="_Toc13581213"/>
      <w:bookmarkStart w:id="234" w:name="_Toc6916073"/>
      <w:bookmarkStart w:id="235" w:name="_Toc12613441"/>
      <w:bookmarkStart w:id="236" w:name="_Toc9845238"/>
      <w:bookmarkStart w:id="237" w:name="_Toc12613405"/>
    </w:p>
    <w:p w14:paraId="4DD75526">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四、政策功能类文件对评标的调整</w:t>
      </w:r>
    </w:p>
    <w:p w14:paraId="4BCE5E5D">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供应商须对提供的下列政策功能类文件对评标的调整证明材料真实性负责，严禁供应商提供虚假信息骗取成交，一经发现，取消成交资格，并上报相关部门，禁止其3年内参与政府采购活动。</w:t>
      </w:r>
    </w:p>
    <w:p w14:paraId="71D85456">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zh-CN" w:eastAsia="zh-CN"/>
        </w:rPr>
      </w:pPr>
      <w:r>
        <w:rPr>
          <w:rFonts w:hint="eastAsia" w:asciiTheme="minorEastAsia" w:hAnsiTheme="minorEastAsia" w:eastAsiaTheme="minorEastAsia" w:cstheme="minorEastAsia"/>
          <w:b/>
          <w:bCs/>
          <w:kern w:val="0"/>
          <w:sz w:val="24"/>
          <w:szCs w:val="24"/>
          <w:highlight w:val="none"/>
          <w:lang w:val="zh-CN" w:eastAsia="zh-CN"/>
        </w:rPr>
        <w:t>（一）节能、环保产品优惠政策：</w:t>
      </w:r>
    </w:p>
    <w:p w14:paraId="1D9128A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供应商所报产品列入节能产品、环境标志产品品目清单以及具备处于有效期之内的节能产品、环境标志产品认证证书的：</w:t>
      </w:r>
    </w:p>
    <w:p w14:paraId="6718AB63">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在价格评审时，对节能、环保产品分别给予价格加分：加分=价格评标总分值×4%×节能、环保产品价格在报价中所占比例。</w:t>
      </w:r>
    </w:p>
    <w:p w14:paraId="4F54781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在技术评审时，对节能、环保产品分别给予技术加分：加分=技术评标总分值×4%×节能、环保产品价格在报价中所占比例）。</w:t>
      </w:r>
    </w:p>
    <w:p w14:paraId="7EC23A1F">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说明：</w:t>
      </w:r>
    </w:p>
    <w:p w14:paraId="133AD2AB">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（1）本项计分以供应商提供的处于有效期之内的节能产品、环境标志产品认证证书为准（加盖产品制造商公章及投标单位公章的扫描件附在电子响应文件中），否则不</w:t>
      </w:r>
      <w:r>
        <w:rPr>
          <w:rFonts w:hint="eastAsia" w:asciiTheme="minorEastAsia" w:hAnsiTheme="minorEastAsia" w:eastAsiaTheme="minorEastAsia" w:cstheme="minorEastAsia"/>
          <w:kern w:val="0"/>
          <w:sz w:val="24"/>
          <w:szCs w:val="24"/>
          <w:highlight w:val="none"/>
          <w:lang w:val="en-US" w:eastAsia="zh-CN"/>
        </w:rPr>
        <w:t>享受优惠政策</w:t>
      </w:r>
      <w:r>
        <w:rPr>
          <w:rFonts w:hint="eastAsia" w:asciiTheme="minorEastAsia" w:hAnsiTheme="minorEastAsia" w:eastAsiaTheme="minorEastAsia" w:cstheme="minorEastAsia"/>
          <w:kern w:val="0"/>
          <w:sz w:val="24"/>
          <w:szCs w:val="24"/>
          <w:highlight w:val="none"/>
          <w:lang w:val="zh-CN" w:eastAsia="zh-CN"/>
        </w:rPr>
        <w:t>。</w:t>
      </w:r>
    </w:p>
    <w:p w14:paraId="2EF6DB8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（2）根据财政部等四部委联合印发《关于调整优化节能产品、环境标志产品政府采购执行机制的通知》〔2019〕9 号、财政部发展改革委《关于印发节能产品政府采购品目清单的通知》财库〔2019〕19 号、财政部生态环境部《关于印发环境标志产品政府采购品目清单的通知》财库〔2019〕18 号的规定，属于节能、环境标志产品的，享受政府采购优先政策，投标产品属于品目清单范围内的强制性采购的（政府强制采购产品是指财政部、发展改革委发布“节能产品政府采购品目清单”中以“★”标注的产品品目的政府强制采购节能产品。），供应商必须使用品目清单内的产品，并提供国家确定的认证机构出具的处于有效期之内的节能产品认证证书，否则响应文件无效。</w:t>
      </w:r>
    </w:p>
    <w:p w14:paraId="318739BB">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zh-CN" w:eastAsia="zh-CN"/>
        </w:rPr>
      </w:pPr>
      <w:r>
        <w:rPr>
          <w:rFonts w:hint="eastAsia" w:asciiTheme="minorEastAsia" w:hAnsiTheme="minorEastAsia" w:eastAsiaTheme="minorEastAsia" w:cstheme="minorEastAsia"/>
          <w:b/>
          <w:bCs/>
          <w:kern w:val="0"/>
          <w:sz w:val="24"/>
          <w:szCs w:val="24"/>
          <w:highlight w:val="none"/>
          <w:lang w:val="zh-CN" w:eastAsia="zh-CN"/>
        </w:rPr>
        <w:t>（二）中小企业价格折扣</w:t>
      </w:r>
    </w:p>
    <w:p w14:paraId="73FD3CF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 xml:space="preserve">根据工信部等部委发布的《关于印发中小企业划型标准规定的通知》（工信部联企业[2011]300 号）和《关于印发政府采购促进中小企业发展管理办法的通知》（财库〔2020〕46 号）规定执行，给予符合规定的小微企业产品价格 15% 的扣除，并按照给予价格扣除后的报价作为评审价。评审时，供应商须提供中小企业声明函附在响应文件中，否则不给予价格扣除。 </w:t>
      </w:r>
    </w:p>
    <w:p w14:paraId="10053BE7">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zh-CN" w:eastAsia="zh-CN"/>
        </w:rPr>
      </w:pPr>
      <w:r>
        <w:rPr>
          <w:rFonts w:hint="eastAsia" w:asciiTheme="minorEastAsia" w:hAnsiTheme="minorEastAsia" w:eastAsiaTheme="minorEastAsia" w:cstheme="minorEastAsia"/>
          <w:b/>
          <w:bCs/>
          <w:kern w:val="0"/>
          <w:sz w:val="24"/>
          <w:szCs w:val="24"/>
          <w:highlight w:val="none"/>
          <w:lang w:val="zh-CN" w:eastAsia="zh-CN"/>
        </w:rPr>
        <w:t>（三）监狱企业价格折扣</w:t>
      </w:r>
    </w:p>
    <w:p w14:paraId="0DA91914">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根据财政部、司法部颁发的《财政部司法部关于政府采购支持监狱企业发展有关问题的通知》财库[2014]68 号的规定，在政府采购活动中，监狱企业视同小型、微型企业，享受预留份额、评审中价格扣除等优惠政策，给予符合规定的监狱企业生产产品价格的 15% 的扣除，并按照扣除后的报价作为评审价。评审时，属于监狱企业的供应商需提供省级以上监狱管理局、戒毒管理局（含新疆生产建设兵团）出具的属于监狱企业的证明文件，将扫描件附在响应文件中并加盖投标单位公章（电子签章），否则不给予价格扣除。</w:t>
      </w:r>
    </w:p>
    <w:p w14:paraId="3129DED8">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zh-CN" w:eastAsia="zh-CN"/>
        </w:rPr>
      </w:pPr>
      <w:r>
        <w:rPr>
          <w:rFonts w:hint="eastAsia" w:asciiTheme="minorEastAsia" w:hAnsiTheme="minorEastAsia" w:eastAsiaTheme="minorEastAsia" w:cstheme="minorEastAsia"/>
          <w:b/>
          <w:bCs/>
          <w:kern w:val="0"/>
          <w:sz w:val="24"/>
          <w:szCs w:val="24"/>
          <w:highlight w:val="none"/>
          <w:lang w:val="zh-CN" w:eastAsia="zh-CN"/>
        </w:rPr>
        <w:t>（四）残疾人福利性单位价格折扣</w:t>
      </w:r>
    </w:p>
    <w:p w14:paraId="4117A2D8">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zh-CN" w:eastAsia="zh-CN"/>
        </w:rPr>
      </w:pPr>
      <w:r>
        <w:rPr>
          <w:rFonts w:hint="eastAsia" w:asciiTheme="minorEastAsia" w:hAnsiTheme="minorEastAsia" w:eastAsiaTheme="minorEastAsia" w:cstheme="minorEastAsia"/>
          <w:kern w:val="0"/>
          <w:sz w:val="24"/>
          <w:szCs w:val="24"/>
          <w:highlight w:val="none"/>
          <w:lang w:val="zh-CN" w:eastAsia="zh-CN"/>
        </w:rPr>
        <w:t>根据财政部、民政部、中国残疾人联合会（财库[2017]141 号）文件规定，在政府采购活动中，残疾人福利性单位视同小型、微型企业，享受预留份额、评审中价格扣除等优惠政策，给予符合规定的残疾人福利性单位产品价格的 15% 的扣除，并按照给予价格扣除后的报价作为评审价。评审时，属于残疾人福利性单位供应商须提供残疾人福利性单位声明函扫描件附在响应文件中，否则不给予价格扣除。</w:t>
      </w:r>
    </w:p>
    <w:p w14:paraId="5CE9DD9D">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zh-CN" w:eastAsia="zh-CN"/>
        </w:rPr>
      </w:pPr>
      <w:r>
        <w:rPr>
          <w:rFonts w:hint="eastAsia" w:asciiTheme="minorEastAsia" w:hAnsiTheme="minorEastAsia" w:eastAsiaTheme="minorEastAsia" w:cstheme="minorEastAsia"/>
          <w:b/>
          <w:bCs/>
          <w:kern w:val="0"/>
          <w:sz w:val="24"/>
          <w:szCs w:val="24"/>
          <w:highlight w:val="none"/>
          <w:lang w:val="zh-CN" w:eastAsia="zh-CN"/>
        </w:rPr>
        <w:t>注：1.供应商既是小微企业，又属于监狱企业或残疾人福利性单位的，不重复</w:t>
      </w:r>
      <w:r>
        <w:rPr>
          <w:rFonts w:hint="eastAsia" w:asciiTheme="minorEastAsia" w:hAnsiTheme="minorEastAsia" w:eastAsiaTheme="minorEastAsia" w:cstheme="minorEastAsia"/>
          <w:b/>
          <w:bCs/>
          <w:kern w:val="0"/>
          <w:sz w:val="24"/>
          <w:szCs w:val="24"/>
          <w:highlight w:val="none"/>
          <w:lang w:val="en-US" w:eastAsia="zh-CN"/>
        </w:rPr>
        <w:t>享受价格</w:t>
      </w:r>
      <w:r>
        <w:rPr>
          <w:rFonts w:hint="eastAsia" w:asciiTheme="minorEastAsia" w:hAnsiTheme="minorEastAsia" w:eastAsiaTheme="minorEastAsia" w:cstheme="minorEastAsia"/>
          <w:b/>
          <w:bCs/>
          <w:kern w:val="0"/>
          <w:sz w:val="24"/>
          <w:szCs w:val="24"/>
          <w:highlight w:val="none"/>
          <w:lang w:val="zh-CN" w:eastAsia="zh-CN"/>
        </w:rPr>
        <w:t>折扣。</w:t>
      </w:r>
    </w:p>
    <w:p w14:paraId="4E68F8D7">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zh-CN" w:eastAsia="zh-CN"/>
        </w:rPr>
      </w:pPr>
      <w:r>
        <w:rPr>
          <w:rFonts w:hint="eastAsia" w:asciiTheme="minorEastAsia" w:hAnsiTheme="minorEastAsia" w:eastAsiaTheme="minorEastAsia" w:cstheme="minorEastAsia"/>
          <w:b/>
          <w:bCs/>
          <w:kern w:val="0"/>
          <w:sz w:val="24"/>
          <w:szCs w:val="24"/>
          <w:highlight w:val="none"/>
          <w:lang w:val="zh-CN" w:eastAsia="zh-CN"/>
        </w:rPr>
        <w:t>2.</w:t>
      </w:r>
      <w:r>
        <w:rPr>
          <w:rFonts w:hint="eastAsia" w:asciiTheme="minorEastAsia" w:hAnsiTheme="minorEastAsia" w:eastAsiaTheme="minorEastAsia" w:cstheme="minorEastAsia"/>
          <w:b/>
          <w:bCs/>
          <w:kern w:val="0"/>
          <w:sz w:val="24"/>
          <w:szCs w:val="24"/>
          <w:highlight w:val="none"/>
          <w:lang w:val="en-US" w:eastAsia="zh-CN"/>
        </w:rPr>
        <w:t>折扣后的</w:t>
      </w:r>
      <w:r>
        <w:rPr>
          <w:rFonts w:hint="eastAsia" w:asciiTheme="minorEastAsia" w:hAnsiTheme="minorEastAsia" w:eastAsiaTheme="minorEastAsia" w:cstheme="minorEastAsia"/>
          <w:b/>
          <w:bCs/>
          <w:kern w:val="0"/>
          <w:sz w:val="24"/>
          <w:szCs w:val="24"/>
          <w:highlight w:val="none"/>
          <w:lang w:val="zh-CN" w:eastAsia="zh-CN"/>
        </w:rPr>
        <w:t>价格仅</w:t>
      </w:r>
      <w:r>
        <w:rPr>
          <w:rFonts w:hint="eastAsia" w:asciiTheme="minorEastAsia" w:hAnsiTheme="minorEastAsia" w:eastAsiaTheme="minorEastAsia" w:cstheme="minorEastAsia"/>
          <w:b/>
          <w:bCs/>
          <w:kern w:val="0"/>
          <w:sz w:val="24"/>
          <w:szCs w:val="24"/>
          <w:highlight w:val="none"/>
          <w:lang w:val="en-US" w:eastAsia="zh-CN"/>
        </w:rPr>
        <w:t>用作报价分的评审</w:t>
      </w:r>
      <w:r>
        <w:rPr>
          <w:rFonts w:hint="eastAsia" w:asciiTheme="minorEastAsia" w:hAnsiTheme="minorEastAsia" w:eastAsiaTheme="minorEastAsia" w:cstheme="minorEastAsia"/>
          <w:b/>
          <w:bCs/>
          <w:kern w:val="0"/>
          <w:sz w:val="24"/>
          <w:szCs w:val="24"/>
          <w:highlight w:val="none"/>
          <w:lang w:val="zh-CN" w:eastAsia="zh-CN"/>
        </w:rPr>
        <w:t>，不作为最终的</w:t>
      </w:r>
      <w:r>
        <w:rPr>
          <w:rFonts w:hint="eastAsia" w:asciiTheme="minorEastAsia" w:hAnsiTheme="minorEastAsia" w:eastAsiaTheme="minorEastAsia" w:cstheme="minorEastAsia"/>
          <w:b/>
          <w:bCs/>
          <w:kern w:val="0"/>
          <w:sz w:val="24"/>
          <w:szCs w:val="24"/>
          <w:highlight w:val="none"/>
          <w:lang w:val="en-US" w:eastAsia="zh-CN"/>
        </w:rPr>
        <w:t>成交</w:t>
      </w:r>
      <w:r>
        <w:rPr>
          <w:rFonts w:hint="eastAsia" w:asciiTheme="minorEastAsia" w:hAnsiTheme="minorEastAsia" w:eastAsiaTheme="minorEastAsia" w:cstheme="minorEastAsia"/>
          <w:b/>
          <w:bCs/>
          <w:kern w:val="0"/>
          <w:sz w:val="24"/>
          <w:szCs w:val="24"/>
          <w:highlight w:val="none"/>
          <w:lang w:val="zh-CN" w:eastAsia="zh-CN"/>
        </w:rPr>
        <w:t>价格。</w:t>
      </w:r>
    </w:p>
    <w:p w14:paraId="7FA653FD">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zh-CN" w:eastAsia="zh-CN"/>
        </w:rPr>
      </w:pPr>
      <w:r>
        <w:rPr>
          <w:rFonts w:hint="eastAsia" w:asciiTheme="minorEastAsia" w:hAnsiTheme="minorEastAsia" w:eastAsiaTheme="minorEastAsia" w:cstheme="minorEastAsia"/>
          <w:b/>
          <w:bCs/>
          <w:kern w:val="0"/>
          <w:sz w:val="24"/>
          <w:szCs w:val="24"/>
          <w:highlight w:val="none"/>
          <w:lang w:val="zh-CN" w:eastAsia="zh-CN"/>
        </w:rPr>
        <w:t>3.如发现供应商不如实填写小微企业声明函及提供真实的证明材料的，如成交将取消成交资格；同时采购人及采购代理机构有权向行政监督部门申请将其列入不诚信供应商名单并停止其参与一定期限的政府采购活动。</w:t>
      </w:r>
    </w:p>
    <w:p w14:paraId="39425468">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zh-CN" w:eastAsia="zh-CN"/>
        </w:rPr>
      </w:pPr>
      <w:r>
        <w:rPr>
          <w:rFonts w:hint="eastAsia" w:asciiTheme="minorEastAsia" w:hAnsiTheme="minorEastAsia" w:eastAsiaTheme="minorEastAsia" w:cstheme="minorEastAsia"/>
          <w:b/>
          <w:bCs/>
          <w:kern w:val="0"/>
          <w:sz w:val="24"/>
          <w:szCs w:val="24"/>
          <w:highlight w:val="none"/>
          <w:lang w:val="zh-CN" w:eastAsia="zh-CN"/>
        </w:rPr>
        <w:t>4.供应商提供的货物既有中小企业制造货物，也有大型企业制造货物的，不享受本办法规定的中小企业扶持政策。</w:t>
      </w:r>
    </w:p>
    <w:p w14:paraId="0CF05BB2">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5.中小企业划型标准规定：</w:t>
      </w:r>
    </w:p>
    <w:p w14:paraId="02884C3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一、根据《中华人民共和国中小企业促进法》和《国务院关于进一步促进中小企业发展的若干意见》(国发〔2009〕36号)，制定本规定。</w:t>
      </w:r>
    </w:p>
    <w:p w14:paraId="02944CE0">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二、中小企业划分为中型、小型、微型三种类型，具体标准根据企业从业人员、营业收入、资产总额等指标，结合行业特点制定。</w:t>
      </w:r>
    </w:p>
    <w:p w14:paraId="30882041">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DE16389">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四、各行业划型标准为：</w:t>
      </w:r>
    </w:p>
    <w:p w14:paraId="79F23A0F">
      <w:pPr>
        <w:pStyle w:val="30"/>
        <w:pageBreakBefore w:val="0"/>
        <w:widowControl w:val="0"/>
        <w:tabs>
          <w:tab w:val="left" w:pos="955"/>
        </w:tabs>
        <w:kinsoku/>
        <w:wordWrap/>
        <w:overflowPunct/>
        <w:topLinePunct w:val="0"/>
        <w:bidi w:val="0"/>
        <w:spacing w:after="0" w:line="360" w:lineRule="auto"/>
        <w:ind w:left="0" w:leftChars="0" w:right="0" w:rightChars="0" w:firstLine="482" w:firstLineChars="200"/>
        <w:jc w:val="left"/>
        <w:textAlignment w:val="auto"/>
        <w:outlineLvl w:val="3"/>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BAC018C">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五、企业类型的划分以统计部门的统计数据为依据。</w:t>
      </w:r>
    </w:p>
    <w:p w14:paraId="051D57BE">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六、本规定适用于在中华人民共和国境内依法设立的各类所有制和各种组织形式的企业。个体工商户和本规定以外的行业，参照本规定进行划型。</w:t>
      </w:r>
    </w:p>
    <w:p w14:paraId="627064A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3AEBC377">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八、本规定由工业和信息化部、国家统计局会同有关部门根据《国民经济行业分类》修订情况和企业发展变化情况适时修订。</w:t>
      </w:r>
    </w:p>
    <w:p w14:paraId="1D7EEB76">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九、本规定由工业和信息化部、国家统计局会同有关部门负责解释。</w:t>
      </w:r>
    </w:p>
    <w:p w14:paraId="2485CAD5">
      <w:pPr>
        <w:pStyle w:val="30"/>
        <w:pageBreakBefore w:val="0"/>
        <w:widowControl w:val="0"/>
        <w:tabs>
          <w:tab w:val="left" w:pos="955"/>
        </w:tabs>
        <w:kinsoku/>
        <w:wordWrap/>
        <w:overflowPunct/>
        <w:topLinePunct w:val="0"/>
        <w:bidi w:val="0"/>
        <w:spacing w:after="0" w:line="360" w:lineRule="auto"/>
        <w:ind w:left="0" w:leftChars="0" w:right="0" w:rightChars="0" w:firstLine="480" w:firstLineChars="200"/>
        <w:jc w:val="left"/>
        <w:textAlignment w:val="auto"/>
        <w:outlineLvl w:val="3"/>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十、本规定自发布之日起执行，原国家经贸委、原国家计委、财政部和国家统计局2003年颁布的《中小企业标准暂行规定》同时废止。</w:t>
      </w:r>
      <w:r>
        <w:rPr>
          <w:rFonts w:hint="eastAsia" w:asciiTheme="minorEastAsia" w:hAnsiTheme="minorEastAsia" w:eastAsiaTheme="minorEastAsia" w:cstheme="minorEastAsia"/>
          <w:kern w:val="0"/>
          <w:sz w:val="24"/>
          <w:szCs w:val="24"/>
          <w:highlight w:val="none"/>
          <w:lang w:val="en-US" w:eastAsia="zh-CN"/>
        </w:rPr>
        <w:br w:type="page"/>
      </w:r>
    </w:p>
    <w:p w14:paraId="3BB97FC4">
      <w:pPr>
        <w:pStyle w:val="2"/>
        <w:bidi w:val="0"/>
        <w:jc w:val="center"/>
        <w:rPr>
          <w:rFonts w:hint="eastAsia" w:ascii="Times New Roman" w:hAnsi="Times New Roman" w:eastAsia="宋体" w:cs="Times New Roman"/>
          <w:lang w:val="en-US" w:eastAsia="zh-CN"/>
        </w:rPr>
      </w:pPr>
      <w:bookmarkStart w:id="238" w:name="_Toc9676"/>
      <w:r>
        <w:rPr>
          <w:rFonts w:hint="eastAsia" w:ascii="Times New Roman" w:hAnsi="Times New Roman" w:eastAsia="宋体" w:cs="Times New Roman"/>
          <w:lang w:val="en-US" w:eastAsia="zh-CN"/>
        </w:rPr>
        <w:t>第四章 采购内容及项目要求</w:t>
      </w:r>
      <w:bookmarkEnd w:id="233"/>
      <w:bookmarkEnd w:id="234"/>
      <w:bookmarkEnd w:id="235"/>
      <w:bookmarkEnd w:id="236"/>
      <w:bookmarkEnd w:id="237"/>
      <w:bookmarkEnd w:id="238"/>
    </w:p>
    <w:p w14:paraId="55D37CE6">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1、成交供应商提供的货物须是全新的、未使用过的，制作产品的材料符合国家或行业标准的规定，产品包装、注册商标等符合国家有关规定；产品质量符合国家或行业最新标准要求。</w:t>
      </w:r>
    </w:p>
    <w:p w14:paraId="2EFEA04F">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2、本项目技术参数为采购人根据实际使用需求所制定，并不是唯一限定参数。技术参数描述部分不针对任何品牌，如果涉及品牌、规格等，并不表明该标的被指定，而是仅供供应商参考。</w:t>
      </w:r>
    </w:p>
    <w:p w14:paraId="25015D1C">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供应商所投的产品参数、性能及标准在采购人接受的范围内允许偏离。本项目所有货物在交货时应接受采购人的监督，质量应经采购人认可后方可供货。所有货物（包括所有的配件、材料）的供货、检验、验收等必须按照国家供货相关规范及技术要求完成，并达到采购人满意；否则采购人有权终止合同。</w:t>
      </w:r>
    </w:p>
    <w:p w14:paraId="52C86EC6">
      <w:pPr>
        <w:rPr>
          <w:rFonts w:hint="eastAsia" w:ascii="宋体" w:hAnsi="宋体" w:cs="宋体"/>
          <w:b/>
          <w:bCs w:val="0"/>
          <w:sz w:val="24"/>
          <w:highlight w:val="none"/>
          <w:lang w:val="en-US" w:eastAsia="zh-CN"/>
        </w:rPr>
      </w:pPr>
      <w:r>
        <w:rPr>
          <w:rFonts w:hint="eastAsia" w:ascii="宋体" w:hAnsi="宋体" w:cs="宋体"/>
          <w:b/>
          <w:bCs w:val="0"/>
          <w:sz w:val="24"/>
          <w:highlight w:val="none"/>
          <w:lang w:val="en-US" w:eastAsia="zh-CN"/>
        </w:rPr>
        <w:br w:type="page"/>
      </w:r>
    </w:p>
    <w:p w14:paraId="3644B185">
      <w:pPr>
        <w:pStyle w:val="4"/>
        <w:bidi w:val="0"/>
        <w:jc w:val="center"/>
        <w:rPr>
          <w:rFonts w:hint="eastAsia"/>
          <w:lang w:val="en-US" w:eastAsia="zh-CN"/>
        </w:rPr>
      </w:pPr>
      <w:r>
        <w:rPr>
          <w:rFonts w:hint="eastAsia"/>
          <w:lang w:val="en-US" w:eastAsia="zh-CN"/>
        </w:rPr>
        <w:t>IVF体外受精超净双人工作站技术要求</w:t>
      </w:r>
    </w:p>
    <w:p w14:paraId="04CCEE31">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2" w:firstLineChars="200"/>
        <w:jc w:val="both"/>
        <w:textAlignment w:val="auto"/>
        <w:outlineLvl w:val="1"/>
        <w:rPr>
          <w:rFonts w:hint="eastAsia" w:ascii="宋体" w:hAnsi="宋体" w:cs="宋体"/>
          <w:b/>
          <w:bCs w:val="0"/>
          <w:sz w:val="24"/>
          <w:highlight w:val="none"/>
          <w:lang w:val="en-US" w:eastAsia="zh-CN"/>
        </w:rPr>
      </w:pPr>
      <w:r>
        <w:rPr>
          <w:rFonts w:hint="eastAsia" w:ascii="宋体" w:hAnsi="宋体" w:cs="宋体"/>
          <w:b/>
          <w:bCs w:val="0"/>
          <w:sz w:val="24"/>
          <w:highlight w:val="none"/>
          <w:lang w:val="en-US" w:eastAsia="zh-CN"/>
        </w:rPr>
        <w:t>（一）ICSI工作站技术参数（1台）</w:t>
      </w:r>
    </w:p>
    <w:p w14:paraId="13876DF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1、配置：双人操作台，单加热台面，右侧可放置一台体视显微镜，左侧防震工作台一个，可配套任何品牌倒置显微镜和体视镜。</w:t>
      </w:r>
    </w:p>
    <w:p w14:paraId="5629D61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2、显示屏：工作台洁净区背板内嵌≥21寸液晶显示屏，可连接显微镜CCD拍照系统。</w:t>
      </w:r>
    </w:p>
    <w:p w14:paraId="65FEEF3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3、工作台尺寸：工作台外部尺寸（W×D×H）：≥1900×690×2100-2160mm；支架高度：800-850mm，净化区体积（W×D×H）：≥1800×590×750mm；前开窗高度≥460mm。</w:t>
      </w:r>
    </w:p>
    <w:p w14:paraId="0DE9E06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4、台面材质：台面材质抗划痕、抗指纹，不易变形，台面具备胚胎安全无毒无放射性安全测试认证报告。</w:t>
      </w:r>
    </w:p>
    <w:p w14:paraId="7A4E9C6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5、恒温区域：体视显微镜位置配套独立加热控制的整块恒温区域，面积不小于450×650mm（深度×长度），加热区和非加热区有明显标识。</w:t>
      </w:r>
    </w:p>
    <w:p w14:paraId="3F3CF75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6、温度：温度精度≤±0.1℃，温度均匀性≤±0.2℃</w:t>
      </w:r>
    </w:p>
    <w:p w14:paraId="71687A8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7、玻璃热台：直径≥60mm，温度精度≤±0.1℃,</w:t>
      </w:r>
    </w:p>
    <w:p w14:paraId="2017061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8、噪声：低噪音，减少震动，全速工作时噪音（标准：ISO6081）低于51dB（A)，半速工作时噪音低于30dB（A)。</w:t>
      </w:r>
    </w:p>
    <w:p w14:paraId="03C82D5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9、防震：针对ICSI操作，一体式防震台，三个防震支撑点保证防震台上的倒置显微镜永久处于一个平面。</w:t>
      </w:r>
    </w:p>
    <w:p w14:paraId="357C3B9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10、照明光源：照明与显微镜光源均为LED光源，4840LM,10%-100%范围内可调。</w:t>
      </w:r>
    </w:p>
    <w:p w14:paraId="3715445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11、进风方式和风速：完全垂直风设计，进风口及预过滤膜位于工作站最顶端。风速 (m/s) ：0.32，风速不均一性±10%；</w:t>
      </w:r>
    </w:p>
    <w:p w14:paraId="65AC19E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12、滤膜洁净系统：三套过滤系统，配有：预滤系统一套，符合EU3标准；活性碳过滤层一套，过滤空气中的VOC及可溶性化学物质。H-14高效HEPA过滤层一套，对直径0.3µm以上粒子达到99.999%以上的清除率。</w:t>
      </w:r>
    </w:p>
    <w:p w14:paraId="6392B1A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13、报警系统：拥有完善的报警系统，风速、超温或低温报警、高效过滤器寿命报警等。</w:t>
      </w:r>
    </w:p>
    <w:p w14:paraId="2B374BA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14、控制系统：控制面板设计在上方的前置面板，与净化操作区分离，不会造成按键误触。</w:t>
      </w:r>
    </w:p>
    <w:p w14:paraId="4155645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15、电压：内置控制器和稳压器，自动断电保护。</w:t>
      </w:r>
    </w:p>
    <w:p w14:paraId="6D00A31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16、工作站内配置局域网与两个摄像头。</w:t>
      </w:r>
    </w:p>
    <w:p w14:paraId="6A950C8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17、服务要求</w:t>
      </w:r>
    </w:p>
    <w:p w14:paraId="2D68915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（1）进口设备及相关附件保证在1个月以内到货；设备到货时包装完整未拆封。</w:t>
      </w:r>
    </w:p>
    <w:p w14:paraId="2CD5F76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（2）为医院操作人员和设备科专业技术人员提供设备操作维护保养知识培训、临床应用培训，有消毒规范要求的，提供清洗消毒规范培训。</w:t>
      </w:r>
    </w:p>
    <w:p w14:paraId="4AE6D10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（3）每年提供医院2名操作人员至少各一次行业内培训。</w:t>
      </w:r>
    </w:p>
    <w:p w14:paraId="297D811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保修期内，设备或附件发生故障，在接到买方仪器报修通知后，在12小时内予以应答，并在24小时内进行维修，保证仪器的正常工作。销售公司无法在承诺解决故障时间内修复继续使用的，在承诺解决故障时间后3日内提供备用机或备用件。</w:t>
      </w:r>
    </w:p>
    <w:p w14:paraId="2472131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（5）质保期内，属于产品质量问题所发生的一切费用由成交供应商承担。</w:t>
      </w:r>
    </w:p>
    <w:p w14:paraId="1A9B98B8">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2" w:firstLineChars="200"/>
        <w:jc w:val="both"/>
        <w:textAlignment w:val="auto"/>
        <w:outlineLvl w:val="1"/>
        <w:rPr>
          <w:rFonts w:hint="default" w:ascii="宋体" w:hAnsi="宋体" w:cs="宋体"/>
          <w:b/>
          <w:bCs w:val="0"/>
          <w:sz w:val="24"/>
          <w:highlight w:val="none"/>
          <w:lang w:val="en-US" w:eastAsia="zh-CN"/>
        </w:rPr>
      </w:pPr>
      <w:r>
        <w:rPr>
          <w:rFonts w:hint="eastAsia" w:ascii="宋体" w:hAnsi="宋体" w:cs="宋体"/>
          <w:b/>
          <w:bCs w:val="0"/>
          <w:sz w:val="24"/>
          <w:highlight w:val="none"/>
          <w:lang w:val="en-US" w:eastAsia="zh-CN"/>
        </w:rPr>
        <w:t>（二）双捡卵工作台参数（2台）</w:t>
      </w:r>
    </w:p>
    <w:p w14:paraId="517CB03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1、用途：用于辅助生殖实验室为胚胎操作提供洁净环境。</w:t>
      </w:r>
    </w:p>
    <w:p w14:paraId="631D750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2、双人操作台，双加热台面，台面两侧可各放置一台体视显微镜。</w:t>
      </w:r>
    </w:p>
    <w:p w14:paraId="31B5C63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3、工作台洁净区背板内嵌≥21寸液晶显示屏，须连接显微镜CCD拍照系统，实时显示或录制显微操作过程。</w:t>
      </w:r>
    </w:p>
    <w:p w14:paraId="3E264AE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4、工作台尺寸：工作台外部尺寸（W×D×H）：≥1900×690x2010-2060mm；支架高度：800-850mm，净化区体积（W×D×H）：≥1850x590x630mm；前开窗高度≧340mm。</w:t>
      </w:r>
    </w:p>
    <w:p w14:paraId="77B18F7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5、台面材质：台面材质抗划痕、抗指纹，不易变形，台面具备胚胎安全无毒无放射性安全测试认证报告。</w:t>
      </w:r>
    </w:p>
    <w:p w14:paraId="081C0BD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6、恒温区域：体视显微镜位置配套独立加热控制的整块恒温区域，面积不小于450×650mm（深度×长度），加热区和非加热区有明显标识。</w:t>
      </w:r>
    </w:p>
    <w:p w14:paraId="105FFC9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7、温度：温度精度≤±0.1℃，温度均匀性≤±0.2℃</w:t>
      </w:r>
    </w:p>
    <w:p w14:paraId="63D0224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8、玻璃热台：直径≥60mm，温度精度≤±0.1℃,</w:t>
      </w:r>
    </w:p>
    <w:p w14:paraId="34A8918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9、滤膜洁净系统：三套过滤系统，配有：预滤系统一套，符合EU3标准；活性碳过滤层一套，过滤空气中的VOC及可溶性化学物质。H-14高效HEPA过滤层一套，对直径0.3µm以上粒子达到99.999%以上的清除率。</w:t>
      </w:r>
    </w:p>
    <w:p w14:paraId="36038A4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10、进风方式和风速：完全垂直进风，进风口及预过滤膜位于工作站最顶端，风速 (m/s) ：≤ 0.32，风速不均一性：≤±10%，风速可选。</w:t>
      </w:r>
    </w:p>
    <w:p w14:paraId="47FCD94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11、噪声：低噪音，减少震动，全速工作时噪音（标准：ISO6081）低于51dB（A)，半速工作时噪音低于30dB（A)。</w:t>
      </w:r>
    </w:p>
    <w:p w14:paraId="47887AB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12、照明光源：照明与显微镜光源均为LED光源，4840LM,10%-100%范围内可调。</w:t>
      </w:r>
    </w:p>
    <w:p w14:paraId="20F6A75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13、配置内嵌式临时转运室，采用无毒铝合金材质，上盖可拆卸（用户可自行拆卸）进行清洁消毒，上盖和底部单独控制温度。顶盖与台面平齐，底部圆角，可接预混合气体。</w:t>
      </w:r>
    </w:p>
    <w:p w14:paraId="65FE8AC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14、数显式控制面板在上方的前置面板可控制灯光、风速大小，台面恒温区域一键启停，可预设程序定时自动开机。</w:t>
      </w:r>
    </w:p>
    <w:p w14:paraId="4FD700F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15、工作站放置位置与实验室墙面距离不大于2cm。</w:t>
      </w:r>
    </w:p>
    <w:p w14:paraId="2C8B459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16、工作站内配置局域网与两个摄像头。</w:t>
      </w:r>
    </w:p>
    <w:p w14:paraId="771D1DA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17、配置电源插座一个及标准加热槽一套。</w:t>
      </w:r>
    </w:p>
    <w:p w14:paraId="4A5EE90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18、服务要求</w:t>
      </w:r>
    </w:p>
    <w:p w14:paraId="4D3C35D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（1）进口设备及相关附件保证在1个月以内到货；设备到货时包装完整未拆封。</w:t>
      </w:r>
    </w:p>
    <w:p w14:paraId="1F440C4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（2）为医院操作人员和设备科专业技术人员提供设备操作维护保养知识培训、临床应用培训，有消毒规范要求的，提供清洗消毒规范培训。</w:t>
      </w:r>
    </w:p>
    <w:p w14:paraId="7C49535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（3）每年提供医院2名操作人员至少各一次行业内培训。</w:t>
      </w:r>
    </w:p>
    <w:p w14:paraId="58E8AEC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保修期内，设备或附件发生故障，在接到买方仪器报修通知后，在12小时内予以应答，并在24小时内进行维修，保证仪器的正常工作。销售公司无法在承诺解决故障时间内修复继续使用的，在承诺解决故障时间后3日内提供备用机或备用件。</w:t>
      </w:r>
    </w:p>
    <w:p w14:paraId="171E1DF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（5）质保期内，属于产品质量问题所发生的一切费用由成交供应商承担。</w:t>
      </w:r>
    </w:p>
    <w:p w14:paraId="24F11EBD">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宋体" w:hAnsi="宋体" w:cs="宋体"/>
          <w:b/>
          <w:bCs w:val="0"/>
          <w:sz w:val="24"/>
          <w:highlight w:val="none"/>
          <w:lang w:val="en-US" w:eastAsia="zh-CN"/>
        </w:rPr>
      </w:pPr>
      <w:r>
        <w:rPr>
          <w:rFonts w:hint="eastAsia" w:ascii="宋体" w:hAnsi="宋体" w:cs="宋体"/>
          <w:b/>
          <w:bCs w:val="0"/>
          <w:sz w:val="24"/>
          <w:highlight w:val="none"/>
          <w:lang w:val="en-US" w:eastAsia="zh-CN"/>
        </w:rPr>
        <w:t>（三）服务要求：</w:t>
      </w:r>
    </w:p>
    <w:p w14:paraId="5C205EC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（一）为满足采购人获取人类辅助生殖技术资质所要求的鼠胚试验达标率，成交供应商需根据科室需求提供实验室操作所需鼠源及饲养材料，每月不少于40只（至少12个月），直至科室鼠胚试验结束。</w:t>
      </w:r>
    </w:p>
    <w:p w14:paraId="49E19BB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（二）根据采购人需求为科室聘请老师进行人员培训。</w:t>
      </w:r>
    </w:p>
    <w:p w14:paraId="69CE80E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（三）根据采购人需求配备以下备品备件：</w:t>
      </w:r>
    </w:p>
    <w:p w14:paraId="1721BBD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①　电动助吸器一个；</w:t>
      </w:r>
    </w:p>
    <w:p w14:paraId="2945C6C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②　微量移液器20ul两把。</w:t>
      </w:r>
    </w:p>
    <w:p w14:paraId="3A61B46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③　工作站专用摄像头5套。</w:t>
      </w:r>
    </w:p>
    <w:p w14:paraId="6EBEEDB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b w:val="0"/>
          <w:bCs/>
          <w:sz w:val="24"/>
          <w:highlight w:val="none"/>
          <w:lang w:val="en-US" w:eastAsia="zh-CN"/>
        </w:rPr>
      </w:pPr>
    </w:p>
    <w:p w14:paraId="0C8EC017">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宋体" w:hAnsi="宋体" w:cs="宋体"/>
          <w:b w:val="0"/>
          <w:bCs/>
          <w:sz w:val="24"/>
          <w:highlight w:val="none"/>
          <w:lang w:val="en-US" w:eastAsia="zh-CN"/>
        </w:rPr>
      </w:pPr>
      <w:r>
        <w:rPr>
          <w:rFonts w:hint="eastAsia" w:ascii="宋体" w:hAnsi="宋体" w:cs="宋体"/>
          <w:b/>
          <w:bCs w:val="0"/>
          <w:sz w:val="24"/>
          <w:highlight w:val="none"/>
          <w:lang w:val="en-US" w:eastAsia="zh-CN"/>
        </w:rPr>
        <w:t>注：本项目上述技术参数为采购人根据实际使用需求所制定，并不是唯一限定参数。技术参数描述部分不针对任何品牌，如果涉及品牌、规格等，并不表明该标的被指定，而是仅供供应商参考。</w:t>
      </w:r>
    </w:p>
    <w:p w14:paraId="21CEB73D">
      <w:pPr>
        <w:pStyle w:val="2"/>
        <w:bidi w:val="0"/>
        <w:jc w:val="center"/>
        <w:rPr>
          <w:rFonts w:hint="eastAsia" w:ascii="Times New Roman" w:hAnsi="Times New Roman" w:eastAsia="宋体" w:cs="Times New Roman"/>
          <w:lang w:val="en-US" w:eastAsia="zh-CN"/>
        </w:rPr>
      </w:pPr>
      <w:r>
        <w:rPr>
          <w:rFonts w:hint="eastAsia" w:ascii="宋体" w:hAnsi="宋体" w:eastAsia="宋体" w:cs="宋体"/>
          <w:highlight w:val="none"/>
        </w:rPr>
        <w:br w:type="page"/>
      </w:r>
      <w:bookmarkStart w:id="239" w:name="_Toc9845239"/>
      <w:bookmarkStart w:id="240" w:name="_Toc13581214"/>
      <w:bookmarkStart w:id="241" w:name="_Toc6916074"/>
      <w:bookmarkStart w:id="242" w:name="_Toc12613442"/>
      <w:bookmarkStart w:id="243" w:name="_Toc12613406"/>
      <w:bookmarkStart w:id="244" w:name="_Toc24503"/>
      <w:r>
        <w:rPr>
          <w:rFonts w:hint="eastAsia" w:ascii="Times New Roman" w:hAnsi="Times New Roman" w:eastAsia="宋体" w:cs="Times New Roman"/>
          <w:lang w:val="en-US" w:eastAsia="zh-CN"/>
        </w:rPr>
        <w:t>第五章  合同条款及格式</w:t>
      </w:r>
      <w:bookmarkEnd w:id="239"/>
      <w:bookmarkEnd w:id="240"/>
      <w:bookmarkEnd w:id="241"/>
      <w:bookmarkEnd w:id="242"/>
      <w:bookmarkEnd w:id="243"/>
      <w:r>
        <w:rPr>
          <w:rFonts w:hint="eastAsia" w:ascii="Times New Roman" w:hAnsi="Times New Roman" w:eastAsia="宋体" w:cs="Times New Roman"/>
          <w:lang w:val="en-US" w:eastAsia="zh-CN"/>
        </w:rPr>
        <w:t>（仅供参考）</w:t>
      </w:r>
      <w:bookmarkEnd w:id="244"/>
    </w:p>
    <w:p w14:paraId="07BCC060">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1、</w:t>
      </w:r>
      <w:r>
        <w:rPr>
          <w:rFonts w:hint="eastAsia" w:ascii="宋体" w:hAnsi="宋体" w:cs="宋体"/>
          <w:b w:val="0"/>
          <w:bCs/>
          <w:sz w:val="24"/>
          <w:highlight w:val="none"/>
          <w:lang w:eastAsia="zh-CN"/>
        </w:rPr>
        <w:t>成交</w:t>
      </w:r>
      <w:r>
        <w:rPr>
          <w:rFonts w:hint="eastAsia" w:ascii="宋体" w:hAnsi="宋体" w:eastAsia="宋体" w:cs="宋体"/>
          <w:b w:val="0"/>
          <w:bCs/>
          <w:sz w:val="24"/>
          <w:highlight w:val="none"/>
        </w:rPr>
        <w:t>单位在收到《</w:t>
      </w:r>
      <w:r>
        <w:rPr>
          <w:rFonts w:hint="eastAsia" w:ascii="宋体" w:hAnsi="宋体" w:cs="宋体"/>
          <w:b w:val="0"/>
          <w:bCs/>
          <w:sz w:val="24"/>
          <w:highlight w:val="none"/>
          <w:lang w:eastAsia="zh-CN"/>
        </w:rPr>
        <w:t>成交</w:t>
      </w:r>
      <w:r>
        <w:rPr>
          <w:rFonts w:hint="eastAsia" w:ascii="宋体" w:hAnsi="宋体" w:eastAsia="宋体" w:cs="宋体"/>
          <w:b w:val="0"/>
          <w:bCs/>
          <w:sz w:val="24"/>
          <w:highlight w:val="none"/>
        </w:rPr>
        <w:t>通知书》后，由</w:t>
      </w: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与</w:t>
      </w:r>
      <w:r>
        <w:rPr>
          <w:rFonts w:hint="eastAsia" w:ascii="宋体" w:hAnsi="宋体" w:cs="宋体"/>
          <w:b w:val="0"/>
          <w:bCs/>
          <w:sz w:val="24"/>
          <w:highlight w:val="none"/>
          <w:lang w:eastAsia="zh-CN"/>
        </w:rPr>
        <w:t>成交供应商</w:t>
      </w:r>
      <w:r>
        <w:rPr>
          <w:rFonts w:hint="eastAsia" w:ascii="宋体" w:hAnsi="宋体" w:eastAsia="宋体" w:cs="宋体"/>
          <w:b w:val="0"/>
          <w:bCs/>
          <w:sz w:val="24"/>
          <w:highlight w:val="none"/>
        </w:rPr>
        <w:t>签订合同，如有特别约定的，从其约定。</w:t>
      </w:r>
    </w:p>
    <w:p w14:paraId="55007BC0">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2、由于</w:t>
      </w:r>
      <w:r>
        <w:rPr>
          <w:rFonts w:hint="eastAsia" w:ascii="宋体" w:hAnsi="宋体" w:cs="宋体"/>
          <w:b w:val="0"/>
          <w:bCs/>
          <w:sz w:val="24"/>
          <w:highlight w:val="none"/>
          <w:lang w:eastAsia="zh-CN"/>
        </w:rPr>
        <w:t>成交供应商</w:t>
      </w:r>
      <w:r>
        <w:rPr>
          <w:rFonts w:hint="eastAsia" w:ascii="宋体" w:hAnsi="宋体" w:eastAsia="宋体" w:cs="宋体"/>
          <w:b w:val="0"/>
          <w:bCs/>
          <w:sz w:val="24"/>
          <w:highlight w:val="none"/>
        </w:rPr>
        <w:t>的原因逾期未与</w:t>
      </w: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签订采购合同的，将视为放弃</w:t>
      </w:r>
      <w:r>
        <w:rPr>
          <w:rFonts w:hint="eastAsia" w:ascii="宋体" w:hAnsi="宋体" w:cs="宋体"/>
          <w:b w:val="0"/>
          <w:bCs/>
          <w:sz w:val="24"/>
          <w:highlight w:val="none"/>
          <w:lang w:eastAsia="zh-CN"/>
        </w:rPr>
        <w:t>成交</w:t>
      </w:r>
      <w:r>
        <w:rPr>
          <w:rFonts w:hint="eastAsia" w:ascii="宋体" w:hAnsi="宋体" w:eastAsia="宋体" w:cs="宋体"/>
          <w:b w:val="0"/>
          <w:bCs/>
          <w:sz w:val="24"/>
          <w:highlight w:val="none"/>
        </w:rPr>
        <w:t>，取消其</w:t>
      </w:r>
      <w:r>
        <w:rPr>
          <w:rFonts w:hint="eastAsia" w:ascii="宋体" w:hAnsi="宋体" w:cs="宋体"/>
          <w:b w:val="0"/>
          <w:bCs/>
          <w:sz w:val="24"/>
          <w:highlight w:val="none"/>
          <w:lang w:eastAsia="zh-CN"/>
        </w:rPr>
        <w:t>成交</w:t>
      </w:r>
      <w:r>
        <w:rPr>
          <w:rFonts w:hint="eastAsia" w:ascii="宋体" w:hAnsi="宋体" w:eastAsia="宋体" w:cs="宋体"/>
          <w:b w:val="0"/>
          <w:bCs/>
          <w:sz w:val="24"/>
          <w:highlight w:val="none"/>
        </w:rPr>
        <w:t>资格并将按相关规定进行处理。</w:t>
      </w:r>
    </w:p>
    <w:p w14:paraId="37585FBB">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3、合同签订的内容不能超出</w:t>
      </w:r>
      <w:r>
        <w:rPr>
          <w:rFonts w:hint="eastAsia" w:ascii="宋体" w:hAnsi="宋体" w:cs="宋体"/>
          <w:b w:val="0"/>
          <w:bCs/>
          <w:sz w:val="24"/>
          <w:highlight w:val="none"/>
          <w:lang w:eastAsia="zh-CN"/>
        </w:rPr>
        <w:t>竞争性磋商文件</w:t>
      </w:r>
      <w:r>
        <w:rPr>
          <w:rFonts w:hint="eastAsia" w:ascii="宋体" w:hAnsi="宋体" w:eastAsia="宋体" w:cs="宋体"/>
          <w:b w:val="0"/>
          <w:bCs/>
          <w:sz w:val="24"/>
          <w:highlight w:val="none"/>
        </w:rPr>
        <w:t>和</w:t>
      </w:r>
      <w:r>
        <w:rPr>
          <w:rFonts w:hint="eastAsia" w:ascii="宋体" w:hAnsi="宋体" w:cs="宋体"/>
          <w:b w:val="0"/>
          <w:bCs/>
          <w:sz w:val="24"/>
          <w:highlight w:val="none"/>
          <w:lang w:eastAsia="zh-CN"/>
        </w:rPr>
        <w:t>响应文件</w:t>
      </w:r>
      <w:r>
        <w:rPr>
          <w:rFonts w:hint="eastAsia" w:ascii="宋体" w:hAnsi="宋体" w:eastAsia="宋体" w:cs="宋体"/>
          <w:b w:val="0"/>
          <w:bCs/>
          <w:sz w:val="24"/>
          <w:highlight w:val="none"/>
        </w:rPr>
        <w:t>的实质性内容。</w:t>
      </w:r>
    </w:p>
    <w:p w14:paraId="63184B7B">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4、</w:t>
      </w:r>
      <w:r>
        <w:rPr>
          <w:rFonts w:hint="eastAsia" w:ascii="宋体" w:hAnsi="宋体" w:cs="宋体"/>
          <w:b w:val="0"/>
          <w:bCs/>
          <w:sz w:val="24"/>
          <w:highlight w:val="none"/>
          <w:lang w:eastAsia="zh-CN"/>
        </w:rPr>
        <w:t>竞争性磋商文件</w:t>
      </w:r>
      <w:r>
        <w:rPr>
          <w:rFonts w:hint="eastAsia" w:ascii="宋体" w:hAnsi="宋体" w:eastAsia="宋体" w:cs="宋体"/>
          <w:b w:val="0"/>
          <w:bCs/>
          <w:sz w:val="24"/>
          <w:highlight w:val="none"/>
        </w:rPr>
        <w:t>、</w:t>
      </w:r>
      <w:r>
        <w:rPr>
          <w:rFonts w:hint="eastAsia" w:ascii="宋体" w:hAnsi="宋体" w:cs="宋体"/>
          <w:b w:val="0"/>
          <w:bCs/>
          <w:sz w:val="24"/>
          <w:highlight w:val="none"/>
          <w:lang w:eastAsia="zh-CN"/>
        </w:rPr>
        <w:t>响应文件</w:t>
      </w:r>
      <w:r>
        <w:rPr>
          <w:rFonts w:hint="eastAsia" w:ascii="宋体" w:hAnsi="宋体" w:eastAsia="宋体" w:cs="宋体"/>
          <w:b w:val="0"/>
          <w:bCs/>
          <w:sz w:val="24"/>
          <w:highlight w:val="none"/>
        </w:rPr>
        <w:t>、</w:t>
      </w:r>
      <w:r>
        <w:rPr>
          <w:rFonts w:hint="eastAsia" w:ascii="宋体" w:hAnsi="宋体" w:cs="宋体"/>
          <w:b w:val="0"/>
          <w:bCs/>
          <w:sz w:val="24"/>
          <w:highlight w:val="none"/>
          <w:lang w:eastAsia="zh-CN"/>
        </w:rPr>
        <w:t>成交</w:t>
      </w:r>
      <w:r>
        <w:rPr>
          <w:rFonts w:hint="eastAsia" w:ascii="宋体" w:hAnsi="宋体" w:eastAsia="宋体" w:cs="宋体"/>
          <w:b w:val="0"/>
          <w:bCs/>
          <w:sz w:val="24"/>
          <w:highlight w:val="none"/>
        </w:rPr>
        <w:t>通知书及</w:t>
      </w:r>
      <w:r>
        <w:rPr>
          <w:rFonts w:hint="eastAsia" w:ascii="宋体" w:hAnsi="宋体" w:cs="宋体"/>
          <w:b w:val="0"/>
          <w:bCs/>
          <w:sz w:val="24"/>
          <w:highlight w:val="none"/>
          <w:lang w:eastAsia="zh-CN"/>
        </w:rPr>
        <w:t>成交供应商</w:t>
      </w:r>
      <w:r>
        <w:rPr>
          <w:rFonts w:hint="eastAsia" w:ascii="宋体" w:hAnsi="宋体" w:eastAsia="宋体" w:cs="宋体"/>
          <w:b w:val="0"/>
          <w:bCs/>
          <w:sz w:val="24"/>
          <w:highlight w:val="none"/>
        </w:rPr>
        <w:t>在评审过程中就有关问题做出的书面说明或承诺等是合同的组成部分。</w:t>
      </w:r>
    </w:p>
    <w:p w14:paraId="1AFF4767">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5、</w:t>
      </w:r>
      <w:r>
        <w:rPr>
          <w:rFonts w:hint="eastAsia" w:ascii="宋体" w:hAnsi="宋体" w:cs="宋体"/>
          <w:b w:val="0"/>
          <w:bCs/>
          <w:sz w:val="24"/>
          <w:highlight w:val="none"/>
          <w:lang w:eastAsia="zh-CN"/>
        </w:rPr>
        <w:t>成交供应商</w:t>
      </w:r>
      <w:r>
        <w:rPr>
          <w:rFonts w:hint="eastAsia" w:ascii="宋体" w:hAnsi="宋体" w:eastAsia="宋体" w:cs="宋体"/>
          <w:b w:val="0"/>
          <w:bCs/>
          <w:sz w:val="24"/>
          <w:highlight w:val="none"/>
        </w:rPr>
        <w:t>因不可抗力原因不能履行采购合同或放弃</w:t>
      </w:r>
      <w:r>
        <w:rPr>
          <w:rFonts w:hint="eastAsia" w:ascii="宋体" w:hAnsi="宋体" w:cs="宋体"/>
          <w:b w:val="0"/>
          <w:bCs/>
          <w:sz w:val="24"/>
          <w:highlight w:val="none"/>
          <w:lang w:eastAsia="zh-CN"/>
        </w:rPr>
        <w:t>成交</w:t>
      </w:r>
      <w:r>
        <w:rPr>
          <w:rFonts w:hint="eastAsia" w:ascii="宋体" w:hAnsi="宋体" w:eastAsia="宋体" w:cs="宋体"/>
          <w:b w:val="0"/>
          <w:bCs/>
          <w:sz w:val="24"/>
          <w:highlight w:val="none"/>
        </w:rPr>
        <w:t>资格的，</w:t>
      </w: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可以与排在</w:t>
      </w:r>
      <w:r>
        <w:rPr>
          <w:rFonts w:hint="eastAsia" w:ascii="宋体" w:hAnsi="宋体" w:cs="宋体"/>
          <w:b w:val="0"/>
          <w:bCs/>
          <w:sz w:val="24"/>
          <w:highlight w:val="none"/>
          <w:lang w:eastAsia="zh-CN"/>
        </w:rPr>
        <w:t>成交供应商</w:t>
      </w:r>
      <w:r>
        <w:rPr>
          <w:rFonts w:hint="eastAsia" w:ascii="宋体" w:hAnsi="宋体" w:eastAsia="宋体" w:cs="宋体"/>
          <w:b w:val="0"/>
          <w:bCs/>
          <w:sz w:val="24"/>
          <w:highlight w:val="none"/>
        </w:rPr>
        <w:t>之后第一位的</w:t>
      </w:r>
      <w:r>
        <w:rPr>
          <w:rFonts w:hint="eastAsia" w:ascii="宋体" w:hAnsi="宋体" w:cs="宋体"/>
          <w:b w:val="0"/>
          <w:bCs/>
          <w:sz w:val="24"/>
          <w:highlight w:val="none"/>
          <w:lang w:eastAsia="zh-CN"/>
        </w:rPr>
        <w:t>成交候选供应商</w:t>
      </w:r>
      <w:r>
        <w:rPr>
          <w:rFonts w:hint="eastAsia" w:ascii="宋体" w:hAnsi="宋体" w:eastAsia="宋体" w:cs="宋体"/>
          <w:b w:val="0"/>
          <w:bCs/>
          <w:sz w:val="24"/>
          <w:highlight w:val="none"/>
        </w:rPr>
        <w:t>签订采购合同，也可以重新</w:t>
      </w:r>
      <w:r>
        <w:rPr>
          <w:rFonts w:hint="eastAsia" w:ascii="宋体" w:hAnsi="宋体" w:cs="宋体"/>
          <w:b w:val="0"/>
          <w:bCs/>
          <w:sz w:val="24"/>
          <w:highlight w:val="none"/>
          <w:lang w:eastAsia="zh-CN"/>
        </w:rPr>
        <w:t>采购</w:t>
      </w:r>
      <w:r>
        <w:rPr>
          <w:rFonts w:hint="eastAsia" w:ascii="宋体" w:hAnsi="宋体" w:eastAsia="宋体" w:cs="宋体"/>
          <w:b w:val="0"/>
          <w:bCs/>
          <w:sz w:val="24"/>
          <w:highlight w:val="none"/>
        </w:rPr>
        <w:t>。</w:t>
      </w:r>
    </w:p>
    <w:p w14:paraId="71DCD6D9">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9"/>
        <w:rPr>
          <w:rFonts w:hint="eastAsia" w:ascii="宋体" w:hAnsi="宋体" w:eastAsia="宋体" w:cs="宋体"/>
          <w:b w:val="0"/>
          <w:bCs/>
          <w:sz w:val="24"/>
          <w:highlight w:val="none"/>
        </w:rPr>
      </w:pPr>
      <w:r>
        <w:rPr>
          <w:rFonts w:hint="eastAsia" w:ascii="宋体" w:hAnsi="宋体" w:eastAsia="宋体" w:cs="宋体"/>
          <w:b w:val="0"/>
          <w:bCs/>
          <w:sz w:val="24"/>
          <w:highlight w:val="none"/>
        </w:rPr>
        <w:t>6、违约责任、风险承担等其他事项在签订合同时双方具体约定。</w:t>
      </w:r>
    </w:p>
    <w:p w14:paraId="5753A4CC">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872" w:firstLineChars="200"/>
        <w:textAlignment w:val="auto"/>
        <w:rPr>
          <w:spacing w:val="3"/>
          <w:sz w:val="43"/>
          <w:szCs w:val="43"/>
        </w:rPr>
      </w:pPr>
      <w:r>
        <w:rPr>
          <w:spacing w:val="3"/>
          <w:sz w:val="43"/>
          <w:szCs w:val="43"/>
        </w:rPr>
        <w:br w:type="page"/>
      </w:r>
    </w:p>
    <w:p w14:paraId="1ED27A03">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2" w:firstLineChars="200"/>
        <w:jc w:val="center"/>
        <w:textAlignment w:val="auto"/>
        <w:rPr>
          <w:rFonts w:hint="eastAsia" w:ascii="宋体" w:hAnsi="宋体" w:eastAsia="宋体" w:cs="宋体"/>
          <w:b/>
          <w:bCs w:val="0"/>
          <w:sz w:val="24"/>
          <w:highlight w:val="none"/>
        </w:rPr>
      </w:pPr>
      <w:r>
        <w:rPr>
          <w:rFonts w:hint="eastAsia" w:ascii="宋体" w:hAnsi="宋体" w:eastAsia="宋体" w:cs="宋体"/>
          <w:b/>
          <w:bCs w:val="0"/>
          <w:sz w:val="24"/>
          <w:highlight w:val="none"/>
        </w:rPr>
        <w:t>山东省政府采购合同</w:t>
      </w:r>
    </w:p>
    <w:p w14:paraId="305C5B3B">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 xml:space="preserve">: </w:t>
      </w:r>
      <w:r>
        <w:rPr>
          <w:rFonts w:hint="eastAsia" w:ascii="宋体" w:hAnsi="宋体" w:cs="宋体"/>
          <w:b w:val="0"/>
          <w:bCs/>
          <w:sz w:val="24"/>
          <w:highlight w:val="none"/>
          <w:lang w:eastAsia="zh-CN"/>
        </w:rPr>
        <w:t>菏泽市立医院</w:t>
      </w:r>
      <w:r>
        <w:rPr>
          <w:rFonts w:hint="eastAsia" w:ascii="宋体" w:hAnsi="宋体" w:eastAsia="宋体" w:cs="宋体"/>
          <w:b w:val="0"/>
          <w:bCs/>
          <w:sz w:val="24"/>
          <w:highlight w:val="none"/>
        </w:rPr>
        <w:t xml:space="preserve">                              </w:t>
      </w:r>
    </w:p>
    <w:p w14:paraId="1775A33F">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cs="宋体"/>
          <w:b w:val="0"/>
          <w:bCs/>
          <w:sz w:val="24"/>
          <w:highlight w:val="none"/>
          <w:lang w:eastAsia="zh-CN"/>
        </w:rPr>
        <w:t>供应商</w:t>
      </w:r>
      <w:r>
        <w:rPr>
          <w:rFonts w:hint="eastAsia" w:ascii="宋体" w:hAnsi="宋体" w:eastAsia="宋体" w:cs="宋体"/>
          <w:b w:val="0"/>
          <w:bCs/>
          <w:sz w:val="24"/>
          <w:highlight w:val="none"/>
        </w:rPr>
        <w:t xml:space="preserve">：                              </w:t>
      </w:r>
    </w:p>
    <w:p w14:paraId="2C3D4FCD">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cs="宋体"/>
          <w:b w:val="0"/>
          <w:bCs/>
          <w:sz w:val="24"/>
          <w:highlight w:val="none"/>
          <w:lang w:eastAsia="zh-CN"/>
        </w:rPr>
        <w:t>采购代理机构</w:t>
      </w:r>
      <w:r>
        <w:rPr>
          <w:rFonts w:hint="eastAsia" w:ascii="宋体" w:hAnsi="宋体" w:eastAsia="宋体" w:cs="宋体"/>
          <w:b w:val="0"/>
          <w:bCs/>
          <w:sz w:val="24"/>
          <w:highlight w:val="none"/>
        </w:rPr>
        <w:t xml:space="preserve">: </w:t>
      </w:r>
      <w:r>
        <w:rPr>
          <w:rFonts w:hint="eastAsia" w:ascii="宋体" w:hAnsi="宋体" w:eastAsia="宋体" w:cs="宋体"/>
          <w:b w:val="0"/>
          <w:bCs/>
          <w:sz w:val="24"/>
          <w:highlight w:val="none"/>
          <w:lang w:eastAsia="zh-CN"/>
        </w:rPr>
        <w:t>山东华平项目管理有限公司</w:t>
      </w:r>
      <w:r>
        <w:rPr>
          <w:rFonts w:hint="eastAsia" w:ascii="宋体" w:hAnsi="宋体" w:eastAsia="宋体" w:cs="宋体"/>
          <w:b w:val="0"/>
          <w:bCs/>
          <w:sz w:val="24"/>
          <w:highlight w:val="none"/>
        </w:rPr>
        <w:t xml:space="preserve">  </w:t>
      </w:r>
    </w:p>
    <w:p w14:paraId="119D90D5">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签订时间：         年     月     日</w:t>
      </w:r>
    </w:p>
    <w:p w14:paraId="0ED9E6A2">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p>
    <w:p w14:paraId="7BF10875">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（全称）：</w:t>
      </w:r>
      <w:r>
        <w:rPr>
          <w:rFonts w:hint="eastAsia" w:ascii="宋体" w:hAnsi="宋体" w:cs="宋体"/>
          <w:sz w:val="24"/>
          <w:highlight w:val="none"/>
          <w:lang w:eastAsia="zh-CN"/>
        </w:rPr>
        <w:t>菏泽市立医院</w:t>
      </w:r>
      <w:r>
        <w:rPr>
          <w:rFonts w:hint="eastAsia" w:ascii="宋体" w:hAnsi="宋体" w:eastAsia="宋体" w:cs="宋体"/>
          <w:b w:val="0"/>
          <w:bCs/>
          <w:sz w:val="24"/>
          <w:highlight w:val="none"/>
        </w:rPr>
        <w:t xml:space="preserve">                     </w:t>
      </w:r>
    </w:p>
    <w:p w14:paraId="2E2072AA">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cs="宋体"/>
          <w:b w:val="0"/>
          <w:bCs/>
          <w:sz w:val="24"/>
          <w:highlight w:val="none"/>
          <w:lang w:eastAsia="zh-CN"/>
        </w:rPr>
        <w:t>供应商</w:t>
      </w:r>
      <w:r>
        <w:rPr>
          <w:rFonts w:hint="eastAsia" w:ascii="宋体" w:hAnsi="宋体" w:eastAsia="宋体" w:cs="宋体"/>
          <w:b w:val="0"/>
          <w:bCs/>
          <w:sz w:val="24"/>
          <w:highlight w:val="none"/>
        </w:rPr>
        <w:t xml:space="preserve">（全称）：                      </w:t>
      </w:r>
    </w:p>
    <w:p w14:paraId="0AC7C857">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根据《中华人民共和国民法典》及其他有关法律法规，双方经过友好协商，本着诚实守信</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rPr>
        <w:t>互惠互利的原则，就</w:t>
      </w:r>
      <w:r>
        <w:rPr>
          <w:rFonts w:hint="eastAsia" w:ascii="宋体" w:hAnsi="宋体" w:eastAsia="宋体" w:cs="宋体"/>
          <w:b w:val="0"/>
          <w:bCs/>
          <w:sz w:val="24"/>
          <w:highlight w:val="none"/>
          <w:u w:val="single"/>
        </w:rPr>
        <w:t xml:space="preserve"> </w:t>
      </w:r>
      <w:r>
        <w:rPr>
          <w:rFonts w:hint="eastAsia" w:ascii="宋体" w:hAnsi="宋体" w:cs="宋体"/>
          <w:b w:val="0"/>
          <w:bCs/>
          <w:sz w:val="24"/>
          <w:highlight w:val="none"/>
          <w:u w:val="single"/>
          <w:lang w:eastAsia="zh-CN"/>
        </w:rPr>
        <w:t>菏泽市立医院IVF双人工作站项目</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rPr>
        <w:t>服务事宜签订本合同条款，共同达成如下协议：</w:t>
      </w:r>
    </w:p>
    <w:p w14:paraId="6777A0E6">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一、项目概况</w:t>
      </w:r>
    </w:p>
    <w:p w14:paraId="1AF23A8C">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1.项目名称：</w:t>
      </w:r>
      <w:r>
        <w:rPr>
          <w:rFonts w:hint="eastAsia" w:ascii="宋体" w:hAnsi="宋体" w:cs="宋体"/>
          <w:b w:val="0"/>
          <w:bCs/>
          <w:sz w:val="24"/>
          <w:highlight w:val="none"/>
          <w:u w:val="single"/>
          <w:lang w:eastAsia="zh-CN"/>
        </w:rPr>
        <w:t>菏泽市立医院IVF双人工作站项目</w:t>
      </w:r>
      <w:r>
        <w:rPr>
          <w:rFonts w:hint="eastAsia" w:ascii="宋体" w:hAnsi="宋体" w:eastAsia="宋体" w:cs="宋体"/>
          <w:b w:val="0"/>
          <w:bCs/>
          <w:sz w:val="24"/>
          <w:highlight w:val="none"/>
        </w:rPr>
        <w:t xml:space="preserve">                        </w:t>
      </w:r>
    </w:p>
    <w:p w14:paraId="68CA8434">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2.</w:t>
      </w:r>
      <w:r>
        <w:rPr>
          <w:rFonts w:hint="eastAsia" w:ascii="宋体" w:hAnsi="宋体" w:cs="宋体"/>
          <w:b w:val="0"/>
          <w:bCs/>
          <w:sz w:val="24"/>
          <w:highlight w:val="none"/>
          <w:lang w:eastAsia="zh-CN"/>
        </w:rPr>
        <w:t>供货安装地点</w:t>
      </w:r>
      <w:r>
        <w:rPr>
          <w:rFonts w:hint="eastAsia" w:ascii="宋体" w:hAnsi="宋体" w:eastAsia="宋体" w:cs="宋体"/>
          <w:b w:val="0"/>
          <w:bCs/>
          <w:sz w:val="24"/>
          <w:highlight w:val="none"/>
        </w:rPr>
        <w:t xml:space="preserve">：                         </w:t>
      </w:r>
    </w:p>
    <w:p w14:paraId="7B3C5CA4">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9"/>
        <w:rPr>
          <w:rFonts w:hint="eastAsia" w:ascii="宋体" w:hAnsi="宋体" w:eastAsia="宋体" w:cs="宋体"/>
          <w:b w:val="0"/>
          <w:bCs/>
          <w:sz w:val="24"/>
          <w:highlight w:val="none"/>
        </w:rPr>
      </w:pPr>
      <w:r>
        <w:rPr>
          <w:rFonts w:hint="eastAsia" w:ascii="宋体" w:hAnsi="宋体" w:eastAsia="宋体" w:cs="宋体"/>
          <w:b w:val="0"/>
          <w:bCs/>
          <w:sz w:val="24"/>
          <w:highlight w:val="none"/>
        </w:rPr>
        <w:t xml:space="preserve">3.服务内容：                    </w:t>
      </w:r>
    </w:p>
    <w:p w14:paraId="09D1BF83">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二、</w:t>
      </w:r>
      <w:r>
        <w:rPr>
          <w:rFonts w:hint="eastAsia" w:ascii="宋体" w:hAnsi="宋体" w:eastAsia="宋体" w:cs="宋体"/>
          <w:b w:val="0"/>
          <w:bCs/>
          <w:sz w:val="24"/>
          <w:highlight w:val="none"/>
          <w:lang w:eastAsia="zh-CN"/>
        </w:rPr>
        <w:t>供货安装期</w:t>
      </w:r>
      <w:r>
        <w:rPr>
          <w:rFonts w:hint="eastAsia" w:ascii="宋体" w:hAnsi="宋体" w:eastAsia="宋体" w:cs="宋体"/>
          <w:b w:val="0"/>
          <w:bCs/>
          <w:sz w:val="24"/>
          <w:highlight w:val="none"/>
        </w:rPr>
        <w:t xml:space="preserve">：                        </w:t>
      </w:r>
    </w:p>
    <w:p w14:paraId="7EC66BC2">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rPr>
        <w:t>三、服务标准</w:t>
      </w:r>
      <w:r>
        <w:rPr>
          <w:rFonts w:hint="eastAsia" w:ascii="宋体" w:hAnsi="宋体" w:eastAsia="宋体" w:cs="宋体"/>
          <w:b w:val="0"/>
          <w:bCs/>
          <w:sz w:val="24"/>
          <w:highlight w:val="none"/>
          <w:lang w:eastAsia="zh-CN"/>
        </w:rPr>
        <w:t>：</w:t>
      </w:r>
    </w:p>
    <w:p w14:paraId="287CD642">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四、签约合同价与合同价格形式</w:t>
      </w:r>
    </w:p>
    <w:p w14:paraId="718F4AEB">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9"/>
        <w:rPr>
          <w:rFonts w:hint="eastAsia" w:ascii="宋体" w:hAnsi="宋体" w:eastAsia="宋体" w:cs="宋体"/>
          <w:b w:val="0"/>
          <w:bCs/>
          <w:sz w:val="24"/>
          <w:highlight w:val="none"/>
        </w:rPr>
      </w:pPr>
      <w:r>
        <w:rPr>
          <w:rFonts w:hint="eastAsia" w:ascii="宋体" w:hAnsi="宋体" w:eastAsia="宋体" w:cs="宋体"/>
          <w:b w:val="0"/>
          <w:bCs/>
          <w:sz w:val="24"/>
          <w:highlight w:val="none"/>
        </w:rPr>
        <w:t>1.签约合同价为：</w:t>
      </w:r>
    </w:p>
    <w:p w14:paraId="66A60F71">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人民币（大写）</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元(¥</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元)；</w:t>
      </w:r>
    </w:p>
    <w:p w14:paraId="45E20B88">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2.合同价格形式：</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rPr>
        <w:t xml:space="preserve">            </w:t>
      </w:r>
    </w:p>
    <w:p w14:paraId="6C6ECA04">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五、项目经理</w:t>
      </w:r>
    </w:p>
    <w:p w14:paraId="06A954F4">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cs="宋体"/>
          <w:b w:val="0"/>
          <w:bCs/>
          <w:sz w:val="24"/>
          <w:highlight w:val="none"/>
          <w:lang w:eastAsia="zh-CN"/>
        </w:rPr>
        <w:t>供应商</w:t>
      </w:r>
      <w:r>
        <w:rPr>
          <w:rFonts w:hint="eastAsia" w:ascii="宋体" w:hAnsi="宋体" w:eastAsia="宋体" w:cs="宋体"/>
          <w:b w:val="0"/>
          <w:bCs/>
          <w:sz w:val="24"/>
          <w:highlight w:val="none"/>
        </w:rPr>
        <w:t xml:space="preserve">项目经理：          </w:t>
      </w:r>
    </w:p>
    <w:p w14:paraId="03220D44">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六、资金来源</w:t>
      </w:r>
    </w:p>
    <w:p w14:paraId="612EA410">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预算内资金¥</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元；财政专户资金：</w:t>
      </w:r>
      <w:r>
        <w:rPr>
          <w:rFonts w:hint="eastAsia" w:ascii="宋体" w:hAnsi="宋体" w:eastAsia="宋体" w:cs="宋体"/>
          <w:b w:val="0"/>
          <w:bCs/>
          <w:sz w:val="24"/>
          <w:highlight w:val="none"/>
          <w:u w:val="single"/>
        </w:rPr>
        <w:t xml:space="preserve"> </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元； 自筹资金：</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元。</w:t>
      </w:r>
    </w:p>
    <w:p w14:paraId="39CBD6E4">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七、付款方式</w:t>
      </w:r>
    </w:p>
    <w:p w14:paraId="494F973F">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☑分期支付方式：</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rPr>
        <w:t xml:space="preserve">                                                        </w:t>
      </w:r>
    </w:p>
    <w:p w14:paraId="6325512B">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八、合同融资事项</w:t>
      </w:r>
    </w:p>
    <w:p w14:paraId="41E336D5">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按照《山东省财政厅关于启动山东省政府采购合同融资与履约保函服务平台有关事项的通  知》【鲁政采（2020）31 号】、《山东省财政厅关于加强政府采购合同付款账户管理的通知》 【鲁政采（2021）4 号】文件相关要求，本合同可用于“ 山东省政府采购合同融资与履约保函  服务平台 ”（简称融资平台）进行质押融资，如本合同已通过融资平台质押融资，融资平台将生成“政府采购合同回款账户确认单 ”，回传“山东省政府采购信息公开平台 ”推送至</w:t>
      </w: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w:t>
      </w: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应根据“确认单 ”信息，加强合同账户及资金支付管理，确保合同资金准确支付到贷款银行确认的回款账户，未经相关贷款金融机构同意不得随意变更。</w:t>
      </w:r>
    </w:p>
    <w:p w14:paraId="217B390B">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九、合同文件构成</w:t>
      </w:r>
    </w:p>
    <w:p w14:paraId="0FFF8FFC">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本协议书与下列文件一起构成合同文件：</w:t>
      </w:r>
    </w:p>
    <w:p w14:paraId="3E7D6FB8">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（1）</w:t>
      </w:r>
      <w:r>
        <w:rPr>
          <w:rFonts w:hint="eastAsia" w:ascii="宋体" w:hAnsi="宋体" w:cs="宋体"/>
          <w:b w:val="0"/>
          <w:bCs/>
          <w:sz w:val="24"/>
          <w:highlight w:val="none"/>
          <w:lang w:eastAsia="zh-CN"/>
        </w:rPr>
        <w:t>成交</w:t>
      </w:r>
      <w:r>
        <w:rPr>
          <w:rFonts w:hint="eastAsia" w:ascii="宋体" w:hAnsi="宋体" w:eastAsia="宋体" w:cs="宋体"/>
          <w:b w:val="0"/>
          <w:bCs/>
          <w:sz w:val="24"/>
          <w:highlight w:val="none"/>
        </w:rPr>
        <w:t>或成交通知书；</w:t>
      </w:r>
    </w:p>
    <w:p w14:paraId="076F741F">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（2）投标函及其附录；</w:t>
      </w:r>
    </w:p>
    <w:p w14:paraId="3DAAA627">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（3）合同条款；</w:t>
      </w:r>
    </w:p>
    <w:p w14:paraId="1D8198F5">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（4）服务标准和要求；</w:t>
      </w:r>
    </w:p>
    <w:p w14:paraId="4E4CB472">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（5）服务费用报价表；</w:t>
      </w:r>
    </w:p>
    <w:p w14:paraId="46DB038B">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w:t>
      </w:r>
      <w:r>
        <w:rPr>
          <w:rFonts w:hint="eastAsia" w:ascii="宋体" w:hAnsi="宋体" w:cs="宋体"/>
          <w:b w:val="0"/>
          <w:bCs/>
          <w:sz w:val="24"/>
          <w:highlight w:val="none"/>
          <w:lang w:val="en-US" w:eastAsia="zh-CN"/>
        </w:rPr>
        <w:t>6</w:t>
      </w:r>
      <w:r>
        <w:rPr>
          <w:rFonts w:hint="eastAsia" w:ascii="宋体" w:hAnsi="宋体" w:eastAsia="宋体" w:cs="宋体"/>
          <w:b w:val="0"/>
          <w:bCs/>
          <w:sz w:val="24"/>
          <w:highlight w:val="none"/>
        </w:rPr>
        <w:t>）其他合同文件。</w:t>
      </w:r>
    </w:p>
    <w:p w14:paraId="428C8025">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22D0B011">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十、承诺</w:t>
      </w:r>
    </w:p>
    <w:p w14:paraId="7CEE4E42">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1.</w:t>
      </w: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承诺按照法律规定履行项目审批手续、筹集项目资金并按照合同约定的期限和方式支付合同价款。</w:t>
      </w:r>
    </w:p>
    <w:p w14:paraId="7142504D">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2.</w:t>
      </w:r>
      <w:r>
        <w:rPr>
          <w:rFonts w:hint="eastAsia" w:ascii="宋体" w:hAnsi="宋体" w:cs="宋体"/>
          <w:b w:val="0"/>
          <w:bCs/>
          <w:sz w:val="24"/>
          <w:highlight w:val="none"/>
          <w:lang w:eastAsia="zh-CN"/>
        </w:rPr>
        <w:t>供应商</w:t>
      </w:r>
      <w:r>
        <w:rPr>
          <w:rFonts w:hint="eastAsia" w:ascii="宋体" w:hAnsi="宋体" w:eastAsia="宋体" w:cs="宋体"/>
          <w:b w:val="0"/>
          <w:bCs/>
          <w:sz w:val="24"/>
          <w:highlight w:val="none"/>
        </w:rPr>
        <w:t>承诺按照法律规定及合同约定开展服务工作，确保服务质量和效率，不进行转包及违法分包，并在缺陷责任期及保修期内承担相应的责任。</w:t>
      </w:r>
    </w:p>
    <w:p w14:paraId="60C76A18">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3.</w:t>
      </w: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和</w:t>
      </w:r>
      <w:r>
        <w:rPr>
          <w:rFonts w:hint="eastAsia" w:ascii="宋体" w:hAnsi="宋体" w:cs="宋体"/>
          <w:b w:val="0"/>
          <w:bCs/>
          <w:sz w:val="24"/>
          <w:highlight w:val="none"/>
          <w:lang w:eastAsia="zh-CN"/>
        </w:rPr>
        <w:t>供应商</w:t>
      </w:r>
      <w:r>
        <w:rPr>
          <w:rFonts w:hint="eastAsia" w:ascii="宋体" w:hAnsi="宋体" w:eastAsia="宋体" w:cs="宋体"/>
          <w:b w:val="0"/>
          <w:bCs/>
          <w:sz w:val="24"/>
          <w:highlight w:val="none"/>
        </w:rPr>
        <w:t>通过招投标形式签订合同的，双方理解并承诺不再就同一项目另行签订与合同实质性内容相背离的协议。</w:t>
      </w:r>
    </w:p>
    <w:p w14:paraId="051F5D40">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十一、签订时间</w:t>
      </w:r>
    </w:p>
    <w:p w14:paraId="25E59914">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本合同于      年   月   日签订。</w:t>
      </w:r>
    </w:p>
    <w:p w14:paraId="6C0BB363">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十二、签订地点</w:t>
      </w:r>
    </w:p>
    <w:p w14:paraId="4FF9003B">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本合同在</w:t>
      </w:r>
      <w:r>
        <w:rPr>
          <w:rFonts w:hint="eastAsia" w:ascii="宋体" w:hAnsi="宋体" w:eastAsia="宋体" w:cs="宋体"/>
          <w:b w:val="0"/>
          <w:bCs/>
          <w:sz w:val="24"/>
          <w:highlight w:val="none"/>
          <w:u w:val="single"/>
        </w:rPr>
        <w:t xml:space="preserve">                       </w:t>
      </w:r>
      <w:r>
        <w:rPr>
          <w:rFonts w:hint="eastAsia" w:ascii="宋体" w:hAnsi="宋体" w:eastAsia="宋体" w:cs="宋体"/>
          <w:b w:val="0"/>
          <w:bCs/>
          <w:sz w:val="24"/>
          <w:highlight w:val="none"/>
        </w:rPr>
        <w:t>签订。</w:t>
      </w:r>
    </w:p>
    <w:p w14:paraId="2E46A31F">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十三、补充协议</w:t>
      </w:r>
    </w:p>
    <w:p w14:paraId="4808DE24">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合同未尽事宜，合同当事人另行签订补充协议，补充协议是合同的组成部分。</w:t>
      </w:r>
    </w:p>
    <w:p w14:paraId="1C277743">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十四、合同生效</w:t>
      </w:r>
    </w:p>
    <w:p w14:paraId="37DFB00A">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本合同自</w:t>
      </w:r>
      <w:r>
        <w:rPr>
          <w:rFonts w:hint="eastAsia" w:ascii="宋体" w:hAnsi="宋体" w:eastAsia="宋体" w:cs="宋体"/>
          <w:b w:val="0"/>
          <w:bCs/>
          <w:sz w:val="24"/>
          <w:highlight w:val="none"/>
          <w:u w:val="single"/>
        </w:rPr>
        <w:t xml:space="preserve">  签订之日起  </w:t>
      </w:r>
      <w:r>
        <w:rPr>
          <w:rFonts w:hint="eastAsia" w:ascii="宋体" w:hAnsi="宋体" w:eastAsia="宋体" w:cs="宋体"/>
          <w:b w:val="0"/>
          <w:bCs/>
          <w:sz w:val="24"/>
          <w:highlight w:val="none"/>
        </w:rPr>
        <w:t>生效。</w:t>
      </w:r>
    </w:p>
    <w:p w14:paraId="14ABDEC2">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outlineLvl w:val="2"/>
        <w:rPr>
          <w:rFonts w:hint="eastAsia" w:ascii="宋体" w:hAnsi="宋体" w:eastAsia="宋体" w:cs="宋体"/>
          <w:b w:val="0"/>
          <w:bCs/>
          <w:sz w:val="24"/>
          <w:highlight w:val="none"/>
        </w:rPr>
      </w:pPr>
      <w:r>
        <w:rPr>
          <w:rFonts w:hint="eastAsia" w:ascii="宋体" w:hAnsi="宋体" w:eastAsia="宋体" w:cs="宋体"/>
          <w:b w:val="0"/>
          <w:bCs/>
          <w:sz w:val="24"/>
          <w:highlight w:val="none"/>
        </w:rPr>
        <w:t>十五、合同份数</w:t>
      </w:r>
    </w:p>
    <w:p w14:paraId="3FB4A17B">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sz w:val="24"/>
          <w:szCs w:val="24"/>
        </w:rPr>
      </w:pPr>
      <w:r>
        <w:rPr>
          <w:rFonts w:hint="eastAsia" w:ascii="宋体" w:hAnsi="宋体" w:eastAsia="宋体" w:cs="宋体"/>
          <w:b w:val="0"/>
          <w:bCs/>
          <w:sz w:val="24"/>
          <w:highlight w:val="none"/>
        </w:rPr>
        <w:t>本合同一式五份，均具有同等法律效力，</w:t>
      </w:r>
      <w:r>
        <w:rPr>
          <w:rFonts w:hint="eastAsia" w:ascii="宋体" w:hAnsi="宋体" w:cs="宋体"/>
          <w:b w:val="0"/>
          <w:bCs/>
          <w:sz w:val="24"/>
          <w:highlight w:val="none"/>
          <w:lang w:eastAsia="zh-CN"/>
        </w:rPr>
        <w:t>采购人</w:t>
      </w:r>
      <w:r>
        <w:rPr>
          <w:rFonts w:hint="eastAsia" w:ascii="宋体" w:hAnsi="宋体" w:eastAsia="宋体" w:cs="宋体"/>
          <w:b w:val="0"/>
          <w:bCs/>
          <w:sz w:val="24"/>
          <w:highlight w:val="none"/>
        </w:rPr>
        <w:t>执贰份，</w:t>
      </w:r>
      <w:r>
        <w:rPr>
          <w:rFonts w:hint="eastAsia" w:ascii="宋体" w:hAnsi="宋体" w:cs="宋体"/>
          <w:b w:val="0"/>
          <w:bCs/>
          <w:sz w:val="24"/>
          <w:highlight w:val="none"/>
          <w:lang w:eastAsia="zh-CN"/>
        </w:rPr>
        <w:t>供应商</w:t>
      </w:r>
      <w:r>
        <w:rPr>
          <w:rFonts w:hint="eastAsia" w:ascii="宋体" w:hAnsi="宋体" w:eastAsia="宋体" w:cs="宋体"/>
          <w:b w:val="0"/>
          <w:bCs/>
          <w:sz w:val="24"/>
          <w:highlight w:val="none"/>
        </w:rPr>
        <w:t>执贰份，代理机构一份。</w:t>
      </w:r>
    </w:p>
    <w:p w14:paraId="7F2C3506">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20" w:firstLineChars="200"/>
        <w:textAlignment w:val="auto"/>
        <w:rPr>
          <w:rFonts w:ascii="Arial"/>
          <w:sz w:val="21"/>
        </w:rPr>
      </w:pPr>
    </w:p>
    <w:p w14:paraId="276A3D34">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cs="宋体"/>
          <w:b w:val="0"/>
          <w:bCs/>
          <w:sz w:val="24"/>
          <w:highlight w:val="none"/>
          <w:lang w:val="en-US" w:eastAsia="zh-CN"/>
        </w:rPr>
      </w:pPr>
      <w:r>
        <w:rPr>
          <w:rFonts w:hint="eastAsia" w:ascii="宋体" w:hAnsi="宋体" w:eastAsia="宋体" w:cs="宋体"/>
          <w:b w:val="0"/>
          <w:bCs/>
          <w:sz w:val="24"/>
          <w:highlight w:val="none"/>
        </w:rPr>
        <w:t>甲方：</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(公章)</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乙方：</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(公章)</w:t>
      </w:r>
      <w:r>
        <w:rPr>
          <w:rFonts w:hint="eastAsia" w:ascii="宋体" w:hAnsi="宋体" w:cs="宋体"/>
          <w:b w:val="0"/>
          <w:bCs/>
          <w:sz w:val="24"/>
          <w:highlight w:val="none"/>
          <w:lang w:val="en-US" w:eastAsia="zh-CN"/>
        </w:rPr>
        <w:t xml:space="preserve"> </w:t>
      </w:r>
    </w:p>
    <w:p w14:paraId="6B8FA203">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cs="宋体"/>
          <w:b w:val="0"/>
          <w:bCs/>
          <w:sz w:val="24"/>
          <w:highlight w:val="none"/>
          <w:lang w:val="en-US" w:eastAsia="zh-CN"/>
        </w:rPr>
        <w:t>住所</w:t>
      </w:r>
      <w:r>
        <w:rPr>
          <w:rFonts w:hint="eastAsia" w:ascii="宋体" w:hAnsi="宋体" w:eastAsia="宋体" w:cs="宋体"/>
          <w:b w:val="0"/>
          <w:bCs/>
          <w:sz w:val="24"/>
          <w:highlight w:val="none"/>
        </w:rPr>
        <w:t>：</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住所：</w:t>
      </w:r>
    </w:p>
    <w:p w14:paraId="73FA0CC8">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rPr>
        <w:t>法定代表人：</w:t>
      </w:r>
      <w:r>
        <w:rPr>
          <w:rFonts w:hint="eastAsia" w:ascii="宋体" w:hAnsi="宋体" w:cs="宋体"/>
          <w:b w:val="0"/>
          <w:bCs/>
          <w:sz w:val="24"/>
          <w:highlight w:val="none"/>
          <w:lang w:val="en-US" w:eastAsia="zh-CN"/>
        </w:rPr>
        <w:t xml:space="preserve"> （签字或盖章）       </w:t>
      </w:r>
      <w:r>
        <w:rPr>
          <w:rFonts w:hint="eastAsia" w:ascii="宋体" w:hAnsi="宋体" w:eastAsia="宋体" w:cs="宋体"/>
          <w:b w:val="0"/>
          <w:bCs/>
          <w:sz w:val="24"/>
          <w:highlight w:val="none"/>
        </w:rPr>
        <w:t>法定代表人：</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签字或盖章</w:t>
      </w:r>
      <w:r>
        <w:rPr>
          <w:rFonts w:hint="eastAsia" w:ascii="宋体" w:hAnsi="宋体" w:cs="宋体"/>
          <w:b w:val="0"/>
          <w:bCs/>
          <w:sz w:val="24"/>
          <w:highlight w:val="none"/>
          <w:lang w:eastAsia="zh-CN"/>
        </w:rPr>
        <w:t>）</w:t>
      </w:r>
    </w:p>
    <w:p w14:paraId="09105AD5">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rPr>
        <w:t>委托代理人：</w:t>
      </w:r>
      <w:r>
        <w:rPr>
          <w:rFonts w:hint="eastAsia" w:ascii="宋体" w:hAnsi="宋体" w:cs="宋体"/>
          <w:b w:val="0"/>
          <w:bCs/>
          <w:sz w:val="24"/>
          <w:highlight w:val="none"/>
          <w:lang w:val="en-US" w:eastAsia="zh-CN"/>
        </w:rPr>
        <w:t xml:space="preserve"> （签字或盖章）       </w:t>
      </w:r>
      <w:r>
        <w:rPr>
          <w:rFonts w:hint="eastAsia" w:ascii="宋体" w:hAnsi="宋体" w:eastAsia="宋体" w:cs="宋体"/>
          <w:b w:val="0"/>
          <w:bCs/>
          <w:sz w:val="24"/>
          <w:highlight w:val="none"/>
        </w:rPr>
        <w:t>委托代理人：</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签字或盖章</w:t>
      </w:r>
      <w:r>
        <w:rPr>
          <w:rFonts w:hint="eastAsia" w:ascii="宋体" w:hAnsi="宋体" w:cs="宋体"/>
          <w:b w:val="0"/>
          <w:bCs/>
          <w:sz w:val="24"/>
          <w:highlight w:val="none"/>
          <w:lang w:eastAsia="zh-CN"/>
        </w:rPr>
        <w:t>）</w:t>
      </w:r>
    </w:p>
    <w:p w14:paraId="40B2DAB2">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rPr>
        <w:t>电话：</w:t>
      </w:r>
      <w:r>
        <w:rPr>
          <w:rFonts w:hint="eastAsia" w:ascii="宋体" w:hAnsi="宋体" w:cs="宋体"/>
          <w:b w:val="0"/>
          <w:bCs/>
          <w:sz w:val="24"/>
          <w:highlight w:val="none"/>
          <w:lang w:val="en-US" w:eastAsia="zh-CN"/>
        </w:rPr>
        <w:t xml:space="preserve">                            电话：</w:t>
      </w:r>
    </w:p>
    <w:p w14:paraId="183D781F">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开户银行：</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开户银行：</w:t>
      </w:r>
    </w:p>
    <w:p w14:paraId="07DEB69A">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账号：</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账号：</w:t>
      </w:r>
    </w:p>
    <w:p w14:paraId="45B9BAFA">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rPr>
        <w:t>行号：</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行号：</w:t>
      </w:r>
    </w:p>
    <w:p w14:paraId="05E26D28">
      <w:pPr>
        <w:keepNext w:val="0"/>
        <w:keepLines w:val="0"/>
        <w:pageBreakBefore w:val="0"/>
        <w:widowControl w:val="0"/>
        <w:kinsoku/>
        <w:wordWrap/>
        <w:overflowPunct/>
        <w:topLinePunct w:val="0"/>
        <w:autoSpaceDE/>
        <w:autoSpaceDN/>
        <w:bidi w:val="0"/>
        <w:adjustRightInd/>
        <w:snapToGrid/>
        <w:spacing w:before="146" w:beforeLines="50" w:line="360" w:lineRule="auto"/>
        <w:ind w:right="0" w:rightChars="0" w:firstLine="480" w:firstLineChars="200"/>
        <w:jc w:val="left"/>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lang w:eastAsia="zh-CN"/>
        </w:rPr>
        <w:t>邮政编码：</w:t>
      </w:r>
      <w:r>
        <w:rPr>
          <w:rFonts w:hint="eastAsia" w:ascii="宋体" w:hAnsi="宋体" w:cs="宋体"/>
          <w:b w:val="0"/>
          <w:bCs/>
          <w:sz w:val="24"/>
          <w:highlight w:val="none"/>
          <w:lang w:val="en-US" w:eastAsia="zh-CN"/>
        </w:rPr>
        <w:t xml:space="preserve">                        </w:t>
      </w:r>
      <w:r>
        <w:rPr>
          <w:rFonts w:hint="eastAsia" w:ascii="宋体" w:hAnsi="宋体" w:cs="宋体"/>
          <w:b w:val="0"/>
          <w:bCs/>
          <w:sz w:val="24"/>
          <w:highlight w:val="none"/>
          <w:lang w:eastAsia="zh-CN"/>
        </w:rPr>
        <w:t>邮政编码：</w:t>
      </w:r>
    </w:p>
    <w:p w14:paraId="4FA0A546">
      <w:pPr>
        <w:keepNext w:val="0"/>
        <w:keepLines w:val="0"/>
        <w:pageBreakBefore w:val="0"/>
        <w:widowControl w:val="0"/>
        <w:kinsoku/>
        <w:wordWrap/>
        <w:overflowPunct/>
        <w:topLinePunct w:val="0"/>
        <w:autoSpaceDE/>
        <w:autoSpaceDN/>
        <w:bidi w:val="0"/>
        <w:adjustRightInd/>
        <w:snapToGrid/>
        <w:spacing w:before="146" w:beforeLines="50" w:line="360" w:lineRule="auto"/>
        <w:ind w:right="105" w:rightChars="50" w:firstLine="480" w:firstLineChars="200"/>
        <w:jc w:val="right"/>
        <w:textAlignment w:val="auto"/>
        <w:rPr>
          <w:rFonts w:hint="eastAsia" w:ascii="宋体" w:hAnsi="宋体" w:eastAsia="宋体" w:cs="宋体"/>
          <w:b w:val="0"/>
          <w:sz w:val="72"/>
          <w:highlight w:val="none"/>
        </w:rPr>
      </w:pPr>
      <w:r>
        <w:rPr>
          <w:rFonts w:hint="eastAsia" w:ascii="宋体" w:hAnsi="宋体" w:eastAsia="宋体" w:cs="宋体"/>
          <w:b w:val="0"/>
          <w:bCs/>
          <w:sz w:val="24"/>
          <w:highlight w:val="none"/>
        </w:rPr>
        <w:t>签订日期：</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年</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月</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rPr>
        <w:t>日</w:t>
      </w:r>
      <w:r>
        <w:rPr>
          <w:rFonts w:hint="eastAsia" w:ascii="宋体" w:hAnsi="宋体" w:eastAsia="宋体" w:cs="宋体"/>
          <w:b w:val="0"/>
          <w:sz w:val="72"/>
          <w:highlight w:val="none"/>
        </w:rPr>
        <w:br w:type="page"/>
      </w:r>
      <w:bookmarkStart w:id="245" w:name="_Toc12613443"/>
      <w:bookmarkStart w:id="246" w:name="_Toc6916075"/>
      <w:bookmarkStart w:id="247" w:name="_Toc12613407"/>
      <w:bookmarkStart w:id="248" w:name="_Toc13581215"/>
      <w:bookmarkStart w:id="249" w:name="_Toc9845240"/>
    </w:p>
    <w:p w14:paraId="10FE36ED">
      <w:pPr>
        <w:pStyle w:val="2"/>
        <w:bidi w:val="0"/>
        <w:jc w:val="center"/>
        <w:rPr>
          <w:rFonts w:hint="eastAsia" w:ascii="Times New Roman" w:hAnsi="Times New Roman" w:eastAsia="宋体" w:cs="Times New Roman"/>
          <w:lang w:val="en-US" w:eastAsia="zh-CN"/>
        </w:rPr>
      </w:pPr>
      <w:bookmarkStart w:id="250" w:name="_Toc25760"/>
      <w:r>
        <w:rPr>
          <w:rFonts w:hint="eastAsia" w:ascii="Times New Roman" w:hAnsi="Times New Roman" w:eastAsia="宋体" w:cs="Times New Roman"/>
          <w:lang w:val="en-US" w:eastAsia="zh-CN"/>
        </w:rPr>
        <w:t>第六章  响应文件格式</w:t>
      </w:r>
      <w:bookmarkEnd w:id="245"/>
      <w:bookmarkEnd w:id="246"/>
      <w:bookmarkEnd w:id="247"/>
      <w:bookmarkEnd w:id="248"/>
      <w:bookmarkEnd w:id="249"/>
    </w:p>
    <w:bookmarkEnd w:id="250"/>
    <w:p w14:paraId="4ECDC40D">
      <w:pPr>
        <w:pStyle w:val="30"/>
        <w:keepNext w:val="0"/>
        <w:keepLines w:val="0"/>
        <w:pageBreakBefore w:val="0"/>
        <w:widowControl w:val="0"/>
        <w:kinsoku/>
        <w:wordWrap/>
        <w:overflowPunct/>
        <w:topLinePunct w:val="0"/>
        <w:autoSpaceDE w:val="0"/>
        <w:autoSpaceDN w:val="0"/>
        <w:bidi w:val="0"/>
        <w:adjustRightInd/>
        <w:snapToGrid w:val="0"/>
        <w:spacing w:before="0" w:after="0" w:afterLines="50" w:line="360" w:lineRule="auto"/>
        <w:ind w:left="0" w:leftChars="0" w:right="0" w:firstLine="402" w:firstLineChars="200"/>
        <w:textAlignment w:val="auto"/>
        <w:rPr>
          <w:b/>
          <w:sz w:val="20"/>
          <w:highlight w:val="none"/>
        </w:rPr>
      </w:pPr>
      <w:bookmarkStart w:id="251" w:name="_Toc12613408"/>
      <w:bookmarkStart w:id="252" w:name="_Toc13581216"/>
      <w:bookmarkStart w:id="253" w:name="_Toc12613444"/>
      <w:bookmarkStart w:id="254" w:name="_Toc9845241"/>
      <w:bookmarkStart w:id="255" w:name="_Toc6916076"/>
    </w:p>
    <w:p w14:paraId="6911BAE0">
      <w:pPr>
        <w:pStyle w:val="3"/>
        <w:keepNext w:val="0"/>
        <w:keepLines w:val="0"/>
        <w:pageBreakBefore w:val="0"/>
        <w:widowControl w:val="0"/>
        <w:tabs>
          <w:tab w:val="left" w:pos="6366"/>
        </w:tabs>
        <w:kinsoku/>
        <w:wordWrap/>
        <w:overflowPunct/>
        <w:topLinePunct w:val="0"/>
        <w:autoSpaceDE w:val="0"/>
        <w:autoSpaceDN w:val="0"/>
        <w:bidi w:val="0"/>
        <w:adjustRightInd/>
        <w:snapToGrid w:val="0"/>
        <w:spacing w:before="0" w:after="0" w:afterLines="50" w:line="360" w:lineRule="auto"/>
        <w:ind w:left="0" w:leftChars="0" w:right="0" w:firstLine="632" w:firstLineChars="200"/>
        <w:textAlignment w:val="auto"/>
        <w:rPr>
          <w:rFonts w:hint="eastAsia" w:eastAsia="宋体"/>
          <w:b w:val="0"/>
          <w:bCs/>
          <w:highlight w:val="none"/>
          <w:lang w:eastAsia="zh-CN"/>
        </w:rPr>
      </w:pPr>
      <w:r>
        <w:rPr>
          <w:rFonts w:ascii="Times New Roman" w:eastAsia="Times New Roman"/>
          <w:b w:val="0"/>
          <w:bCs/>
          <w:w w:val="99"/>
          <w:highlight w:val="none"/>
          <w:u w:val="single"/>
        </w:rPr>
        <w:t xml:space="preserve"> </w:t>
      </w:r>
      <w:r>
        <w:rPr>
          <w:rFonts w:ascii="Times New Roman" w:eastAsia="Times New Roman"/>
          <w:b w:val="0"/>
          <w:bCs/>
          <w:highlight w:val="none"/>
          <w:u w:val="single"/>
        </w:rPr>
        <w:tab/>
      </w:r>
      <w:bookmarkStart w:id="256" w:name="_Toc7958"/>
      <w:bookmarkStart w:id="257" w:name="_Toc5567"/>
      <w:bookmarkStart w:id="258" w:name="_Toc17435"/>
      <w:bookmarkStart w:id="259" w:name="_Toc2007"/>
      <w:bookmarkStart w:id="260" w:name="_Toc6573"/>
      <w:bookmarkStart w:id="261" w:name="_Toc676"/>
      <w:r>
        <w:rPr>
          <w:b w:val="0"/>
          <w:bCs/>
          <w:highlight w:val="none"/>
        </w:rPr>
        <w:t>（项目名称</w:t>
      </w:r>
      <w:r>
        <w:rPr>
          <w:rFonts w:hint="eastAsia"/>
          <w:b w:val="0"/>
          <w:bCs/>
          <w:highlight w:val="none"/>
          <w:lang w:val="en-US" w:eastAsia="zh-CN"/>
        </w:rPr>
        <w:t xml:space="preserve"> </w:t>
      </w:r>
      <w:r>
        <w:rPr>
          <w:rFonts w:hint="eastAsia"/>
          <w:b w:val="0"/>
          <w:bCs/>
          <w:highlight w:val="none"/>
          <w:lang w:eastAsia="zh-CN"/>
        </w:rPr>
        <w:t>）</w:t>
      </w:r>
      <w:bookmarkEnd w:id="256"/>
      <w:bookmarkEnd w:id="257"/>
      <w:bookmarkEnd w:id="258"/>
      <w:bookmarkEnd w:id="259"/>
      <w:bookmarkEnd w:id="260"/>
      <w:bookmarkEnd w:id="261"/>
    </w:p>
    <w:p w14:paraId="6AEABAD7">
      <w:pPr>
        <w:pStyle w:val="30"/>
        <w:keepNext w:val="0"/>
        <w:keepLines w:val="0"/>
        <w:pageBreakBefore w:val="0"/>
        <w:widowControl w:val="0"/>
        <w:kinsoku/>
        <w:wordWrap/>
        <w:overflowPunct/>
        <w:topLinePunct w:val="0"/>
        <w:autoSpaceDE w:val="0"/>
        <w:autoSpaceDN w:val="0"/>
        <w:bidi w:val="0"/>
        <w:adjustRightInd/>
        <w:snapToGrid w:val="0"/>
        <w:spacing w:before="0" w:after="0" w:afterLines="50" w:line="360" w:lineRule="auto"/>
        <w:ind w:left="0" w:leftChars="0" w:right="0" w:firstLine="680" w:firstLineChars="200"/>
        <w:textAlignment w:val="auto"/>
        <w:outlineLvl w:val="9"/>
        <w:rPr>
          <w:rFonts w:hint="default" w:eastAsia="宋体"/>
          <w:sz w:val="34"/>
          <w:highlight w:val="none"/>
          <w:lang w:val="en-US" w:eastAsia="zh-CN"/>
        </w:rPr>
      </w:pPr>
      <w:r>
        <w:rPr>
          <w:rFonts w:hint="eastAsia"/>
          <w:sz w:val="34"/>
          <w:highlight w:val="none"/>
          <w:u w:val="single"/>
          <w:lang w:val="en-US" w:eastAsia="zh-CN"/>
        </w:rPr>
        <w:t xml:space="preserve">                                 </w:t>
      </w:r>
      <w:bookmarkStart w:id="262" w:name="_Toc27275"/>
      <w:bookmarkStart w:id="263" w:name="_Toc20375"/>
      <w:bookmarkStart w:id="264" w:name="_Toc21279"/>
      <w:bookmarkStart w:id="265" w:name="_Toc28725"/>
      <w:bookmarkStart w:id="266" w:name="_Toc6353"/>
      <w:bookmarkStart w:id="267" w:name="_Toc20768"/>
      <w:r>
        <w:rPr>
          <w:rFonts w:hint="eastAsia"/>
          <w:sz w:val="34"/>
          <w:highlight w:val="none"/>
          <w:u w:val="none"/>
          <w:lang w:val="en-US" w:eastAsia="zh-CN"/>
        </w:rPr>
        <w:t>（</w:t>
      </w:r>
      <w:r>
        <w:rPr>
          <w:rFonts w:hint="eastAsia"/>
          <w:sz w:val="34"/>
          <w:highlight w:val="none"/>
          <w:lang w:val="en-US" w:eastAsia="zh-CN"/>
        </w:rPr>
        <w:t>项目编号）</w:t>
      </w:r>
      <w:bookmarkEnd w:id="262"/>
      <w:bookmarkEnd w:id="263"/>
      <w:bookmarkEnd w:id="264"/>
      <w:bookmarkEnd w:id="265"/>
      <w:bookmarkEnd w:id="266"/>
      <w:bookmarkEnd w:id="267"/>
    </w:p>
    <w:p w14:paraId="3B4E63EC">
      <w:pPr>
        <w:pStyle w:val="30"/>
        <w:keepNext w:val="0"/>
        <w:keepLines w:val="0"/>
        <w:pageBreakBefore w:val="0"/>
        <w:widowControl w:val="0"/>
        <w:kinsoku/>
        <w:wordWrap/>
        <w:overflowPunct/>
        <w:topLinePunct w:val="0"/>
        <w:autoSpaceDE w:val="0"/>
        <w:autoSpaceDN w:val="0"/>
        <w:bidi w:val="0"/>
        <w:adjustRightInd/>
        <w:snapToGrid w:val="0"/>
        <w:spacing w:before="0" w:after="0" w:afterLines="50" w:line="360" w:lineRule="auto"/>
        <w:ind w:left="0" w:leftChars="0" w:right="0" w:firstLine="680" w:firstLineChars="200"/>
        <w:textAlignment w:val="auto"/>
        <w:rPr>
          <w:sz w:val="34"/>
          <w:highlight w:val="none"/>
        </w:rPr>
      </w:pPr>
    </w:p>
    <w:p w14:paraId="0AD42B6C">
      <w:pPr>
        <w:pStyle w:val="30"/>
        <w:keepNext w:val="0"/>
        <w:keepLines w:val="0"/>
        <w:pageBreakBefore w:val="0"/>
        <w:widowControl w:val="0"/>
        <w:kinsoku/>
        <w:wordWrap/>
        <w:overflowPunct/>
        <w:topLinePunct w:val="0"/>
        <w:autoSpaceDE w:val="0"/>
        <w:autoSpaceDN w:val="0"/>
        <w:bidi w:val="0"/>
        <w:adjustRightInd/>
        <w:snapToGrid w:val="0"/>
        <w:spacing w:before="0" w:after="0" w:afterLines="50" w:line="360" w:lineRule="auto"/>
        <w:ind w:left="0" w:leftChars="0" w:right="0" w:firstLine="680" w:firstLineChars="200"/>
        <w:textAlignment w:val="auto"/>
        <w:rPr>
          <w:sz w:val="34"/>
          <w:highlight w:val="none"/>
        </w:rPr>
      </w:pPr>
    </w:p>
    <w:p w14:paraId="45FEDE19">
      <w:pPr>
        <w:keepNext w:val="0"/>
        <w:keepLines w:val="0"/>
        <w:pageBreakBefore w:val="0"/>
        <w:widowControl w:val="0"/>
        <w:tabs>
          <w:tab w:val="left" w:pos="878"/>
          <w:tab w:val="left" w:pos="1759"/>
          <w:tab w:val="left" w:pos="2639"/>
        </w:tabs>
        <w:kinsoku/>
        <w:wordWrap/>
        <w:overflowPunct/>
        <w:topLinePunct w:val="0"/>
        <w:autoSpaceDE w:val="0"/>
        <w:autoSpaceDN w:val="0"/>
        <w:bidi w:val="0"/>
        <w:adjustRightInd/>
        <w:snapToGrid w:val="0"/>
        <w:spacing w:before="0" w:after="0" w:afterLines="50" w:line="360" w:lineRule="auto"/>
        <w:ind w:left="0" w:leftChars="0" w:right="0" w:firstLine="880" w:firstLineChars="200"/>
        <w:jc w:val="center"/>
        <w:textAlignment w:val="auto"/>
        <w:outlineLvl w:val="9"/>
        <w:rPr>
          <w:sz w:val="44"/>
          <w:highlight w:val="none"/>
        </w:rPr>
      </w:pPr>
      <w:bookmarkStart w:id="268" w:name="_Toc11905"/>
      <w:bookmarkStart w:id="269" w:name="_Toc30424"/>
      <w:bookmarkStart w:id="270" w:name="_Toc8157"/>
      <w:bookmarkStart w:id="271" w:name="_Toc2156"/>
      <w:bookmarkStart w:id="272" w:name="_Toc31116"/>
      <w:bookmarkStart w:id="273" w:name="_Toc8647"/>
      <w:r>
        <w:rPr>
          <w:rFonts w:hint="eastAsia"/>
          <w:sz w:val="44"/>
          <w:highlight w:val="none"/>
          <w:lang w:eastAsia="zh-CN"/>
        </w:rPr>
        <w:t>响</w:t>
      </w:r>
      <w:r>
        <w:rPr>
          <w:rFonts w:hint="eastAsia"/>
          <w:sz w:val="44"/>
          <w:highlight w:val="none"/>
          <w:lang w:val="en-US" w:eastAsia="zh-CN"/>
        </w:rPr>
        <w:t xml:space="preserve">  </w:t>
      </w:r>
      <w:r>
        <w:rPr>
          <w:rFonts w:hint="eastAsia"/>
          <w:sz w:val="44"/>
          <w:highlight w:val="none"/>
          <w:lang w:eastAsia="zh-CN"/>
        </w:rPr>
        <w:t>应</w:t>
      </w:r>
      <w:r>
        <w:rPr>
          <w:rFonts w:hint="eastAsia"/>
          <w:sz w:val="44"/>
          <w:highlight w:val="none"/>
          <w:lang w:val="en-US" w:eastAsia="zh-CN"/>
        </w:rPr>
        <w:t xml:space="preserve">  </w:t>
      </w:r>
      <w:r>
        <w:rPr>
          <w:sz w:val="44"/>
          <w:highlight w:val="none"/>
        </w:rPr>
        <w:t>文</w:t>
      </w:r>
      <w:r>
        <w:rPr>
          <w:rFonts w:hint="eastAsia"/>
          <w:sz w:val="44"/>
          <w:highlight w:val="none"/>
          <w:lang w:val="en-US" w:eastAsia="zh-CN"/>
        </w:rPr>
        <w:t xml:space="preserve">  </w:t>
      </w:r>
      <w:r>
        <w:rPr>
          <w:sz w:val="44"/>
          <w:highlight w:val="none"/>
        </w:rPr>
        <w:t>件</w:t>
      </w:r>
      <w:bookmarkEnd w:id="268"/>
      <w:bookmarkEnd w:id="269"/>
      <w:bookmarkEnd w:id="270"/>
      <w:bookmarkEnd w:id="271"/>
      <w:bookmarkEnd w:id="272"/>
      <w:bookmarkEnd w:id="273"/>
    </w:p>
    <w:p w14:paraId="5867F192">
      <w:pPr>
        <w:pStyle w:val="7"/>
        <w:keepNext w:val="0"/>
        <w:keepLines w:val="0"/>
        <w:pageBreakBefore w:val="0"/>
        <w:widowControl w:val="0"/>
        <w:tabs>
          <w:tab w:val="left" w:pos="5320"/>
        </w:tabs>
        <w:kinsoku/>
        <w:wordWrap/>
        <w:overflowPunct/>
        <w:topLinePunct w:val="0"/>
        <w:autoSpaceDE w:val="0"/>
        <w:autoSpaceDN w:val="0"/>
        <w:bidi w:val="0"/>
        <w:adjustRightInd/>
        <w:snapToGrid w:val="0"/>
        <w:spacing w:before="0" w:after="0" w:afterLines="50" w:line="360" w:lineRule="auto"/>
        <w:ind w:left="0" w:leftChars="0" w:right="0" w:firstLine="402" w:firstLineChars="200"/>
        <w:textAlignment w:val="auto"/>
        <w:outlineLvl w:val="9"/>
        <w:rPr>
          <w:highlight w:val="none"/>
        </w:rPr>
      </w:pPr>
    </w:p>
    <w:p w14:paraId="6C6D0D6A">
      <w:pPr>
        <w:pStyle w:val="7"/>
        <w:keepNext w:val="0"/>
        <w:keepLines w:val="0"/>
        <w:pageBreakBefore w:val="0"/>
        <w:widowControl w:val="0"/>
        <w:tabs>
          <w:tab w:val="left" w:pos="5320"/>
        </w:tabs>
        <w:kinsoku/>
        <w:wordWrap/>
        <w:overflowPunct/>
        <w:topLinePunct w:val="0"/>
        <w:autoSpaceDE w:val="0"/>
        <w:autoSpaceDN w:val="0"/>
        <w:bidi w:val="0"/>
        <w:adjustRightInd/>
        <w:snapToGrid w:val="0"/>
        <w:spacing w:before="0" w:after="0" w:afterLines="50" w:line="360" w:lineRule="auto"/>
        <w:ind w:left="0" w:leftChars="0" w:right="0" w:firstLine="402" w:firstLineChars="200"/>
        <w:textAlignment w:val="auto"/>
        <w:outlineLvl w:val="9"/>
        <w:rPr>
          <w:highlight w:val="none"/>
        </w:rPr>
      </w:pPr>
    </w:p>
    <w:p w14:paraId="14F59BD6">
      <w:pPr>
        <w:pStyle w:val="7"/>
        <w:keepNext w:val="0"/>
        <w:keepLines w:val="0"/>
        <w:pageBreakBefore w:val="0"/>
        <w:widowControl w:val="0"/>
        <w:tabs>
          <w:tab w:val="left" w:pos="5320"/>
        </w:tabs>
        <w:kinsoku/>
        <w:wordWrap/>
        <w:overflowPunct/>
        <w:topLinePunct w:val="0"/>
        <w:autoSpaceDE w:val="0"/>
        <w:autoSpaceDN w:val="0"/>
        <w:bidi w:val="0"/>
        <w:adjustRightInd/>
        <w:snapToGrid w:val="0"/>
        <w:spacing w:before="0" w:after="0" w:afterLines="50" w:line="360" w:lineRule="auto"/>
        <w:ind w:left="0" w:leftChars="0" w:right="0" w:firstLine="402" w:firstLineChars="200"/>
        <w:textAlignment w:val="auto"/>
        <w:outlineLvl w:val="9"/>
        <w:rPr>
          <w:highlight w:val="none"/>
        </w:rPr>
      </w:pPr>
    </w:p>
    <w:p w14:paraId="74964AD3">
      <w:pPr>
        <w:pStyle w:val="7"/>
        <w:keepNext w:val="0"/>
        <w:keepLines w:val="0"/>
        <w:pageBreakBefore w:val="0"/>
        <w:widowControl w:val="0"/>
        <w:tabs>
          <w:tab w:val="left" w:pos="5320"/>
        </w:tabs>
        <w:kinsoku/>
        <w:wordWrap/>
        <w:overflowPunct/>
        <w:topLinePunct w:val="0"/>
        <w:autoSpaceDE w:val="0"/>
        <w:autoSpaceDN w:val="0"/>
        <w:bidi w:val="0"/>
        <w:adjustRightInd/>
        <w:snapToGrid w:val="0"/>
        <w:spacing w:before="0" w:after="0" w:afterLines="50" w:line="360" w:lineRule="auto"/>
        <w:ind w:left="0" w:leftChars="0" w:right="0" w:firstLine="402" w:firstLineChars="200"/>
        <w:textAlignment w:val="auto"/>
        <w:outlineLvl w:val="9"/>
        <w:rPr>
          <w:highlight w:val="none"/>
        </w:rPr>
      </w:pPr>
    </w:p>
    <w:p w14:paraId="3704FDF3">
      <w:pPr>
        <w:rPr>
          <w:highlight w:val="none"/>
        </w:rPr>
      </w:pPr>
    </w:p>
    <w:p w14:paraId="66CC13CD">
      <w:pPr>
        <w:pStyle w:val="7"/>
        <w:keepNext w:val="0"/>
        <w:keepLines w:val="0"/>
        <w:pageBreakBefore w:val="0"/>
        <w:widowControl w:val="0"/>
        <w:tabs>
          <w:tab w:val="left" w:pos="5320"/>
        </w:tabs>
        <w:kinsoku/>
        <w:wordWrap/>
        <w:overflowPunct/>
        <w:topLinePunct w:val="0"/>
        <w:autoSpaceDE w:val="0"/>
        <w:autoSpaceDN w:val="0"/>
        <w:bidi w:val="0"/>
        <w:adjustRightInd/>
        <w:snapToGrid w:val="0"/>
        <w:spacing w:before="0" w:after="0" w:afterLines="50" w:line="360" w:lineRule="auto"/>
        <w:ind w:left="0" w:leftChars="0" w:right="0" w:firstLine="402" w:firstLineChars="200"/>
        <w:textAlignment w:val="auto"/>
        <w:outlineLvl w:val="9"/>
        <w:rPr>
          <w:highlight w:val="none"/>
        </w:rPr>
      </w:pPr>
    </w:p>
    <w:p w14:paraId="143C0B94">
      <w:pPr>
        <w:pStyle w:val="7"/>
        <w:keepNext w:val="0"/>
        <w:keepLines w:val="0"/>
        <w:pageBreakBefore w:val="0"/>
        <w:widowControl w:val="0"/>
        <w:tabs>
          <w:tab w:val="left" w:pos="5320"/>
        </w:tabs>
        <w:kinsoku/>
        <w:wordWrap/>
        <w:overflowPunct/>
        <w:topLinePunct w:val="0"/>
        <w:autoSpaceDE w:val="0"/>
        <w:autoSpaceDN w:val="0"/>
        <w:bidi w:val="0"/>
        <w:adjustRightInd/>
        <w:snapToGrid w:val="0"/>
        <w:spacing w:before="0" w:after="0" w:afterLines="50" w:line="360" w:lineRule="auto"/>
        <w:ind w:left="0" w:leftChars="0" w:right="0" w:firstLine="960" w:firstLineChars="300"/>
        <w:textAlignment w:val="auto"/>
        <w:rPr>
          <w:b w:val="0"/>
          <w:bCs/>
          <w:sz w:val="32"/>
          <w:szCs w:val="32"/>
          <w:highlight w:val="none"/>
        </w:rPr>
      </w:pPr>
      <w:r>
        <w:rPr>
          <w:rFonts w:hint="eastAsia"/>
          <w:b w:val="0"/>
          <w:bCs/>
          <w:sz w:val="32"/>
          <w:szCs w:val="32"/>
          <w:highlight w:val="none"/>
          <w:lang w:eastAsia="zh-CN"/>
        </w:rPr>
        <w:t>供应商名称</w:t>
      </w:r>
      <w:r>
        <w:rPr>
          <w:b w:val="0"/>
          <w:bCs/>
          <w:sz w:val="32"/>
          <w:szCs w:val="32"/>
          <w:highlight w:val="none"/>
        </w:rPr>
        <w:t>：</w:t>
      </w:r>
      <w:r>
        <w:rPr>
          <w:b w:val="0"/>
          <w:bCs/>
          <w:sz w:val="32"/>
          <w:szCs w:val="32"/>
          <w:highlight w:val="none"/>
          <w:u w:val="single"/>
        </w:rPr>
        <w:t xml:space="preserve"> </w:t>
      </w:r>
      <w:r>
        <w:rPr>
          <w:b w:val="0"/>
          <w:bCs/>
          <w:sz w:val="32"/>
          <w:szCs w:val="32"/>
          <w:highlight w:val="none"/>
          <w:u w:val="single"/>
        </w:rPr>
        <w:tab/>
      </w:r>
      <w:r>
        <w:rPr>
          <w:rFonts w:hint="eastAsia"/>
          <w:b w:val="0"/>
          <w:bCs/>
          <w:sz w:val="32"/>
          <w:szCs w:val="32"/>
          <w:highlight w:val="none"/>
          <w:u w:val="single"/>
          <w:lang w:val="en-US" w:eastAsia="zh-CN"/>
        </w:rPr>
        <w:t xml:space="preserve">   </w:t>
      </w:r>
      <w:r>
        <w:rPr>
          <w:b w:val="0"/>
          <w:bCs/>
          <w:sz w:val="32"/>
          <w:szCs w:val="32"/>
          <w:highlight w:val="none"/>
        </w:rPr>
        <w:t>（</w:t>
      </w:r>
      <w:r>
        <w:rPr>
          <w:rFonts w:hint="eastAsia"/>
          <w:b w:val="0"/>
          <w:bCs/>
          <w:spacing w:val="-3"/>
          <w:sz w:val="32"/>
          <w:szCs w:val="32"/>
          <w:highlight w:val="none"/>
          <w:lang w:val="en-US" w:eastAsia="zh-CN"/>
        </w:rPr>
        <w:t>公章</w:t>
      </w:r>
      <w:r>
        <w:rPr>
          <w:b w:val="0"/>
          <w:bCs/>
          <w:sz w:val="32"/>
          <w:szCs w:val="32"/>
          <w:highlight w:val="none"/>
        </w:rPr>
        <w:t>）</w:t>
      </w:r>
    </w:p>
    <w:p w14:paraId="6A1C7A06">
      <w:pPr>
        <w:pStyle w:val="7"/>
        <w:keepNext w:val="0"/>
        <w:keepLines w:val="0"/>
        <w:pageBreakBefore w:val="0"/>
        <w:widowControl w:val="0"/>
        <w:tabs>
          <w:tab w:val="left" w:pos="7167"/>
        </w:tabs>
        <w:kinsoku/>
        <w:wordWrap/>
        <w:overflowPunct/>
        <w:topLinePunct w:val="0"/>
        <w:autoSpaceDE w:val="0"/>
        <w:autoSpaceDN w:val="0"/>
        <w:bidi w:val="0"/>
        <w:adjustRightInd/>
        <w:snapToGrid w:val="0"/>
        <w:spacing w:before="0" w:after="0" w:afterLines="50" w:line="360" w:lineRule="auto"/>
        <w:ind w:left="0" w:leftChars="0" w:right="0" w:firstLine="960" w:firstLineChars="300"/>
        <w:jc w:val="left"/>
        <w:textAlignment w:val="auto"/>
        <w:rPr>
          <w:b w:val="0"/>
          <w:bCs/>
          <w:sz w:val="32"/>
          <w:szCs w:val="32"/>
          <w:highlight w:val="none"/>
        </w:rPr>
      </w:pPr>
      <w:r>
        <w:rPr>
          <w:b w:val="0"/>
          <w:bCs/>
          <w:sz w:val="32"/>
          <w:szCs w:val="32"/>
          <w:highlight w:val="none"/>
        </w:rPr>
        <w:t>法</w:t>
      </w:r>
      <w:r>
        <w:rPr>
          <w:b w:val="0"/>
          <w:bCs/>
          <w:spacing w:val="-3"/>
          <w:sz w:val="32"/>
          <w:szCs w:val="32"/>
          <w:highlight w:val="none"/>
        </w:rPr>
        <w:t>定</w:t>
      </w:r>
      <w:r>
        <w:rPr>
          <w:b w:val="0"/>
          <w:bCs/>
          <w:sz w:val="32"/>
          <w:szCs w:val="32"/>
          <w:highlight w:val="none"/>
        </w:rPr>
        <w:t>代表</w:t>
      </w:r>
      <w:r>
        <w:rPr>
          <w:b w:val="0"/>
          <w:bCs/>
          <w:spacing w:val="-3"/>
          <w:sz w:val="32"/>
          <w:szCs w:val="32"/>
          <w:highlight w:val="none"/>
        </w:rPr>
        <w:t>人</w:t>
      </w:r>
      <w:r>
        <w:rPr>
          <w:b w:val="0"/>
          <w:bCs/>
          <w:sz w:val="32"/>
          <w:szCs w:val="32"/>
          <w:highlight w:val="none"/>
        </w:rPr>
        <w:t>：</w:t>
      </w:r>
      <w:r>
        <w:rPr>
          <w:b w:val="0"/>
          <w:bCs/>
          <w:sz w:val="32"/>
          <w:szCs w:val="32"/>
          <w:highlight w:val="none"/>
          <w:u w:val="single"/>
        </w:rPr>
        <w:t xml:space="preserve"> </w:t>
      </w:r>
      <w:r>
        <w:rPr>
          <w:rFonts w:hint="eastAsia"/>
          <w:b w:val="0"/>
          <w:bCs/>
          <w:sz w:val="32"/>
          <w:szCs w:val="32"/>
          <w:highlight w:val="none"/>
          <w:u w:val="single"/>
          <w:lang w:val="en-US" w:eastAsia="zh-CN"/>
        </w:rPr>
        <w:t xml:space="preserve">                 </w:t>
      </w:r>
      <w:r>
        <w:rPr>
          <w:b w:val="0"/>
          <w:bCs/>
          <w:sz w:val="32"/>
          <w:szCs w:val="32"/>
          <w:highlight w:val="none"/>
        </w:rPr>
        <w:t>（</w:t>
      </w:r>
      <w:r>
        <w:rPr>
          <w:b w:val="0"/>
          <w:bCs/>
          <w:spacing w:val="-3"/>
          <w:sz w:val="32"/>
          <w:szCs w:val="32"/>
          <w:highlight w:val="none"/>
        </w:rPr>
        <w:t>签</w:t>
      </w:r>
      <w:r>
        <w:rPr>
          <w:b w:val="0"/>
          <w:bCs/>
          <w:sz w:val="32"/>
          <w:szCs w:val="32"/>
          <w:highlight w:val="none"/>
        </w:rPr>
        <w:t>字</w:t>
      </w:r>
      <w:r>
        <w:rPr>
          <w:rFonts w:hint="eastAsia"/>
          <w:b w:val="0"/>
          <w:bCs/>
          <w:sz w:val="32"/>
          <w:szCs w:val="32"/>
          <w:highlight w:val="none"/>
          <w:lang w:val="en-US" w:eastAsia="zh-CN"/>
        </w:rPr>
        <w:t>或</w:t>
      </w:r>
      <w:r>
        <w:rPr>
          <w:rFonts w:hint="eastAsia"/>
          <w:b w:val="0"/>
          <w:bCs/>
          <w:sz w:val="32"/>
          <w:szCs w:val="32"/>
          <w:highlight w:val="none"/>
          <w:lang w:eastAsia="zh-CN"/>
        </w:rPr>
        <w:t>盖章</w:t>
      </w:r>
      <w:r>
        <w:rPr>
          <w:b w:val="0"/>
          <w:bCs/>
          <w:sz w:val="32"/>
          <w:szCs w:val="32"/>
          <w:highlight w:val="none"/>
        </w:rPr>
        <w:t>）</w:t>
      </w:r>
    </w:p>
    <w:p w14:paraId="28D6A738">
      <w:pPr>
        <w:pStyle w:val="30"/>
        <w:keepNext w:val="0"/>
        <w:keepLines w:val="0"/>
        <w:pageBreakBefore w:val="0"/>
        <w:widowControl w:val="0"/>
        <w:kinsoku/>
        <w:wordWrap/>
        <w:overflowPunct/>
        <w:topLinePunct w:val="0"/>
        <w:autoSpaceDE w:val="0"/>
        <w:autoSpaceDN w:val="0"/>
        <w:bidi w:val="0"/>
        <w:adjustRightInd/>
        <w:snapToGrid w:val="0"/>
        <w:spacing w:before="0" w:after="0" w:afterLines="50" w:line="360" w:lineRule="auto"/>
        <w:ind w:left="0" w:leftChars="0" w:right="0" w:firstLine="640" w:firstLineChars="200"/>
        <w:textAlignment w:val="auto"/>
        <w:rPr>
          <w:b w:val="0"/>
          <w:bCs/>
          <w:sz w:val="32"/>
          <w:szCs w:val="32"/>
          <w:highlight w:val="none"/>
        </w:rPr>
      </w:pPr>
    </w:p>
    <w:p w14:paraId="47A17D7E">
      <w:pPr>
        <w:pageBreakBefore w:val="0"/>
        <w:kinsoku/>
        <w:overflowPunct/>
        <w:topLinePunct w:val="0"/>
        <w:bidi w:val="0"/>
        <w:spacing w:after="10" w:line="360" w:lineRule="auto"/>
        <w:ind w:left="0" w:leftChars="0" w:right="0" w:rightChars="0" w:firstLine="640" w:firstLineChars="200"/>
        <w:jc w:val="center"/>
        <w:outlineLvl w:val="9"/>
        <w:rPr>
          <w:b w:val="0"/>
          <w:bCs/>
          <w:sz w:val="32"/>
          <w:szCs w:val="32"/>
          <w:highlight w:val="none"/>
        </w:rPr>
      </w:pPr>
      <w:r>
        <w:rPr>
          <w:rFonts w:hint="eastAsia" w:ascii="Times New Roman" w:eastAsia="宋体"/>
          <w:b w:val="0"/>
          <w:bCs/>
          <w:w w:val="100"/>
          <w:sz w:val="32"/>
          <w:szCs w:val="32"/>
          <w:highlight w:val="none"/>
          <w:u w:val="single"/>
          <w:lang w:val="en-US" w:eastAsia="zh-CN"/>
        </w:rPr>
        <w:t xml:space="preserve">    </w:t>
      </w:r>
      <w:r>
        <w:rPr>
          <w:rFonts w:ascii="Times New Roman" w:eastAsia="Times New Roman"/>
          <w:b w:val="0"/>
          <w:bCs/>
          <w:w w:val="100"/>
          <w:sz w:val="32"/>
          <w:szCs w:val="32"/>
          <w:highlight w:val="none"/>
          <w:u w:val="single"/>
        </w:rPr>
        <w:t xml:space="preserve"> </w:t>
      </w:r>
      <w:r>
        <w:rPr>
          <w:rFonts w:ascii="Times New Roman" w:eastAsia="Times New Roman"/>
          <w:b w:val="0"/>
          <w:bCs/>
          <w:sz w:val="32"/>
          <w:szCs w:val="32"/>
          <w:highlight w:val="none"/>
          <w:u w:val="single"/>
        </w:rPr>
        <w:tab/>
      </w:r>
      <w:bookmarkStart w:id="274" w:name="_Toc3237"/>
      <w:bookmarkStart w:id="275" w:name="_Toc29765"/>
      <w:bookmarkStart w:id="276" w:name="_Toc17367"/>
      <w:bookmarkStart w:id="277" w:name="_Toc29992"/>
      <w:bookmarkStart w:id="278" w:name="_Toc10340"/>
      <w:bookmarkStart w:id="279" w:name="_Toc6513"/>
      <w:r>
        <w:rPr>
          <w:b w:val="0"/>
          <w:bCs/>
          <w:sz w:val="32"/>
          <w:szCs w:val="32"/>
          <w:highlight w:val="none"/>
        </w:rPr>
        <w:t>年</w:t>
      </w:r>
      <w:r>
        <w:rPr>
          <w:b w:val="0"/>
          <w:bCs/>
          <w:sz w:val="32"/>
          <w:szCs w:val="32"/>
          <w:highlight w:val="none"/>
          <w:u w:val="single"/>
        </w:rPr>
        <w:t xml:space="preserve"> </w:t>
      </w:r>
      <w:r>
        <w:rPr>
          <w:b w:val="0"/>
          <w:bCs/>
          <w:sz w:val="32"/>
          <w:szCs w:val="32"/>
          <w:highlight w:val="none"/>
          <w:u w:val="single"/>
        </w:rPr>
        <w:tab/>
      </w:r>
      <w:r>
        <w:rPr>
          <w:b w:val="0"/>
          <w:bCs/>
          <w:sz w:val="32"/>
          <w:szCs w:val="32"/>
          <w:highlight w:val="none"/>
        </w:rPr>
        <w:t>月</w:t>
      </w:r>
      <w:r>
        <w:rPr>
          <w:b w:val="0"/>
          <w:bCs/>
          <w:sz w:val="32"/>
          <w:szCs w:val="32"/>
          <w:highlight w:val="none"/>
          <w:u w:val="single"/>
        </w:rPr>
        <w:t xml:space="preserve"> </w:t>
      </w:r>
      <w:r>
        <w:rPr>
          <w:b w:val="0"/>
          <w:bCs/>
          <w:sz w:val="32"/>
          <w:szCs w:val="32"/>
          <w:highlight w:val="none"/>
          <w:u w:val="single"/>
        </w:rPr>
        <w:tab/>
      </w:r>
      <w:r>
        <w:rPr>
          <w:b w:val="0"/>
          <w:bCs/>
          <w:sz w:val="32"/>
          <w:szCs w:val="32"/>
          <w:highlight w:val="none"/>
        </w:rPr>
        <w:t>日</w:t>
      </w:r>
      <w:bookmarkEnd w:id="274"/>
      <w:bookmarkEnd w:id="275"/>
      <w:bookmarkEnd w:id="276"/>
      <w:bookmarkEnd w:id="277"/>
      <w:bookmarkEnd w:id="278"/>
      <w:bookmarkEnd w:id="279"/>
    </w:p>
    <w:p w14:paraId="1932EAFE">
      <w:pPr>
        <w:rPr>
          <w:rFonts w:hint="eastAsia" w:ascii="宋体" w:hAnsi="宋体" w:eastAsia="宋体" w:cs="宋体"/>
          <w:b w:val="0"/>
          <w:sz w:val="24"/>
          <w:szCs w:val="21"/>
          <w:highlight w:val="none"/>
        </w:rPr>
      </w:pPr>
      <w:r>
        <w:rPr>
          <w:rFonts w:hint="eastAsia" w:ascii="宋体" w:hAnsi="宋体" w:eastAsia="宋体" w:cs="宋体"/>
          <w:b w:val="0"/>
          <w:sz w:val="24"/>
          <w:szCs w:val="21"/>
          <w:highlight w:val="none"/>
        </w:rPr>
        <w:br w:type="page"/>
      </w:r>
    </w:p>
    <w:p w14:paraId="2B3566EF">
      <w:pPr>
        <w:jc w:val="center"/>
        <w:outlineLvl w:val="0"/>
        <w:rPr>
          <w:rFonts w:hint="eastAsia" w:ascii="宋体" w:hAnsi="宋体" w:cs="宋体"/>
          <w:b/>
          <w:bCs/>
          <w:sz w:val="36"/>
          <w:szCs w:val="28"/>
          <w:highlight w:val="none"/>
          <w:lang w:eastAsia="zh-CN"/>
        </w:rPr>
      </w:pPr>
      <w:bookmarkStart w:id="280" w:name="_Toc30036"/>
      <w:bookmarkStart w:id="281" w:name="_Toc6409"/>
      <w:bookmarkStart w:id="282" w:name="_Toc18046"/>
      <w:r>
        <w:rPr>
          <w:rFonts w:hint="eastAsia" w:ascii="宋体" w:hAnsi="宋体" w:cs="宋体"/>
          <w:b/>
          <w:bCs/>
          <w:sz w:val="36"/>
          <w:szCs w:val="28"/>
          <w:highlight w:val="none"/>
          <w:lang w:eastAsia="zh-CN"/>
        </w:rPr>
        <w:t>目</w:t>
      </w:r>
      <w:r>
        <w:rPr>
          <w:rFonts w:hint="eastAsia" w:ascii="宋体" w:hAnsi="宋体" w:cs="宋体"/>
          <w:b/>
          <w:bCs/>
          <w:sz w:val="36"/>
          <w:szCs w:val="28"/>
          <w:highlight w:val="none"/>
          <w:lang w:val="en-US" w:eastAsia="zh-CN"/>
        </w:rPr>
        <w:t xml:space="preserve">  </w:t>
      </w:r>
      <w:r>
        <w:rPr>
          <w:rFonts w:hint="eastAsia" w:ascii="宋体" w:hAnsi="宋体" w:cs="宋体"/>
          <w:b/>
          <w:bCs/>
          <w:sz w:val="36"/>
          <w:szCs w:val="28"/>
          <w:highlight w:val="none"/>
          <w:lang w:eastAsia="zh-CN"/>
        </w:rPr>
        <w:t>录</w:t>
      </w:r>
      <w:bookmarkEnd w:id="280"/>
      <w:bookmarkEnd w:id="281"/>
      <w:bookmarkEnd w:id="282"/>
    </w:p>
    <w:p w14:paraId="676250DA">
      <w:pPr>
        <w:pStyle w:val="75"/>
        <w:ind w:left="0" w:leftChars="0" w:firstLine="0" w:firstLineChars="0"/>
        <w:jc w:val="center"/>
        <w:outlineLvl w:val="9"/>
        <w:rPr>
          <w:rFonts w:hint="eastAsia"/>
          <w:b w:val="0"/>
          <w:bCs w:val="0"/>
          <w:sz w:val="21"/>
          <w:szCs w:val="21"/>
          <w:highlight w:val="none"/>
          <w:lang w:eastAsia="zh-CN"/>
        </w:rPr>
      </w:pPr>
      <w:bookmarkStart w:id="283" w:name="_Toc21066"/>
      <w:bookmarkStart w:id="284" w:name="_Toc14360"/>
      <w:bookmarkStart w:id="285" w:name="_Toc16649"/>
      <w:bookmarkStart w:id="286" w:name="_Toc27982"/>
      <w:bookmarkStart w:id="287" w:name="_Toc31483"/>
      <w:bookmarkStart w:id="288" w:name="_Toc28053"/>
      <w:r>
        <w:rPr>
          <w:rFonts w:hint="eastAsia" w:ascii="宋体" w:hAnsi="宋体" w:cs="宋体"/>
          <w:b w:val="0"/>
          <w:bCs w:val="0"/>
          <w:sz w:val="28"/>
          <w:szCs w:val="22"/>
          <w:highlight w:val="none"/>
          <w:lang w:eastAsia="zh-CN"/>
        </w:rPr>
        <w:t>（自行编制）</w:t>
      </w:r>
      <w:bookmarkEnd w:id="283"/>
      <w:bookmarkEnd w:id="284"/>
      <w:bookmarkEnd w:id="285"/>
      <w:bookmarkEnd w:id="286"/>
      <w:bookmarkEnd w:id="287"/>
      <w:bookmarkEnd w:id="288"/>
    </w:p>
    <w:p w14:paraId="68F3F61B">
      <w:pPr>
        <w:rPr>
          <w:rFonts w:hint="eastAsia" w:ascii="宋体" w:hAnsi="宋体" w:eastAsia="宋体" w:cs="宋体"/>
          <w:b w:val="0"/>
          <w:sz w:val="24"/>
          <w:szCs w:val="21"/>
          <w:highlight w:val="none"/>
        </w:rPr>
      </w:pPr>
      <w:r>
        <w:rPr>
          <w:rFonts w:hint="eastAsia" w:ascii="宋体" w:hAnsi="宋体" w:eastAsia="宋体" w:cs="宋体"/>
          <w:b w:val="0"/>
          <w:sz w:val="24"/>
          <w:szCs w:val="21"/>
          <w:highlight w:val="none"/>
        </w:rPr>
        <w:br w:type="page"/>
      </w:r>
    </w:p>
    <w:bookmarkEnd w:id="251"/>
    <w:bookmarkEnd w:id="252"/>
    <w:bookmarkEnd w:id="253"/>
    <w:bookmarkEnd w:id="254"/>
    <w:bookmarkEnd w:id="255"/>
    <w:p w14:paraId="2ADFDA06">
      <w:pPr>
        <w:pStyle w:val="3"/>
        <w:bidi w:val="0"/>
        <w:jc w:val="center"/>
        <w:rPr>
          <w:rFonts w:hint="eastAsia"/>
        </w:rPr>
      </w:pPr>
      <w:bookmarkStart w:id="289" w:name="_Toc12767"/>
      <w:bookmarkStart w:id="290" w:name="_Toc15633"/>
      <w:bookmarkStart w:id="291" w:name="_Toc12559"/>
      <w:r>
        <w:rPr>
          <w:rFonts w:hint="eastAsia"/>
        </w:rPr>
        <w:t>一、报价函</w:t>
      </w:r>
      <w:bookmarkEnd w:id="289"/>
      <w:bookmarkEnd w:id="290"/>
      <w:bookmarkEnd w:id="291"/>
    </w:p>
    <w:p w14:paraId="159B384A">
      <w:pPr>
        <w:spacing w:after="120" w:afterLines="50"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eastAsia="zh-CN"/>
        </w:rPr>
        <w:t>采购人</w:t>
      </w:r>
      <w:r>
        <w:rPr>
          <w:rFonts w:hint="eastAsia" w:ascii="宋体" w:hAnsi="宋体" w:cs="宋体"/>
          <w:sz w:val="24"/>
          <w:u w:val="single"/>
        </w:rPr>
        <w:t>）</w:t>
      </w:r>
      <w:r>
        <w:rPr>
          <w:rFonts w:hint="eastAsia" w:ascii="宋体" w:hAnsi="宋体" w:cs="宋体"/>
          <w:sz w:val="24"/>
        </w:rPr>
        <w:t>：</w:t>
      </w:r>
    </w:p>
    <w:p w14:paraId="0A47B35F">
      <w:pPr>
        <w:spacing w:after="120" w:afterLines="50" w:line="360" w:lineRule="auto"/>
        <w:ind w:firstLine="480" w:firstLineChars="200"/>
        <w:rPr>
          <w:rFonts w:hint="eastAsia" w:ascii="宋体" w:hAnsi="宋体" w:cs="宋体"/>
          <w:sz w:val="24"/>
        </w:rPr>
      </w:pPr>
      <w:r>
        <w:rPr>
          <w:rFonts w:hint="eastAsia" w:ascii="宋体" w:hAnsi="宋体" w:cs="宋体"/>
          <w:sz w:val="24"/>
        </w:rPr>
        <w:t>经研究，我们决定参加项目编号为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u w:val="single"/>
          <w:lang w:val="en-US" w:eastAsia="zh-CN"/>
        </w:rPr>
        <w:t xml:space="preserve">     </w:t>
      </w:r>
      <w:r>
        <w:rPr>
          <w:rFonts w:hint="eastAsia" w:ascii="宋体" w:hAnsi="宋体" w:cs="宋体"/>
          <w:sz w:val="24"/>
        </w:rPr>
        <w:t>并提交</w:t>
      </w:r>
      <w:r>
        <w:rPr>
          <w:rFonts w:hint="eastAsia" w:ascii="宋体" w:hAnsi="宋体" w:cs="宋体"/>
          <w:sz w:val="24"/>
          <w:lang w:eastAsia="zh-CN"/>
        </w:rPr>
        <w:t>响应文件</w:t>
      </w:r>
      <w:r>
        <w:rPr>
          <w:rFonts w:hint="eastAsia" w:ascii="宋体" w:hAnsi="宋体" w:cs="宋体"/>
          <w:sz w:val="24"/>
        </w:rPr>
        <w:t>。我方完全同意</w:t>
      </w:r>
      <w:r>
        <w:rPr>
          <w:rFonts w:hint="eastAsia" w:ascii="宋体" w:hAnsi="宋体" w:cs="宋体"/>
          <w:sz w:val="24"/>
          <w:lang w:eastAsia="zh-CN"/>
        </w:rPr>
        <w:t>竞争性磋商文件</w:t>
      </w:r>
      <w:r>
        <w:rPr>
          <w:rFonts w:hint="eastAsia" w:ascii="宋体" w:hAnsi="宋体" w:cs="宋体"/>
          <w:sz w:val="24"/>
        </w:rPr>
        <w:t>的全部内容，我方兹以以下内容参加该项目：</w:t>
      </w:r>
    </w:p>
    <w:p w14:paraId="399CDC66">
      <w:pPr>
        <w:spacing w:after="120" w:afterLines="50" w:line="360" w:lineRule="auto"/>
        <w:ind w:firstLine="480" w:firstLineChars="200"/>
        <w:rPr>
          <w:rFonts w:hint="eastAsia" w:ascii="宋体" w:hAnsi="宋体" w:cs="宋体"/>
          <w:sz w:val="24"/>
          <w:lang w:eastAsia="zh-CN"/>
        </w:rPr>
      </w:pPr>
      <w:r>
        <w:rPr>
          <w:rFonts w:hint="eastAsia" w:ascii="宋体" w:hAnsi="宋体" w:cs="宋体"/>
          <w:sz w:val="24"/>
          <w:lang w:eastAsia="zh-CN"/>
        </w:rPr>
        <w:t>报价</w:t>
      </w:r>
      <w:r>
        <w:rPr>
          <w:rFonts w:hint="eastAsia" w:ascii="宋体" w:hAnsi="宋体" w:cs="宋体"/>
          <w:sz w:val="24"/>
        </w:rPr>
        <w:t>：</w:t>
      </w:r>
      <w:r>
        <w:rPr>
          <w:rFonts w:hint="eastAsia" w:ascii="宋体" w:hAnsi="宋体" w:cs="宋体"/>
          <w:sz w:val="24"/>
          <w:lang w:eastAsia="zh-CN"/>
        </w:rPr>
        <w:t>小写：</w:t>
      </w:r>
    </w:p>
    <w:p w14:paraId="07DAF9F3">
      <w:pPr>
        <w:spacing w:after="120" w:afterLines="50" w:line="360" w:lineRule="auto"/>
        <w:ind w:firstLine="1200" w:firstLineChars="500"/>
        <w:rPr>
          <w:rFonts w:hint="eastAsia" w:ascii="宋体" w:hAnsi="宋体" w:eastAsia="宋体" w:cs="宋体"/>
          <w:sz w:val="24"/>
          <w:lang w:eastAsia="zh-CN"/>
        </w:rPr>
      </w:pPr>
      <w:r>
        <w:rPr>
          <w:rFonts w:hint="eastAsia" w:ascii="宋体" w:hAnsi="宋体" w:cs="宋体"/>
          <w:sz w:val="24"/>
          <w:lang w:eastAsia="zh-CN"/>
        </w:rPr>
        <w:t>大写：</w:t>
      </w:r>
    </w:p>
    <w:p w14:paraId="7FC8CD28">
      <w:pPr>
        <w:spacing w:after="120" w:afterLines="50" w:line="360" w:lineRule="auto"/>
        <w:ind w:firstLine="480" w:firstLineChars="200"/>
        <w:rPr>
          <w:rFonts w:hint="eastAsia" w:ascii="宋体" w:hAnsi="宋体" w:cs="宋体"/>
          <w:sz w:val="24"/>
          <w:u w:val="single"/>
        </w:rPr>
      </w:pPr>
      <w:r>
        <w:rPr>
          <w:rFonts w:hint="eastAsia" w:ascii="宋体" w:hAnsi="宋体" w:cs="宋体"/>
          <w:sz w:val="24"/>
          <w:lang w:eastAsia="zh-CN"/>
        </w:rPr>
        <w:t>供货安装期</w:t>
      </w:r>
      <w:r>
        <w:rPr>
          <w:rFonts w:hint="eastAsia" w:ascii="宋体" w:hAnsi="宋体" w:cs="宋体"/>
          <w:sz w:val="24"/>
        </w:rPr>
        <w:t>：</w:t>
      </w:r>
    </w:p>
    <w:p w14:paraId="3A60AB47">
      <w:pPr>
        <w:spacing w:after="120" w:afterLines="50" w:line="360" w:lineRule="auto"/>
        <w:ind w:firstLine="480" w:firstLineChars="200"/>
        <w:rPr>
          <w:rFonts w:hint="eastAsia" w:ascii="宋体" w:hAnsi="宋体" w:cs="宋体"/>
          <w:sz w:val="24"/>
        </w:rPr>
      </w:pPr>
      <w:r>
        <w:rPr>
          <w:rFonts w:hint="eastAsia" w:ascii="宋体" w:hAnsi="宋体" w:cs="宋体"/>
          <w:sz w:val="24"/>
          <w:lang w:eastAsia="zh-CN"/>
        </w:rPr>
        <w:t>磋商有效期</w:t>
      </w:r>
      <w:r>
        <w:rPr>
          <w:rFonts w:hint="eastAsia" w:ascii="宋体" w:hAnsi="宋体" w:cs="宋体"/>
          <w:sz w:val="24"/>
        </w:rPr>
        <w:t>：</w:t>
      </w:r>
    </w:p>
    <w:p w14:paraId="1F413638">
      <w:pPr>
        <w:spacing w:after="120" w:afterLines="50" w:line="360" w:lineRule="auto"/>
        <w:ind w:firstLine="480" w:firstLineChars="200"/>
        <w:rPr>
          <w:rFonts w:hint="eastAsia" w:ascii="宋体" w:hAnsi="宋体" w:cs="宋体"/>
          <w:sz w:val="24"/>
        </w:rPr>
      </w:pPr>
      <w:r>
        <w:rPr>
          <w:rFonts w:hint="eastAsia" w:ascii="宋体" w:hAnsi="宋体" w:cs="宋体"/>
          <w:sz w:val="24"/>
        </w:rPr>
        <w:t>同时，我方郑重声明以下诸点，并负法律责任。</w:t>
      </w:r>
    </w:p>
    <w:p w14:paraId="6EAFB548">
      <w:pPr>
        <w:spacing w:after="120" w:afterLines="50" w:line="360" w:lineRule="auto"/>
        <w:ind w:firstLine="480" w:firstLineChars="200"/>
        <w:outlineLvl w:val="9"/>
        <w:rPr>
          <w:rFonts w:hint="eastAsia" w:ascii="宋体" w:hAnsi="宋体" w:cs="宋体"/>
          <w:sz w:val="24"/>
        </w:rPr>
      </w:pPr>
      <w:r>
        <w:rPr>
          <w:rFonts w:hint="eastAsia" w:ascii="宋体" w:hAnsi="宋体" w:cs="宋体"/>
          <w:sz w:val="24"/>
        </w:rPr>
        <w:t>1、我们提交的电子</w:t>
      </w:r>
      <w:r>
        <w:rPr>
          <w:rFonts w:hint="eastAsia" w:ascii="宋体" w:hAnsi="宋体" w:cs="宋体"/>
          <w:sz w:val="24"/>
          <w:lang w:eastAsia="zh-CN"/>
        </w:rPr>
        <w:t>响应文件</w:t>
      </w:r>
      <w:r>
        <w:rPr>
          <w:rFonts w:hint="eastAsia" w:ascii="宋体" w:hAnsi="宋体" w:cs="宋体"/>
          <w:sz w:val="24"/>
        </w:rPr>
        <w:t>已上传。</w:t>
      </w:r>
    </w:p>
    <w:p w14:paraId="4D7476FD">
      <w:pPr>
        <w:spacing w:after="120" w:afterLines="50" w:line="360" w:lineRule="auto"/>
        <w:ind w:firstLine="480" w:firstLineChars="200"/>
        <w:rPr>
          <w:rFonts w:hint="eastAsia" w:ascii="宋体" w:hAnsi="宋体" w:cs="宋体"/>
          <w:sz w:val="24"/>
        </w:rPr>
      </w:pPr>
      <w:r>
        <w:rPr>
          <w:rFonts w:hint="eastAsia" w:ascii="宋体" w:hAnsi="宋体" w:cs="宋体"/>
          <w:sz w:val="24"/>
        </w:rPr>
        <w:t>2、如果我们的</w:t>
      </w:r>
      <w:r>
        <w:rPr>
          <w:rFonts w:hint="eastAsia" w:ascii="宋体" w:hAnsi="宋体" w:cs="宋体"/>
          <w:sz w:val="24"/>
          <w:lang w:eastAsia="zh-CN"/>
        </w:rPr>
        <w:t>响应文件</w:t>
      </w:r>
      <w:r>
        <w:rPr>
          <w:rFonts w:hint="eastAsia" w:ascii="宋体" w:hAnsi="宋体" w:cs="宋体"/>
          <w:sz w:val="24"/>
        </w:rPr>
        <w:t>被接受，我们将履行</w:t>
      </w:r>
      <w:r>
        <w:rPr>
          <w:rFonts w:hint="eastAsia" w:ascii="宋体" w:hAnsi="宋体" w:cs="宋体"/>
          <w:sz w:val="24"/>
          <w:lang w:eastAsia="zh-CN"/>
        </w:rPr>
        <w:t>竞争性磋商文件</w:t>
      </w:r>
      <w:r>
        <w:rPr>
          <w:rFonts w:hint="eastAsia" w:ascii="宋体" w:hAnsi="宋体" w:cs="宋体"/>
          <w:sz w:val="24"/>
        </w:rPr>
        <w:t>中规定的每一项要求，并按我们</w:t>
      </w:r>
      <w:r>
        <w:rPr>
          <w:rFonts w:hint="eastAsia" w:ascii="宋体" w:hAnsi="宋体" w:cs="宋体"/>
          <w:sz w:val="24"/>
          <w:lang w:eastAsia="zh-CN"/>
        </w:rPr>
        <w:t>响应文件</w:t>
      </w:r>
      <w:r>
        <w:rPr>
          <w:rFonts w:hint="eastAsia" w:ascii="宋体" w:hAnsi="宋体" w:cs="宋体"/>
          <w:sz w:val="24"/>
        </w:rPr>
        <w:t>中的承诺按期、保质完成项目的实施。</w:t>
      </w:r>
    </w:p>
    <w:p w14:paraId="65928EA7">
      <w:pPr>
        <w:spacing w:after="120" w:afterLines="50" w:line="360" w:lineRule="auto"/>
        <w:ind w:firstLine="480" w:firstLineChars="200"/>
        <w:rPr>
          <w:rFonts w:hint="eastAsia" w:ascii="宋体" w:hAnsi="宋体" w:cs="宋体"/>
          <w:sz w:val="24"/>
        </w:rPr>
      </w:pPr>
      <w:r>
        <w:rPr>
          <w:rFonts w:hint="eastAsia" w:ascii="宋体" w:hAnsi="宋体" w:cs="宋体"/>
          <w:sz w:val="24"/>
        </w:rPr>
        <w:t>3、我们愿按《中华人民共和国</w:t>
      </w:r>
      <w:r>
        <w:rPr>
          <w:rFonts w:hint="eastAsia" w:ascii="宋体" w:hAnsi="宋体" w:cs="宋体"/>
          <w:sz w:val="24"/>
          <w:lang w:eastAsia="zh-CN"/>
        </w:rPr>
        <w:t>民法典</w:t>
      </w:r>
      <w:r>
        <w:rPr>
          <w:rFonts w:hint="eastAsia" w:ascii="宋体" w:hAnsi="宋体" w:cs="宋体"/>
          <w:sz w:val="24"/>
        </w:rPr>
        <w:t>》履行自己的全部责任。</w:t>
      </w:r>
    </w:p>
    <w:p w14:paraId="0114C860">
      <w:pPr>
        <w:spacing w:after="120" w:afterLines="50" w:line="360" w:lineRule="auto"/>
        <w:ind w:firstLine="480" w:firstLineChars="200"/>
        <w:rPr>
          <w:rFonts w:hint="eastAsia" w:ascii="宋体" w:hAnsi="宋体" w:cs="宋体"/>
          <w:sz w:val="24"/>
        </w:rPr>
      </w:pPr>
      <w:r>
        <w:rPr>
          <w:rFonts w:hint="eastAsia" w:ascii="宋体" w:hAnsi="宋体" w:cs="宋体"/>
          <w:sz w:val="24"/>
        </w:rPr>
        <w:t>4、我们若未成为</w:t>
      </w:r>
      <w:r>
        <w:rPr>
          <w:rFonts w:hint="eastAsia" w:ascii="宋体" w:hAnsi="宋体" w:cs="宋体"/>
          <w:sz w:val="24"/>
          <w:lang w:eastAsia="zh-CN"/>
        </w:rPr>
        <w:t>成交供应商</w:t>
      </w:r>
      <w:r>
        <w:rPr>
          <w:rFonts w:hint="eastAsia" w:ascii="宋体" w:hAnsi="宋体" w:cs="宋体"/>
          <w:sz w:val="24"/>
        </w:rPr>
        <w:t>，你公司有权不做任何解释。</w:t>
      </w:r>
    </w:p>
    <w:p w14:paraId="3EE1D2CE">
      <w:pPr>
        <w:spacing w:after="120" w:afterLines="50" w:line="360" w:lineRule="auto"/>
        <w:ind w:firstLine="480" w:firstLineChars="200"/>
        <w:rPr>
          <w:rFonts w:hint="eastAsia" w:ascii="宋体" w:hAnsi="宋体" w:cs="宋体"/>
          <w:sz w:val="24"/>
        </w:rPr>
      </w:pPr>
    </w:p>
    <w:p w14:paraId="7CABCED6">
      <w:pPr>
        <w:pStyle w:val="30"/>
        <w:tabs>
          <w:tab w:val="left" w:pos="1691"/>
          <w:tab w:val="left" w:pos="2975"/>
          <w:tab w:val="left" w:pos="3815"/>
          <w:tab w:val="left" w:pos="4535"/>
          <w:tab w:val="left" w:pos="4655"/>
        </w:tabs>
        <w:spacing w:afterLines="50" w:line="360" w:lineRule="auto"/>
        <w:ind w:firstLine="480" w:firstLineChars="200"/>
        <w:rPr>
          <w:rFonts w:hint="eastAsia" w:ascii="宋体" w:hAnsi="宋体" w:cs="宋体"/>
          <w:sz w:val="24"/>
          <w:lang w:val="en-US" w:eastAsia="zh-CN"/>
        </w:rPr>
      </w:pPr>
      <w:bookmarkStart w:id="292" w:name="_Toc32202"/>
      <w:bookmarkStart w:id="293" w:name="_Toc446256291"/>
      <w:r>
        <w:rPr>
          <w:rFonts w:hint="eastAsia" w:ascii="宋体" w:hAnsi="宋体" w:cs="宋体"/>
          <w:sz w:val="24"/>
          <w:lang w:val="en-US" w:eastAsia="zh-CN"/>
        </w:rPr>
        <w:t>供应商：</w:t>
      </w:r>
      <w:r>
        <w:rPr>
          <w:rFonts w:hint="eastAsia" w:ascii="宋体" w:hAnsi="宋体" w:cs="宋体"/>
          <w:sz w:val="24"/>
          <w:u w:val="single"/>
          <w:lang w:val="en-US" w:eastAsia="zh-CN"/>
        </w:rPr>
        <w:t xml:space="preserve"> </w:t>
      </w:r>
      <w:r>
        <w:rPr>
          <w:rFonts w:hint="eastAsia" w:ascii="宋体" w:hAnsi="宋体" w:cs="宋体"/>
          <w:sz w:val="24"/>
          <w:u w:val="single"/>
          <w:lang w:val="en-US" w:eastAsia="zh-CN"/>
        </w:rPr>
        <w:tab/>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（公章） </w:t>
      </w:r>
    </w:p>
    <w:p w14:paraId="124D6241">
      <w:pPr>
        <w:adjustRightInd w:val="0"/>
        <w:spacing w:after="120" w:afterLines="50" w:line="360" w:lineRule="auto"/>
        <w:ind w:firstLine="480" w:firstLineChars="200"/>
        <w:rPr>
          <w:rFonts w:hint="eastAsia" w:ascii="宋体" w:hAnsi="宋体" w:cs="宋体"/>
          <w:sz w:val="24"/>
        </w:rPr>
      </w:pPr>
      <w:r>
        <w:rPr>
          <w:rFonts w:hint="eastAsia" w:ascii="宋体" w:hAnsi="宋体" w:cs="宋体"/>
          <w:sz w:val="24"/>
        </w:rPr>
        <w:t>法定代表人或授权委托人（签字</w:t>
      </w:r>
      <w:r>
        <w:rPr>
          <w:rFonts w:hint="eastAsia" w:ascii="宋体" w:hAnsi="宋体" w:cs="宋体"/>
          <w:sz w:val="24"/>
          <w:lang w:eastAsia="zh-CN"/>
        </w:rPr>
        <w:t>或</w:t>
      </w:r>
      <w:r>
        <w:rPr>
          <w:rFonts w:hint="eastAsia" w:ascii="宋体" w:hAnsi="宋体" w:cs="宋体"/>
          <w:sz w:val="24"/>
        </w:rPr>
        <w:t xml:space="preserve">盖章）： </w:t>
      </w:r>
    </w:p>
    <w:p w14:paraId="5BCB7240">
      <w:pPr>
        <w:pStyle w:val="30"/>
        <w:tabs>
          <w:tab w:val="left" w:pos="1691"/>
          <w:tab w:val="left" w:pos="2975"/>
          <w:tab w:val="left" w:pos="3815"/>
          <w:tab w:val="left" w:pos="4535"/>
          <w:tab w:val="left" w:pos="4655"/>
        </w:tabs>
        <w:spacing w:afterLines="50" w:line="360" w:lineRule="auto"/>
        <w:ind w:firstLine="480" w:firstLineChars="200"/>
        <w:rPr>
          <w:rFonts w:hint="eastAsia" w:ascii="宋体" w:hAnsi="宋体" w:cs="宋体"/>
          <w:sz w:val="24"/>
          <w:u w:val="single"/>
          <w:lang w:val="en-US" w:eastAsia="zh-CN"/>
        </w:rPr>
      </w:pPr>
      <w:r>
        <w:rPr>
          <w:rFonts w:hint="eastAsia" w:ascii="宋体" w:hAnsi="宋体" w:cs="宋体"/>
          <w:sz w:val="24"/>
          <w:lang w:val="en-US" w:eastAsia="zh-CN"/>
        </w:rPr>
        <w:t xml:space="preserve">日   期： </w:t>
      </w:r>
      <w:r>
        <w:rPr>
          <w:rFonts w:hint="eastAsia" w:ascii="宋体" w:hAnsi="宋体" w:cs="宋体"/>
          <w:sz w:val="24"/>
          <w:u w:val="single"/>
          <w:lang w:val="en-US" w:eastAsia="zh-CN"/>
        </w:rPr>
        <w:t xml:space="preserve"> </w:t>
      </w:r>
      <w:r>
        <w:rPr>
          <w:rFonts w:hint="eastAsia" w:ascii="宋体" w:hAnsi="宋体" w:cs="宋体"/>
          <w:sz w:val="24"/>
          <w:u w:val="single"/>
          <w:lang w:val="en-US" w:eastAsia="zh-CN"/>
        </w:rPr>
        <w:tab/>
      </w:r>
      <w:r>
        <w:rPr>
          <w:rFonts w:hint="eastAsia" w:ascii="宋体" w:hAnsi="宋体" w:cs="宋体"/>
          <w:sz w:val="24"/>
          <w:lang w:val="en-US" w:eastAsia="zh-CN"/>
        </w:rPr>
        <w:t>年</w:t>
      </w:r>
      <w:r>
        <w:rPr>
          <w:rFonts w:hint="eastAsia" w:ascii="宋体" w:hAnsi="宋体" w:cs="宋体"/>
          <w:sz w:val="24"/>
          <w:u w:val="single"/>
          <w:lang w:val="en-US" w:eastAsia="zh-CN"/>
        </w:rPr>
        <w:t xml:space="preserve">       </w:t>
      </w:r>
      <w:r>
        <w:rPr>
          <w:rFonts w:hint="eastAsia" w:ascii="宋体" w:hAnsi="宋体" w:cs="宋体"/>
          <w:sz w:val="24"/>
          <w:lang w:val="en-US" w:eastAsia="zh-CN"/>
        </w:rPr>
        <w:t>月</w:t>
      </w:r>
      <w:r>
        <w:rPr>
          <w:rFonts w:hint="eastAsia" w:ascii="宋体" w:hAnsi="宋体" w:cs="宋体"/>
          <w:sz w:val="24"/>
          <w:u w:val="single"/>
          <w:lang w:val="en-US" w:eastAsia="zh-CN"/>
        </w:rPr>
        <w:t xml:space="preserve">        日</w:t>
      </w:r>
      <w:bookmarkStart w:id="294" w:name="_Toc20952"/>
      <w:bookmarkStart w:id="295" w:name="_Toc31905"/>
      <w:bookmarkStart w:id="296" w:name="_Toc14860"/>
    </w:p>
    <w:p w14:paraId="0BDDB06E">
      <w:pPr>
        <w:rPr>
          <w:rFonts w:hint="eastAsia" w:ascii="宋体" w:hAnsi="宋体" w:cs="宋体"/>
          <w:sz w:val="24"/>
          <w:u w:val="single"/>
          <w:lang w:val="en-US" w:eastAsia="zh-CN"/>
        </w:rPr>
      </w:pPr>
      <w:r>
        <w:rPr>
          <w:rFonts w:hint="eastAsia" w:ascii="宋体" w:hAnsi="宋体" w:cs="宋体"/>
          <w:sz w:val="24"/>
          <w:u w:val="single"/>
          <w:lang w:val="en-US" w:eastAsia="zh-CN"/>
        </w:rPr>
        <w:br w:type="page"/>
      </w:r>
    </w:p>
    <w:p w14:paraId="4BFD14F2">
      <w:pPr>
        <w:pStyle w:val="3"/>
        <w:bidi w:val="0"/>
        <w:jc w:val="center"/>
        <w:rPr>
          <w:rFonts w:hint="eastAsia" w:cs="Times New Roman"/>
        </w:rPr>
      </w:pPr>
      <w:r>
        <w:rPr>
          <w:rFonts w:hint="eastAsia" w:cs="Times New Roman"/>
        </w:rPr>
        <w:t>二、</w:t>
      </w:r>
      <w:bookmarkEnd w:id="292"/>
      <w:r>
        <w:rPr>
          <w:rFonts w:hint="eastAsia" w:cs="Times New Roman"/>
        </w:rPr>
        <w:t>报价一览表</w:t>
      </w:r>
      <w:bookmarkEnd w:id="294"/>
      <w:bookmarkEnd w:id="295"/>
      <w:bookmarkEnd w:id="296"/>
    </w:p>
    <w:tbl>
      <w:tblPr>
        <w:tblStyle w:val="76"/>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7371"/>
      </w:tblGrid>
      <w:tr w14:paraId="7C3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jc w:val="center"/>
        </w:trPr>
        <w:tc>
          <w:tcPr>
            <w:tcW w:w="2068" w:type="dxa"/>
            <w:noWrap w:val="0"/>
            <w:vAlign w:val="center"/>
          </w:tcPr>
          <w:p w14:paraId="439FE40C">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项目名称</w:t>
            </w:r>
          </w:p>
        </w:tc>
        <w:tc>
          <w:tcPr>
            <w:tcW w:w="7371" w:type="dxa"/>
            <w:noWrap w:val="0"/>
            <w:vAlign w:val="center"/>
          </w:tcPr>
          <w:p w14:paraId="196F44D2">
            <w:pPr>
              <w:keepNext w:val="0"/>
              <w:keepLines w:val="0"/>
              <w:suppressLineNumbers w:val="0"/>
              <w:spacing w:before="0" w:beforeAutospacing="0" w:after="0" w:afterAutospacing="0" w:line="360" w:lineRule="auto"/>
              <w:ind w:left="0" w:right="0"/>
              <w:jc w:val="center"/>
              <w:rPr>
                <w:rFonts w:hint="eastAsia" w:ascii="宋体" w:hAnsi="宋体" w:cs="宋体"/>
                <w:sz w:val="24"/>
              </w:rPr>
            </w:pPr>
          </w:p>
        </w:tc>
      </w:tr>
      <w:tr w14:paraId="26E6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068" w:type="dxa"/>
            <w:noWrap w:val="0"/>
            <w:vAlign w:val="center"/>
          </w:tcPr>
          <w:p w14:paraId="2303DF7D">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名称</w:t>
            </w:r>
          </w:p>
        </w:tc>
        <w:tc>
          <w:tcPr>
            <w:tcW w:w="7371" w:type="dxa"/>
            <w:noWrap w:val="0"/>
            <w:vAlign w:val="center"/>
          </w:tcPr>
          <w:p w14:paraId="6151F6D2">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3371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2068" w:type="dxa"/>
            <w:noWrap w:val="0"/>
            <w:vAlign w:val="center"/>
          </w:tcPr>
          <w:p w14:paraId="15A49CF3">
            <w:pPr>
              <w:keepNext w:val="0"/>
              <w:keepLines w:val="0"/>
              <w:suppressLineNumbers w:val="0"/>
              <w:spacing w:before="0" w:beforeAutospacing="0" w:after="0" w:afterAutospacing="0" w:line="360" w:lineRule="auto"/>
              <w:ind w:left="0" w:right="0"/>
              <w:jc w:val="center"/>
              <w:rPr>
                <w:rFonts w:hint="eastAsia" w:eastAsia="宋体"/>
                <w:lang w:eastAsia="zh-CN"/>
              </w:rPr>
            </w:pPr>
            <w:r>
              <w:rPr>
                <w:rFonts w:hint="eastAsia" w:ascii="宋体" w:hAnsi="宋体" w:cs="宋体"/>
                <w:sz w:val="24"/>
              </w:rPr>
              <w:t>报价</w:t>
            </w:r>
            <w:r>
              <w:rPr>
                <w:rFonts w:hint="eastAsia" w:ascii="宋体" w:hAnsi="宋体" w:cs="宋体"/>
                <w:sz w:val="24"/>
                <w:lang w:eastAsia="zh-CN"/>
              </w:rPr>
              <w:t>（元）</w:t>
            </w:r>
          </w:p>
        </w:tc>
        <w:tc>
          <w:tcPr>
            <w:tcW w:w="7371" w:type="dxa"/>
            <w:noWrap w:val="0"/>
            <w:vAlign w:val="center"/>
          </w:tcPr>
          <w:p w14:paraId="53553A2D">
            <w:pPr>
              <w:pStyle w:val="75"/>
              <w:keepNext w:val="0"/>
              <w:keepLines w:val="0"/>
              <w:suppressLineNumbers w:val="0"/>
              <w:spacing w:before="0" w:beforeAutospacing="0" w:afterAutospacing="0"/>
              <w:ind w:left="0" w:leftChars="0" w:right="0" w:firstLine="0" w:firstLineChars="0"/>
              <w:rPr>
                <w:rFonts w:hint="eastAsia" w:ascii="Times New Roman" w:hAnsi="Times New Roman" w:cs="Times New Roman"/>
              </w:rPr>
            </w:pPr>
            <w:r>
              <w:rPr>
                <w:rFonts w:hint="eastAsia" w:ascii="Times New Roman" w:hAnsi="Times New Roman" w:cs="Times New Roman"/>
              </w:rPr>
              <w:t>大写：</w:t>
            </w:r>
          </w:p>
          <w:p w14:paraId="753A3F23">
            <w:pPr>
              <w:pStyle w:val="75"/>
              <w:keepNext w:val="0"/>
              <w:keepLines w:val="0"/>
              <w:suppressLineNumbers w:val="0"/>
              <w:spacing w:before="0" w:beforeAutospacing="0" w:afterAutospacing="0"/>
              <w:ind w:left="420" w:right="0"/>
              <w:rPr>
                <w:rFonts w:hint="eastAsia" w:ascii="Times New Roman" w:hAnsi="Times New Roman" w:cs="Times New Roman"/>
              </w:rPr>
            </w:pPr>
          </w:p>
          <w:p w14:paraId="07D3F259">
            <w:pPr>
              <w:pStyle w:val="62"/>
              <w:keepNext w:val="0"/>
              <w:keepLines w:val="0"/>
              <w:suppressLineNumbers w:val="0"/>
              <w:spacing w:before="0" w:beforeAutospacing="0" w:after="0" w:afterAutospacing="0"/>
              <w:ind w:left="0" w:leftChars="0" w:right="0"/>
              <w:rPr>
                <w:rFonts w:hint="eastAsia" w:ascii="Times New Roman" w:hAnsi="Times New Roman" w:eastAsia="宋体" w:cs="Times New Roman"/>
                <w:smallCaps w:val="0"/>
                <w:kern w:val="0"/>
                <w:sz w:val="24"/>
                <w:szCs w:val="24"/>
                <w:lang w:val="en-US" w:eastAsia="zh-CN" w:bidi="ar-SA"/>
              </w:rPr>
            </w:pPr>
            <w:r>
              <w:rPr>
                <w:rFonts w:hint="eastAsia" w:ascii="Times New Roman" w:hAnsi="Times New Roman" w:eastAsia="宋体" w:cs="Times New Roman"/>
                <w:smallCaps w:val="0"/>
                <w:kern w:val="0"/>
                <w:sz w:val="24"/>
                <w:szCs w:val="24"/>
                <w:lang w:val="en-US" w:eastAsia="zh-CN" w:bidi="ar-SA"/>
              </w:rPr>
              <w:t>小写：</w:t>
            </w:r>
          </w:p>
          <w:p w14:paraId="66CC7738">
            <w:pPr>
              <w:keepNext w:val="0"/>
              <w:keepLines w:val="0"/>
              <w:suppressLineNumbers w:val="0"/>
              <w:spacing w:before="0" w:beforeAutospacing="0" w:after="0" w:afterAutospacing="0"/>
              <w:ind w:left="0" w:right="0"/>
              <w:rPr>
                <w:rFonts w:hint="eastAsia" w:ascii="Times New Roman" w:hAnsi="Times New Roman" w:cs="Times New Roman"/>
              </w:rPr>
            </w:pPr>
          </w:p>
        </w:tc>
      </w:tr>
      <w:tr w14:paraId="53F2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068" w:type="dxa"/>
            <w:noWrap w:val="0"/>
            <w:vAlign w:val="center"/>
          </w:tcPr>
          <w:p w14:paraId="49901BB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lang w:eastAsia="zh-CN"/>
              </w:rPr>
            </w:pPr>
            <w:r>
              <w:rPr>
                <w:rFonts w:hint="eastAsia" w:ascii="宋体" w:hAnsi="宋体" w:cs="宋体"/>
                <w:sz w:val="24"/>
                <w:lang w:eastAsia="zh-CN"/>
              </w:rPr>
              <w:t>供货安装期</w:t>
            </w:r>
          </w:p>
        </w:tc>
        <w:tc>
          <w:tcPr>
            <w:tcW w:w="7371" w:type="dxa"/>
            <w:noWrap w:val="0"/>
            <w:vAlign w:val="center"/>
          </w:tcPr>
          <w:p w14:paraId="1338A062">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4B59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068" w:type="dxa"/>
            <w:noWrap w:val="0"/>
            <w:vAlign w:val="center"/>
          </w:tcPr>
          <w:p w14:paraId="77C459C0">
            <w:pPr>
              <w:keepNext w:val="0"/>
              <w:keepLines w:val="0"/>
              <w:suppressLineNumbers w:val="0"/>
              <w:spacing w:before="0" w:beforeAutospacing="0" w:after="0" w:afterAutospacing="0" w:line="360" w:lineRule="auto"/>
              <w:ind w:left="0" w:right="0"/>
              <w:jc w:val="center"/>
              <w:rPr>
                <w:rFonts w:hint="eastAsia" w:ascii="宋体" w:hAnsi="宋体" w:cs="宋体"/>
                <w:sz w:val="24"/>
                <w:lang w:eastAsia="zh-CN"/>
              </w:rPr>
            </w:pPr>
            <w:r>
              <w:rPr>
                <w:rFonts w:hint="eastAsia" w:ascii="宋体" w:hAnsi="宋体" w:cs="宋体"/>
                <w:sz w:val="24"/>
                <w:lang w:eastAsia="zh-CN"/>
              </w:rPr>
              <w:t>质保期</w:t>
            </w:r>
          </w:p>
        </w:tc>
        <w:tc>
          <w:tcPr>
            <w:tcW w:w="7371" w:type="dxa"/>
            <w:noWrap w:val="0"/>
            <w:vAlign w:val="center"/>
          </w:tcPr>
          <w:p w14:paraId="16561924">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33A5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2068" w:type="dxa"/>
            <w:noWrap w:val="0"/>
            <w:vAlign w:val="center"/>
          </w:tcPr>
          <w:p w14:paraId="06BAD8B2">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是否认同</w:t>
            </w:r>
          </w:p>
        </w:tc>
        <w:tc>
          <w:tcPr>
            <w:tcW w:w="7371" w:type="dxa"/>
            <w:noWrap w:val="0"/>
            <w:vAlign w:val="center"/>
          </w:tcPr>
          <w:p w14:paraId="1BE92420">
            <w:pPr>
              <w:keepNext w:val="0"/>
              <w:keepLines w:val="0"/>
              <w:suppressLineNumbers w:val="0"/>
              <w:spacing w:before="0" w:beforeAutospacing="0" w:after="0" w:afterAutospacing="0" w:line="360" w:lineRule="auto"/>
              <w:ind w:left="0" w:right="0"/>
              <w:rPr>
                <w:rFonts w:hint="eastAsia" w:ascii="宋体" w:hAnsi="宋体" w:cs="宋体"/>
                <w:sz w:val="24"/>
              </w:rPr>
            </w:pPr>
          </w:p>
          <w:p w14:paraId="1327629B">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5D9F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jc w:val="center"/>
        </w:trPr>
        <w:tc>
          <w:tcPr>
            <w:tcW w:w="2068" w:type="dxa"/>
            <w:noWrap w:val="0"/>
            <w:vAlign w:val="center"/>
          </w:tcPr>
          <w:p w14:paraId="6BC828F9">
            <w:pPr>
              <w:keepNext w:val="0"/>
              <w:keepLines w:val="0"/>
              <w:suppressLineNumbers w:val="0"/>
              <w:spacing w:before="0" w:beforeAutospacing="0" w:after="0" w:afterAutospacing="0" w:line="360" w:lineRule="auto"/>
              <w:ind w:left="0" w:right="0"/>
              <w:jc w:val="center"/>
              <w:rPr>
                <w:rFonts w:hint="eastAsia" w:ascii="宋体" w:hAnsi="宋体" w:cs="宋体"/>
                <w:sz w:val="24"/>
              </w:rPr>
            </w:pPr>
            <w:r>
              <w:rPr>
                <w:rFonts w:hint="eastAsia" w:ascii="宋体" w:hAnsi="宋体" w:cs="宋体"/>
                <w:sz w:val="24"/>
              </w:rPr>
              <w:t>备注</w:t>
            </w:r>
          </w:p>
        </w:tc>
        <w:tc>
          <w:tcPr>
            <w:tcW w:w="7371" w:type="dxa"/>
            <w:noWrap w:val="0"/>
            <w:vAlign w:val="center"/>
          </w:tcPr>
          <w:p w14:paraId="23786B1B">
            <w:pPr>
              <w:keepNext w:val="0"/>
              <w:keepLines w:val="0"/>
              <w:suppressLineNumbers w:val="0"/>
              <w:spacing w:before="0" w:beforeAutospacing="0" w:after="0" w:afterAutospacing="0" w:line="360" w:lineRule="auto"/>
              <w:ind w:left="0" w:right="0"/>
              <w:rPr>
                <w:rFonts w:hint="eastAsia" w:ascii="宋体" w:hAnsi="宋体" w:cs="宋体"/>
                <w:sz w:val="24"/>
              </w:rPr>
            </w:pPr>
          </w:p>
        </w:tc>
      </w:tr>
    </w:tbl>
    <w:p w14:paraId="33B4E931">
      <w:pPr>
        <w:spacing w:after="120" w:afterLines="50" w:line="360" w:lineRule="auto"/>
        <w:ind w:firstLine="480" w:firstLineChars="200"/>
        <w:rPr>
          <w:rFonts w:hint="eastAsia" w:ascii="宋体" w:hAnsi="宋体" w:cs="宋体"/>
          <w:sz w:val="24"/>
        </w:rPr>
      </w:pPr>
    </w:p>
    <w:p w14:paraId="6BA7F9A8">
      <w:pPr>
        <w:pStyle w:val="30"/>
        <w:tabs>
          <w:tab w:val="left" w:pos="1691"/>
          <w:tab w:val="left" w:pos="2975"/>
          <w:tab w:val="left" w:pos="3815"/>
          <w:tab w:val="left" w:pos="4535"/>
          <w:tab w:val="left" w:pos="4655"/>
        </w:tabs>
        <w:spacing w:afterLines="50" w:line="360" w:lineRule="auto"/>
        <w:ind w:firstLine="480" w:firstLineChars="200"/>
        <w:rPr>
          <w:rFonts w:hint="eastAsia" w:ascii="宋体" w:hAnsi="宋体" w:cs="宋体"/>
          <w:sz w:val="24"/>
          <w:lang w:val="en-US" w:eastAsia="zh-CN"/>
        </w:rPr>
      </w:pPr>
      <w:bookmarkStart w:id="297" w:name="_Toc9312"/>
      <w:bookmarkStart w:id="298" w:name="_Toc30404"/>
      <w:r>
        <w:rPr>
          <w:rFonts w:hint="eastAsia" w:ascii="宋体" w:hAnsi="宋体" w:cs="宋体"/>
          <w:sz w:val="24"/>
          <w:lang w:val="en-US" w:eastAsia="zh-CN"/>
        </w:rPr>
        <w:t>供应商：</w:t>
      </w:r>
      <w:r>
        <w:rPr>
          <w:rFonts w:hint="eastAsia" w:ascii="宋体" w:hAnsi="宋体" w:cs="宋体"/>
          <w:sz w:val="24"/>
          <w:u w:val="single"/>
          <w:lang w:val="en-US" w:eastAsia="zh-CN"/>
        </w:rPr>
        <w:t xml:space="preserve"> </w:t>
      </w:r>
      <w:r>
        <w:rPr>
          <w:rFonts w:hint="eastAsia" w:ascii="宋体" w:hAnsi="宋体" w:cs="宋体"/>
          <w:sz w:val="24"/>
          <w:u w:val="single"/>
          <w:lang w:val="en-US" w:eastAsia="zh-CN"/>
        </w:rPr>
        <w:tab/>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（公章） </w:t>
      </w:r>
    </w:p>
    <w:p w14:paraId="0CA0A78A">
      <w:pPr>
        <w:adjustRightInd w:val="0"/>
        <w:spacing w:after="120" w:afterLines="50" w:line="360" w:lineRule="auto"/>
        <w:ind w:firstLine="480" w:firstLineChars="200"/>
        <w:rPr>
          <w:rFonts w:hint="eastAsia" w:ascii="宋体" w:hAnsi="宋体" w:cs="宋体"/>
          <w:sz w:val="24"/>
        </w:rPr>
      </w:pPr>
      <w:r>
        <w:rPr>
          <w:rFonts w:hint="eastAsia" w:ascii="宋体" w:hAnsi="宋体" w:cs="宋体"/>
          <w:sz w:val="24"/>
        </w:rPr>
        <w:t xml:space="preserve">法定代表人或授权委托人（签字）： </w:t>
      </w:r>
    </w:p>
    <w:p w14:paraId="32DC3E9E">
      <w:pPr>
        <w:pStyle w:val="30"/>
        <w:tabs>
          <w:tab w:val="left" w:pos="1691"/>
          <w:tab w:val="left" w:pos="2975"/>
          <w:tab w:val="left" w:pos="3815"/>
          <w:tab w:val="left" w:pos="4535"/>
          <w:tab w:val="left" w:pos="4655"/>
        </w:tabs>
        <w:spacing w:afterLines="50"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日   期： </w:t>
      </w:r>
      <w:r>
        <w:rPr>
          <w:rFonts w:hint="eastAsia" w:ascii="宋体" w:hAnsi="宋体" w:cs="宋体"/>
          <w:sz w:val="24"/>
          <w:u w:val="single"/>
          <w:lang w:val="en-US" w:eastAsia="zh-CN"/>
        </w:rPr>
        <w:t xml:space="preserve"> </w:t>
      </w:r>
      <w:r>
        <w:rPr>
          <w:rFonts w:hint="eastAsia" w:ascii="宋体" w:hAnsi="宋体" w:cs="宋体"/>
          <w:sz w:val="24"/>
          <w:u w:val="single"/>
          <w:lang w:val="en-US" w:eastAsia="zh-CN"/>
        </w:rPr>
        <w:tab/>
      </w:r>
      <w:r>
        <w:rPr>
          <w:rFonts w:hint="eastAsia" w:ascii="宋体" w:hAnsi="宋体" w:cs="宋体"/>
          <w:sz w:val="24"/>
          <w:lang w:val="en-US" w:eastAsia="zh-CN"/>
        </w:rPr>
        <w:t>年</w:t>
      </w:r>
      <w:r>
        <w:rPr>
          <w:rFonts w:hint="eastAsia" w:ascii="宋体" w:hAnsi="宋体" w:cs="宋体"/>
          <w:sz w:val="24"/>
          <w:u w:val="single"/>
          <w:lang w:val="en-US" w:eastAsia="zh-CN"/>
        </w:rPr>
        <w:t xml:space="preserve">       </w:t>
      </w:r>
      <w:r>
        <w:rPr>
          <w:rFonts w:hint="eastAsia" w:ascii="宋体" w:hAnsi="宋体" w:cs="宋体"/>
          <w:sz w:val="24"/>
          <w:lang w:val="en-US" w:eastAsia="zh-CN"/>
        </w:rPr>
        <w:t>月</w:t>
      </w:r>
      <w:r>
        <w:rPr>
          <w:rFonts w:hint="eastAsia" w:ascii="宋体" w:hAnsi="宋体" w:cs="宋体"/>
          <w:sz w:val="24"/>
          <w:u w:val="single"/>
          <w:lang w:val="en-US" w:eastAsia="zh-CN"/>
        </w:rPr>
        <w:t xml:space="preserve">        </w:t>
      </w:r>
      <w:r>
        <w:rPr>
          <w:rFonts w:hint="eastAsia" w:ascii="宋体" w:hAnsi="宋体" w:cs="宋体"/>
          <w:sz w:val="24"/>
          <w:lang w:val="en-US" w:eastAsia="zh-CN"/>
        </w:rPr>
        <w:t>日</w:t>
      </w:r>
    </w:p>
    <w:p w14:paraId="5E81BB1D">
      <w:pPr>
        <w:pStyle w:val="74"/>
        <w:ind w:firstLine="240"/>
        <w:rPr>
          <w:rFonts w:hint="eastAsia" w:ascii="宋体" w:hAnsi="宋体" w:cs="宋体"/>
          <w:kern w:val="2"/>
          <w:lang w:val="en-US" w:eastAsia="zh-CN"/>
        </w:rPr>
      </w:pPr>
    </w:p>
    <w:p w14:paraId="061BE4F6">
      <w:pPr>
        <w:rPr>
          <w:rFonts w:hint="eastAsia" w:ascii="宋体" w:hAnsi="宋体" w:cs="宋体"/>
          <w:sz w:val="24"/>
        </w:rPr>
      </w:pPr>
      <w:bookmarkStart w:id="299" w:name="_Toc25197"/>
      <w:bookmarkStart w:id="300" w:name="_Toc11287"/>
      <w:bookmarkStart w:id="301" w:name="_Toc19836"/>
      <w:r>
        <w:rPr>
          <w:rFonts w:hint="eastAsia" w:ascii="宋体" w:hAnsi="宋体" w:cs="宋体"/>
          <w:sz w:val="24"/>
        </w:rPr>
        <w:br w:type="page"/>
      </w:r>
    </w:p>
    <w:p w14:paraId="6D6BBA9B">
      <w:pPr>
        <w:pStyle w:val="3"/>
        <w:bidi w:val="0"/>
        <w:jc w:val="center"/>
        <w:rPr>
          <w:rFonts w:hint="eastAsia" w:cs="Times New Roman"/>
        </w:rPr>
      </w:pPr>
      <w:r>
        <w:rPr>
          <w:rFonts w:hint="eastAsia" w:cs="Times New Roman"/>
        </w:rPr>
        <w:t>三、法定代表人身份证明</w:t>
      </w:r>
      <w:bookmarkEnd w:id="293"/>
      <w:bookmarkEnd w:id="297"/>
      <w:bookmarkEnd w:id="298"/>
      <w:bookmarkEnd w:id="299"/>
      <w:bookmarkEnd w:id="300"/>
      <w:bookmarkEnd w:id="301"/>
    </w:p>
    <w:p w14:paraId="1FF7B3B8">
      <w:pPr>
        <w:spacing w:after="120" w:afterLines="50" w:line="360" w:lineRule="auto"/>
        <w:ind w:firstLine="480" w:firstLineChars="200"/>
        <w:rPr>
          <w:rFonts w:hint="eastAsia" w:ascii="宋体" w:hAnsi="宋体" w:cs="宋体"/>
          <w:sz w:val="24"/>
        </w:rPr>
      </w:pPr>
    </w:p>
    <w:p w14:paraId="428B2994">
      <w:pPr>
        <w:spacing w:after="120" w:afterLines="50" w:line="360" w:lineRule="auto"/>
        <w:ind w:firstLine="480" w:firstLineChars="200"/>
        <w:rPr>
          <w:rFonts w:hint="eastAsia" w:ascii="宋体" w:hAnsi="宋体" w:cs="宋体"/>
          <w:sz w:val="24"/>
        </w:rPr>
      </w:pPr>
    </w:p>
    <w:p w14:paraId="139F06EC">
      <w:pPr>
        <w:spacing w:after="120" w:afterLines="50" w:line="360" w:lineRule="auto"/>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r>
        <w:rPr>
          <w:rFonts w:hint="eastAsia" w:ascii="宋体" w:hAnsi="宋体" w:cs="宋体"/>
          <w:sz w:val="24"/>
          <w:u w:val="single"/>
        </w:rPr>
        <w:t xml:space="preserve">                     </w:t>
      </w:r>
    </w:p>
    <w:p w14:paraId="6222AF61">
      <w:pPr>
        <w:spacing w:after="120" w:afterLines="50" w:line="360" w:lineRule="auto"/>
        <w:ind w:firstLine="480" w:firstLineChars="200"/>
        <w:rPr>
          <w:rFonts w:hint="eastAsia"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41A42DDA">
      <w:pPr>
        <w:spacing w:after="120" w:afterLines="50" w:line="360" w:lineRule="auto"/>
        <w:ind w:firstLine="480" w:firstLineChars="2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p>
    <w:p w14:paraId="08FF9C8E">
      <w:pPr>
        <w:spacing w:after="120" w:afterLines="50" w:line="360" w:lineRule="auto"/>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8FDFAE9">
      <w:pPr>
        <w:spacing w:after="120" w:afterLines="50" w:line="360" w:lineRule="auto"/>
        <w:ind w:firstLine="480" w:firstLineChars="200"/>
        <w:rPr>
          <w:rFonts w:hint="eastAsia"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14:paraId="0A0F4D55">
      <w:pPr>
        <w:spacing w:after="120" w:afterLines="50" w:line="360" w:lineRule="auto"/>
        <w:ind w:firstLine="480" w:firstLineChars="200"/>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p>
    <w:p w14:paraId="42D91710">
      <w:pPr>
        <w:spacing w:after="120" w:afterLines="50" w:line="360" w:lineRule="auto"/>
        <w:ind w:firstLine="480" w:firstLineChars="200"/>
        <w:rPr>
          <w:rFonts w:hint="eastAsia" w:ascii="宋体" w:hAnsi="宋体" w:cs="宋体"/>
          <w:sz w:val="24"/>
          <w:u w:val="single"/>
        </w:rPr>
      </w:pP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459EA878">
      <w:pPr>
        <w:spacing w:after="120" w:afterLines="50" w:line="360" w:lineRule="auto"/>
        <w:ind w:firstLine="480" w:firstLineChars="20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名称）</w:t>
      </w:r>
      <w:r>
        <w:rPr>
          <w:rFonts w:hint="eastAsia" w:ascii="宋体" w:hAnsi="宋体" w:cs="宋体"/>
          <w:sz w:val="24"/>
        </w:rPr>
        <w:t>的法定代表人。</w:t>
      </w:r>
    </w:p>
    <w:p w14:paraId="3D4DAACE">
      <w:pPr>
        <w:spacing w:after="120" w:afterLines="50" w:line="360" w:lineRule="auto"/>
        <w:ind w:firstLine="480" w:firstLineChars="200"/>
        <w:rPr>
          <w:rFonts w:hint="eastAsia" w:ascii="宋体" w:hAnsi="宋体" w:cs="宋体"/>
          <w:sz w:val="24"/>
        </w:rPr>
      </w:pPr>
    </w:p>
    <w:p w14:paraId="03440D90">
      <w:pPr>
        <w:spacing w:after="120" w:afterLines="50" w:line="360" w:lineRule="auto"/>
        <w:ind w:firstLine="480" w:firstLineChars="200"/>
        <w:rPr>
          <w:rFonts w:hint="eastAsia" w:ascii="宋体" w:hAnsi="宋体" w:cs="宋体"/>
          <w:sz w:val="24"/>
        </w:rPr>
      </w:pPr>
      <w:r>
        <w:rPr>
          <w:rFonts w:hint="eastAsia" w:ascii="宋体" w:hAnsi="宋体" w:cs="宋体"/>
          <w:sz w:val="24"/>
        </w:rPr>
        <w:t>特此证明。</w:t>
      </w:r>
    </w:p>
    <w:p w14:paraId="455CA262">
      <w:pPr>
        <w:spacing w:after="120" w:afterLines="50" w:line="360" w:lineRule="auto"/>
        <w:ind w:firstLine="480" w:firstLineChars="200"/>
        <w:jc w:val="right"/>
        <w:rPr>
          <w:rFonts w:hint="eastAsia" w:ascii="宋体" w:hAnsi="宋体" w:cs="宋体"/>
          <w:sz w:val="24"/>
        </w:rPr>
      </w:pPr>
    </w:p>
    <w:p w14:paraId="50B6BA4D">
      <w:pPr>
        <w:spacing w:after="120" w:afterLines="50" w:line="360" w:lineRule="auto"/>
        <w:ind w:firstLine="480" w:firstLineChars="200"/>
        <w:jc w:val="right"/>
        <w:rPr>
          <w:rFonts w:hint="eastAsia" w:ascii="宋体" w:hAnsi="宋体" w:cs="宋体"/>
          <w:sz w:val="24"/>
        </w:rPr>
      </w:pPr>
    </w:p>
    <w:p w14:paraId="5358980E">
      <w:pPr>
        <w:spacing w:after="120" w:afterLines="50" w:line="360" w:lineRule="auto"/>
        <w:ind w:firstLine="480" w:firstLineChars="200"/>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（公章）</w:t>
      </w:r>
    </w:p>
    <w:p w14:paraId="56CDF8B1">
      <w:pPr>
        <w:spacing w:after="120" w:afterLines="50"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Start w:id="302" w:name="_Toc443637277"/>
      <w:bookmarkStart w:id="303" w:name="_Toc446256292"/>
      <w:bookmarkStart w:id="304" w:name="_Toc446252868"/>
      <w:bookmarkStart w:id="305" w:name="_Toc443637334"/>
      <w:bookmarkStart w:id="306" w:name="_Toc23915"/>
      <w:bookmarkStart w:id="307" w:name="_Toc30119"/>
    </w:p>
    <w:p w14:paraId="6C64B408">
      <w:pPr>
        <w:spacing w:after="120" w:afterLines="50" w:line="360" w:lineRule="auto"/>
        <w:ind w:firstLine="480" w:firstLineChars="200"/>
        <w:rPr>
          <w:rFonts w:hint="eastAsia" w:ascii="宋体" w:hAnsi="宋体" w:cs="宋体"/>
          <w:sz w:val="24"/>
        </w:rPr>
      </w:pPr>
      <w:r>
        <w:rPr>
          <w:rFonts w:hint="eastAsia" w:ascii="宋体" w:hAnsi="宋体" w:cs="宋体"/>
          <w:sz w:val="24"/>
        </w:rPr>
        <w:t>附：法定代表人身份证复印件</w:t>
      </w:r>
    </w:p>
    <w:p w14:paraId="62EC985A">
      <w:pPr>
        <w:spacing w:after="120" w:afterLines="50" w:line="360" w:lineRule="auto"/>
        <w:jc w:val="center"/>
        <w:outlineLvl w:val="2"/>
        <w:rPr>
          <w:rFonts w:hint="eastAsia" w:ascii="Arial" w:hAnsi="Arial" w:eastAsia="黑体" w:cs="Times New Roman"/>
          <w:b/>
          <w:kern w:val="0"/>
          <w:sz w:val="32"/>
          <w:szCs w:val="20"/>
          <w:lang w:val="en-US" w:eastAsia="zh-CN" w:bidi="ar-SA"/>
        </w:rPr>
      </w:pPr>
      <w:r>
        <w:rPr>
          <w:rFonts w:hint="eastAsia" w:ascii="宋体" w:hAnsi="宋体" w:cs="宋体"/>
        </w:rPr>
        <w:br w:type="page"/>
      </w:r>
      <w:bookmarkEnd w:id="302"/>
      <w:bookmarkEnd w:id="303"/>
      <w:bookmarkEnd w:id="304"/>
      <w:bookmarkEnd w:id="305"/>
      <w:bookmarkStart w:id="308" w:name="_Toc14257"/>
      <w:bookmarkStart w:id="309" w:name="_Toc23236"/>
      <w:bookmarkStart w:id="310" w:name="_Toc16004"/>
      <w:bookmarkStart w:id="311" w:name="_Toc21614"/>
      <w:r>
        <w:rPr>
          <w:rFonts w:hint="eastAsia" w:ascii="Arial" w:hAnsi="Arial" w:eastAsia="黑体" w:cs="Times New Roman"/>
          <w:b/>
          <w:kern w:val="0"/>
          <w:sz w:val="32"/>
          <w:szCs w:val="20"/>
          <w:lang w:val="en-US" w:eastAsia="zh-CN" w:bidi="ar-SA"/>
        </w:rPr>
        <w:t>法定代表人授权委托书</w:t>
      </w:r>
      <w:bookmarkEnd w:id="306"/>
      <w:bookmarkEnd w:id="307"/>
      <w:bookmarkEnd w:id="308"/>
      <w:bookmarkEnd w:id="309"/>
      <w:bookmarkEnd w:id="310"/>
      <w:bookmarkEnd w:id="311"/>
    </w:p>
    <w:p w14:paraId="21CDC934">
      <w:pPr>
        <w:spacing w:after="120" w:afterLines="50"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（法人姓名）</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名称）</w:t>
      </w:r>
      <w:r>
        <w:rPr>
          <w:rFonts w:hint="eastAsia" w:ascii="宋体" w:hAnsi="宋体" w:cs="宋体"/>
          <w:sz w:val="24"/>
        </w:rPr>
        <w:t>的法定代表人，现委托</w:t>
      </w:r>
      <w:r>
        <w:rPr>
          <w:rFonts w:hint="eastAsia" w:ascii="宋体" w:hAnsi="宋体" w:cs="宋体"/>
          <w:sz w:val="24"/>
          <w:u w:val="single"/>
        </w:rPr>
        <w:t xml:space="preserve">           （委托代理人姓名）</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w:t>
      </w:r>
      <w:r>
        <w:rPr>
          <w:rFonts w:hint="eastAsia" w:ascii="宋体" w:hAnsi="宋体" w:cs="宋体"/>
          <w:sz w:val="24"/>
          <w:u w:val="single"/>
          <w:lang w:val="en-US" w:eastAsia="zh-CN"/>
        </w:rPr>
        <w:t xml:space="preserve">       </w:t>
      </w:r>
      <w:r>
        <w:rPr>
          <w:rFonts w:hint="eastAsia" w:ascii="宋体" w:hAnsi="宋体" w:cs="宋体"/>
          <w:sz w:val="24"/>
          <w:lang w:eastAsia="zh-CN"/>
        </w:rPr>
        <w:t>响应文件</w:t>
      </w:r>
      <w:r>
        <w:rPr>
          <w:rFonts w:hint="eastAsia" w:ascii="宋体" w:hAnsi="宋体" w:cs="宋体"/>
          <w:sz w:val="24"/>
        </w:rPr>
        <w:t>、签订合同和处理有关事宜，其法律后果由我方承担。</w:t>
      </w:r>
    </w:p>
    <w:p w14:paraId="41A6137B">
      <w:pPr>
        <w:spacing w:after="120" w:afterLines="50" w:line="360" w:lineRule="auto"/>
        <w:ind w:firstLine="480" w:firstLineChars="20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 xml:space="preserve">                                </w:t>
      </w:r>
    </w:p>
    <w:p w14:paraId="22731328">
      <w:pPr>
        <w:spacing w:after="120" w:afterLines="50" w:line="360" w:lineRule="auto"/>
        <w:ind w:firstLine="480" w:firstLineChars="200"/>
        <w:rPr>
          <w:rFonts w:hint="eastAsia" w:ascii="宋体" w:hAnsi="宋体" w:cs="宋体"/>
          <w:sz w:val="24"/>
        </w:rPr>
      </w:pPr>
      <w:r>
        <w:rPr>
          <w:rFonts w:hint="eastAsia" w:ascii="宋体" w:hAnsi="宋体" w:cs="宋体"/>
          <w:sz w:val="24"/>
        </w:rPr>
        <w:t>代理人无转委托权。</w:t>
      </w:r>
    </w:p>
    <w:tbl>
      <w:tblPr>
        <w:tblStyle w:val="76"/>
        <w:tblpPr w:leftFromText="180" w:rightFromText="180" w:vertAnchor="text" w:horzAnchor="page" w:tblpX="1754" w:tblpY="476"/>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0"/>
      </w:tblGrid>
      <w:tr w14:paraId="223C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7980" w:type="dxa"/>
            <w:noWrap w:val="0"/>
            <w:vAlign w:val="center"/>
          </w:tcPr>
          <w:p w14:paraId="3EA1BBE7">
            <w:pPr>
              <w:keepNext w:val="0"/>
              <w:keepLines w:val="0"/>
              <w:suppressLineNumbers w:val="0"/>
              <w:spacing w:before="0" w:beforeAutospacing="0" w:after="120" w:afterLines="50" w:afterAutospacing="0" w:line="360" w:lineRule="auto"/>
              <w:ind w:left="0" w:right="0"/>
              <w:rPr>
                <w:rFonts w:hint="eastAsia" w:ascii="宋体" w:hAnsi="宋体" w:cs="宋体"/>
                <w:sz w:val="24"/>
              </w:rPr>
            </w:pPr>
            <w:r>
              <w:rPr>
                <w:rFonts w:hint="eastAsia" w:ascii="宋体" w:hAnsi="宋体" w:cs="宋体"/>
                <w:sz w:val="24"/>
              </w:rPr>
              <w:t>附：法定代表人身份证正反面及委托代理人身份证正反面扫描件</w:t>
            </w:r>
          </w:p>
        </w:tc>
      </w:tr>
    </w:tbl>
    <w:p w14:paraId="279D6DB0">
      <w:pPr>
        <w:pStyle w:val="75"/>
        <w:spacing w:afterLines="50" w:line="360" w:lineRule="auto"/>
        <w:ind w:left="0" w:leftChars="0" w:firstLine="480"/>
        <w:rPr>
          <w:rFonts w:hint="eastAsia" w:ascii="宋体" w:hAnsi="宋体" w:cs="宋体"/>
          <w:sz w:val="24"/>
        </w:rPr>
      </w:pPr>
    </w:p>
    <w:p w14:paraId="0D8B68BA">
      <w:pPr>
        <w:spacing w:after="120" w:afterLines="50" w:line="360" w:lineRule="auto"/>
        <w:ind w:firstLine="480" w:firstLineChars="200"/>
        <w:rPr>
          <w:rFonts w:hint="eastAsia" w:ascii="宋体" w:hAnsi="宋体" w:cs="宋体"/>
          <w:sz w:val="24"/>
        </w:rPr>
      </w:pPr>
    </w:p>
    <w:p w14:paraId="0E30E89B">
      <w:pPr>
        <w:spacing w:after="120" w:afterLines="50" w:line="360" w:lineRule="auto"/>
        <w:ind w:firstLine="480" w:firstLineChars="200"/>
        <w:rPr>
          <w:rFonts w:hint="eastAsia" w:ascii="宋体" w:hAnsi="宋体" w:cs="宋体"/>
          <w:sz w:val="24"/>
          <w:u w:val="single"/>
        </w:rPr>
      </w:pPr>
    </w:p>
    <w:p w14:paraId="4677133C">
      <w:pPr>
        <w:spacing w:after="120" w:afterLines="50" w:line="360" w:lineRule="auto"/>
        <w:ind w:firstLine="480" w:firstLineChars="200"/>
        <w:rPr>
          <w:rFonts w:hint="eastAsia" w:ascii="宋体" w:hAnsi="宋体" w:cs="宋体"/>
          <w:sz w:val="24"/>
        </w:rPr>
      </w:pPr>
    </w:p>
    <w:p w14:paraId="065E0F7A">
      <w:pPr>
        <w:spacing w:after="120" w:afterLines="50" w:line="360" w:lineRule="auto"/>
        <w:ind w:firstLine="480" w:firstLineChars="200"/>
        <w:rPr>
          <w:rFonts w:hint="eastAsia" w:ascii="宋体" w:hAnsi="宋体" w:cs="宋体"/>
          <w:sz w:val="24"/>
        </w:rPr>
      </w:pPr>
    </w:p>
    <w:p w14:paraId="59D69564">
      <w:pPr>
        <w:spacing w:after="120" w:afterLines="50" w:line="360" w:lineRule="auto"/>
        <w:ind w:firstLine="480" w:firstLineChars="200"/>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                            （公章）</w:t>
      </w:r>
    </w:p>
    <w:p w14:paraId="13262093">
      <w:pPr>
        <w:spacing w:after="120" w:afterLines="50" w:line="360" w:lineRule="auto"/>
        <w:ind w:firstLine="480" w:firstLineChars="200"/>
        <w:rPr>
          <w:rFonts w:hint="eastAsia" w:ascii="宋体" w:hAnsi="宋体" w:cs="宋体"/>
          <w:sz w:val="24"/>
        </w:rPr>
      </w:pPr>
      <w:r>
        <w:rPr>
          <w:rFonts w:hint="eastAsia" w:ascii="宋体" w:hAnsi="宋体" w:cs="宋体"/>
          <w:sz w:val="24"/>
        </w:rPr>
        <w:t>法定代表人：                        （签字）</w:t>
      </w:r>
    </w:p>
    <w:p w14:paraId="640ADC50">
      <w:pPr>
        <w:spacing w:after="120" w:afterLines="50" w:line="360" w:lineRule="auto"/>
        <w:ind w:firstLine="480" w:firstLineChars="200"/>
        <w:rPr>
          <w:rFonts w:hint="eastAsia" w:ascii="宋体" w:hAnsi="宋体" w:cs="宋体"/>
          <w:sz w:val="24"/>
        </w:rPr>
      </w:pPr>
      <w:r>
        <w:rPr>
          <w:rFonts w:hint="eastAsia" w:ascii="宋体" w:hAnsi="宋体" w:cs="宋体"/>
          <w:sz w:val="24"/>
        </w:rPr>
        <w:t xml:space="preserve">身份证号码：                           </w:t>
      </w:r>
    </w:p>
    <w:p w14:paraId="6652EB84">
      <w:pPr>
        <w:spacing w:after="120" w:afterLines="50" w:line="360" w:lineRule="auto"/>
        <w:ind w:firstLine="480" w:firstLineChars="200"/>
        <w:rPr>
          <w:rFonts w:hint="eastAsia" w:ascii="宋体" w:hAnsi="宋体" w:cs="宋体"/>
          <w:sz w:val="24"/>
        </w:rPr>
      </w:pPr>
      <w:r>
        <w:rPr>
          <w:rFonts w:hint="eastAsia" w:ascii="宋体" w:hAnsi="宋体" w:cs="宋体"/>
          <w:sz w:val="24"/>
        </w:rPr>
        <w:t>委托代理人：                         （签字）</w:t>
      </w:r>
    </w:p>
    <w:p w14:paraId="5E2474FA">
      <w:pPr>
        <w:spacing w:after="120" w:afterLines="50" w:line="360" w:lineRule="auto"/>
        <w:ind w:firstLine="480" w:firstLineChars="200"/>
        <w:rPr>
          <w:rFonts w:hint="eastAsia" w:ascii="宋体" w:hAnsi="宋体" w:cs="宋体"/>
          <w:sz w:val="24"/>
        </w:rPr>
      </w:pPr>
      <w:r>
        <w:rPr>
          <w:rFonts w:hint="eastAsia" w:ascii="宋体" w:hAnsi="宋体" w:cs="宋体"/>
          <w:sz w:val="24"/>
        </w:rPr>
        <w:t xml:space="preserve">身份证号码：                            </w:t>
      </w:r>
    </w:p>
    <w:p w14:paraId="3AA5B6B5">
      <w:pPr>
        <w:spacing w:after="120" w:afterLines="50" w:line="360" w:lineRule="auto"/>
        <w:ind w:firstLine="480" w:firstLineChars="200"/>
        <w:jc w:val="right"/>
        <w:rPr>
          <w:rFonts w:hint="eastAsia" w:ascii="宋体" w:hAnsi="宋体" w:cs="宋体"/>
          <w:sz w:val="24"/>
        </w:rPr>
      </w:pPr>
      <w:r>
        <w:rPr>
          <w:rFonts w:hint="eastAsia" w:ascii="宋体" w:hAnsi="宋体" w:cs="宋体"/>
          <w:sz w:val="24"/>
        </w:rPr>
        <w:t>年   月   日</w:t>
      </w:r>
    </w:p>
    <w:p w14:paraId="1D181C1B">
      <w:pPr>
        <w:pStyle w:val="30"/>
        <w:tabs>
          <w:tab w:val="left" w:pos="1691"/>
          <w:tab w:val="left" w:pos="2975"/>
          <w:tab w:val="left" w:pos="3815"/>
          <w:tab w:val="left" w:pos="4535"/>
          <w:tab w:val="left" w:pos="4655"/>
        </w:tabs>
        <w:spacing w:afterLines="50" w:line="360" w:lineRule="auto"/>
        <w:ind w:firstLine="480" w:firstLineChars="200"/>
        <w:rPr>
          <w:rFonts w:hint="eastAsia" w:ascii="宋体" w:hAnsi="宋体" w:cs="宋体"/>
          <w:sz w:val="24"/>
          <w:u w:val="single"/>
          <w:lang w:val="en-US" w:eastAsia="zh-CN"/>
        </w:rPr>
      </w:pPr>
      <w:bookmarkStart w:id="312" w:name="_Toc376519846"/>
      <w:bookmarkStart w:id="313" w:name="_Toc446256293"/>
      <w:r>
        <w:rPr>
          <w:rFonts w:hint="eastAsia" w:ascii="宋体" w:hAnsi="宋体" w:cs="宋体"/>
          <w:sz w:val="24"/>
        </w:rPr>
        <w:br w:type="page"/>
      </w:r>
      <w:bookmarkEnd w:id="312"/>
      <w:bookmarkEnd w:id="313"/>
      <w:bookmarkStart w:id="314" w:name="_Toc20093"/>
      <w:bookmarkStart w:id="315" w:name="_Toc6598"/>
      <w:bookmarkStart w:id="316" w:name="_Toc2899"/>
    </w:p>
    <w:p w14:paraId="0DA217AC">
      <w:pPr>
        <w:pStyle w:val="3"/>
        <w:bidi w:val="0"/>
        <w:jc w:val="center"/>
        <w:rPr>
          <w:rFonts w:hint="default" w:cs="Times New Roman"/>
          <w:lang w:val="en-US"/>
        </w:rPr>
      </w:pPr>
      <w:bookmarkStart w:id="317" w:name="_Toc2413"/>
      <w:bookmarkStart w:id="318" w:name="_Toc28410"/>
      <w:bookmarkStart w:id="319" w:name="_Toc26049"/>
      <w:bookmarkStart w:id="320" w:name="_Toc11105"/>
      <w:bookmarkStart w:id="321" w:name="_Toc32069"/>
      <w:r>
        <w:rPr>
          <w:rFonts w:hint="eastAsia" w:cs="Times New Roman"/>
          <w:lang w:eastAsia="zh-CN"/>
        </w:rPr>
        <w:t>四</w:t>
      </w:r>
      <w:r>
        <w:rPr>
          <w:rFonts w:hint="eastAsia" w:cs="Times New Roman"/>
        </w:rPr>
        <w:t>、</w:t>
      </w:r>
      <w:bookmarkEnd w:id="317"/>
      <w:bookmarkEnd w:id="318"/>
      <w:bookmarkEnd w:id="319"/>
      <w:bookmarkEnd w:id="320"/>
      <w:r>
        <w:rPr>
          <w:rFonts w:hint="eastAsia" w:cs="Times New Roman"/>
          <w:lang w:val="en-US"/>
        </w:rPr>
        <w:t>报价明细表</w:t>
      </w:r>
    </w:p>
    <w:tbl>
      <w:tblPr>
        <w:tblStyle w:val="76"/>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071"/>
        <w:gridCol w:w="1011"/>
        <w:gridCol w:w="1012"/>
        <w:gridCol w:w="1019"/>
        <w:gridCol w:w="1452"/>
        <w:gridCol w:w="1505"/>
        <w:gridCol w:w="971"/>
        <w:gridCol w:w="971"/>
      </w:tblGrid>
      <w:tr w14:paraId="5F8C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76" w:type="dxa"/>
            <w:vAlign w:val="center"/>
          </w:tcPr>
          <w:p w14:paraId="3A952A2D">
            <w:pPr>
              <w:jc w:val="center"/>
              <w:rPr>
                <w:rFonts w:ascii="宋体"/>
                <w:b/>
                <w:bCs/>
                <w:sz w:val="22"/>
                <w:szCs w:val="22"/>
              </w:rPr>
            </w:pPr>
            <w:r>
              <w:rPr>
                <w:rFonts w:hint="eastAsia" w:ascii="宋体" w:hAnsi="宋体"/>
                <w:b/>
                <w:bCs/>
                <w:sz w:val="22"/>
                <w:szCs w:val="22"/>
              </w:rPr>
              <w:t>序号</w:t>
            </w:r>
          </w:p>
        </w:tc>
        <w:tc>
          <w:tcPr>
            <w:tcW w:w="2071" w:type="dxa"/>
            <w:vAlign w:val="center"/>
          </w:tcPr>
          <w:p w14:paraId="036CC122">
            <w:pPr>
              <w:jc w:val="center"/>
              <w:rPr>
                <w:rFonts w:ascii="宋体"/>
                <w:b/>
                <w:bCs/>
                <w:sz w:val="22"/>
                <w:szCs w:val="22"/>
              </w:rPr>
            </w:pPr>
            <w:r>
              <w:rPr>
                <w:rFonts w:hint="eastAsia" w:ascii="宋体" w:hAnsi="宋体"/>
                <w:b/>
                <w:bCs/>
                <w:sz w:val="22"/>
                <w:szCs w:val="22"/>
              </w:rPr>
              <w:t>设备名称</w:t>
            </w:r>
          </w:p>
        </w:tc>
        <w:tc>
          <w:tcPr>
            <w:tcW w:w="1011" w:type="dxa"/>
            <w:vAlign w:val="center"/>
          </w:tcPr>
          <w:p w14:paraId="5350D84F">
            <w:pPr>
              <w:jc w:val="center"/>
              <w:rPr>
                <w:rFonts w:ascii="宋体"/>
                <w:b/>
                <w:bCs/>
                <w:sz w:val="22"/>
                <w:szCs w:val="22"/>
              </w:rPr>
            </w:pPr>
            <w:r>
              <w:rPr>
                <w:rFonts w:hint="eastAsia" w:ascii="宋体"/>
                <w:b/>
                <w:bCs/>
                <w:sz w:val="22"/>
                <w:szCs w:val="22"/>
                <w:lang w:val="en-US" w:eastAsia="zh-CN"/>
              </w:rPr>
              <w:t>品牌、规格型号</w:t>
            </w:r>
          </w:p>
        </w:tc>
        <w:tc>
          <w:tcPr>
            <w:tcW w:w="1012" w:type="dxa"/>
            <w:vAlign w:val="center"/>
          </w:tcPr>
          <w:p w14:paraId="0D078AF3">
            <w:pPr>
              <w:jc w:val="center"/>
              <w:rPr>
                <w:rFonts w:hint="eastAsia" w:ascii="宋体"/>
                <w:b/>
                <w:bCs/>
                <w:sz w:val="22"/>
                <w:szCs w:val="22"/>
                <w:lang w:val="en-US" w:eastAsia="zh-CN"/>
              </w:rPr>
            </w:pPr>
            <w:r>
              <w:rPr>
                <w:rFonts w:hint="eastAsia" w:ascii="宋体"/>
                <w:b/>
                <w:bCs/>
                <w:sz w:val="22"/>
                <w:szCs w:val="22"/>
                <w:lang w:val="en-US" w:eastAsia="zh-CN"/>
              </w:rPr>
              <w:t>产地</w:t>
            </w:r>
          </w:p>
        </w:tc>
        <w:tc>
          <w:tcPr>
            <w:tcW w:w="1019" w:type="dxa"/>
            <w:vAlign w:val="center"/>
          </w:tcPr>
          <w:p w14:paraId="0B1F957E">
            <w:pPr>
              <w:jc w:val="center"/>
              <w:rPr>
                <w:rFonts w:hint="default" w:ascii="宋体" w:eastAsia="宋体"/>
                <w:b/>
                <w:bCs/>
                <w:sz w:val="22"/>
                <w:szCs w:val="22"/>
                <w:lang w:val="en-US" w:eastAsia="zh-CN"/>
              </w:rPr>
            </w:pPr>
            <w:r>
              <w:rPr>
                <w:rFonts w:hint="eastAsia" w:ascii="宋体" w:hAnsi="宋体"/>
                <w:b/>
                <w:bCs/>
                <w:sz w:val="22"/>
                <w:szCs w:val="22"/>
              </w:rPr>
              <w:t>数量</w:t>
            </w:r>
          </w:p>
        </w:tc>
        <w:tc>
          <w:tcPr>
            <w:tcW w:w="1452" w:type="dxa"/>
            <w:vAlign w:val="center"/>
          </w:tcPr>
          <w:p w14:paraId="1FD521D3">
            <w:pPr>
              <w:jc w:val="center"/>
              <w:rPr>
                <w:rFonts w:hint="eastAsia" w:ascii="宋体" w:eastAsia="宋体"/>
                <w:b/>
                <w:bCs/>
                <w:sz w:val="22"/>
                <w:szCs w:val="22"/>
                <w:lang w:val="en-US" w:eastAsia="zh-CN"/>
              </w:rPr>
            </w:pPr>
            <w:r>
              <w:rPr>
                <w:rFonts w:hint="eastAsia" w:ascii="宋体"/>
                <w:b/>
                <w:bCs/>
                <w:sz w:val="22"/>
                <w:szCs w:val="22"/>
                <w:lang w:val="en-US" w:eastAsia="zh-CN"/>
              </w:rPr>
              <w:t>单价（元）</w:t>
            </w:r>
          </w:p>
        </w:tc>
        <w:tc>
          <w:tcPr>
            <w:tcW w:w="1505" w:type="dxa"/>
            <w:vAlign w:val="center"/>
          </w:tcPr>
          <w:p w14:paraId="38328172">
            <w:pPr>
              <w:jc w:val="center"/>
              <w:rPr>
                <w:rFonts w:hint="eastAsia" w:ascii="宋体" w:eastAsia="宋体"/>
                <w:b/>
                <w:bCs/>
                <w:sz w:val="22"/>
                <w:szCs w:val="22"/>
                <w:lang w:val="en-US" w:eastAsia="zh-CN"/>
              </w:rPr>
            </w:pPr>
            <w:r>
              <w:rPr>
                <w:rFonts w:hint="eastAsia" w:ascii="宋体"/>
                <w:b/>
                <w:bCs/>
                <w:sz w:val="22"/>
                <w:szCs w:val="22"/>
                <w:lang w:val="en-US" w:eastAsia="zh-CN"/>
              </w:rPr>
              <w:t>总价（元）</w:t>
            </w:r>
          </w:p>
        </w:tc>
        <w:tc>
          <w:tcPr>
            <w:tcW w:w="971" w:type="dxa"/>
            <w:vAlign w:val="center"/>
          </w:tcPr>
          <w:p w14:paraId="1941C29F">
            <w:pPr>
              <w:jc w:val="center"/>
              <w:rPr>
                <w:rFonts w:hint="eastAsia" w:ascii="宋体" w:eastAsia="宋体"/>
                <w:b/>
                <w:bCs/>
                <w:sz w:val="22"/>
                <w:szCs w:val="22"/>
                <w:lang w:val="en-US" w:eastAsia="zh-CN"/>
              </w:rPr>
            </w:pPr>
            <w:r>
              <w:rPr>
                <w:rFonts w:hint="eastAsia" w:ascii="宋体"/>
                <w:b/>
                <w:bCs/>
                <w:sz w:val="22"/>
                <w:szCs w:val="22"/>
                <w:lang w:val="en-US" w:eastAsia="zh-CN"/>
              </w:rPr>
              <w:t>备注</w:t>
            </w:r>
          </w:p>
        </w:tc>
        <w:tc>
          <w:tcPr>
            <w:tcW w:w="971" w:type="dxa"/>
            <w:vAlign w:val="center"/>
          </w:tcPr>
          <w:p w14:paraId="02CF67DC">
            <w:pPr>
              <w:jc w:val="center"/>
              <w:rPr>
                <w:rFonts w:hint="eastAsia" w:ascii="宋体"/>
                <w:b/>
                <w:bCs/>
                <w:sz w:val="22"/>
                <w:szCs w:val="22"/>
                <w:lang w:val="en-US" w:eastAsia="zh-CN"/>
              </w:rPr>
            </w:pPr>
            <w:r>
              <w:rPr>
                <w:rFonts w:hint="eastAsia" w:ascii="宋体"/>
                <w:b/>
                <w:bCs/>
                <w:sz w:val="22"/>
                <w:szCs w:val="22"/>
                <w:lang w:val="en-US" w:eastAsia="zh-CN"/>
              </w:rPr>
              <w:t>备注（是否为环境标志产品、节能产品）</w:t>
            </w:r>
          </w:p>
        </w:tc>
      </w:tr>
      <w:tr w14:paraId="78F6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76" w:type="dxa"/>
            <w:vAlign w:val="center"/>
          </w:tcPr>
          <w:p w14:paraId="02ECE140">
            <w:pPr>
              <w:numPr>
                <w:ilvl w:val="0"/>
                <w:numId w:val="5"/>
              </w:numPr>
              <w:jc w:val="center"/>
              <w:rPr>
                <w:rFonts w:ascii="宋体"/>
                <w:sz w:val="22"/>
                <w:szCs w:val="22"/>
              </w:rPr>
            </w:pPr>
          </w:p>
        </w:tc>
        <w:tc>
          <w:tcPr>
            <w:tcW w:w="2071" w:type="dxa"/>
            <w:vAlign w:val="center"/>
          </w:tcPr>
          <w:p w14:paraId="6E9D6CF0">
            <w:pPr>
              <w:widowControl/>
              <w:jc w:val="center"/>
              <w:rPr>
                <w:rFonts w:ascii="宋体"/>
                <w:kern w:val="0"/>
                <w:sz w:val="22"/>
                <w:szCs w:val="22"/>
              </w:rPr>
            </w:pPr>
          </w:p>
        </w:tc>
        <w:tc>
          <w:tcPr>
            <w:tcW w:w="1011" w:type="dxa"/>
            <w:vAlign w:val="center"/>
          </w:tcPr>
          <w:p w14:paraId="4A7D1143">
            <w:pPr>
              <w:rPr>
                <w:rFonts w:ascii="宋体"/>
                <w:sz w:val="22"/>
                <w:szCs w:val="22"/>
              </w:rPr>
            </w:pPr>
          </w:p>
        </w:tc>
        <w:tc>
          <w:tcPr>
            <w:tcW w:w="1012" w:type="dxa"/>
            <w:vAlign w:val="center"/>
          </w:tcPr>
          <w:p w14:paraId="23C7910D">
            <w:pPr>
              <w:rPr>
                <w:rFonts w:ascii="宋体"/>
                <w:sz w:val="22"/>
                <w:szCs w:val="22"/>
              </w:rPr>
            </w:pPr>
          </w:p>
        </w:tc>
        <w:tc>
          <w:tcPr>
            <w:tcW w:w="1019" w:type="dxa"/>
            <w:vAlign w:val="center"/>
          </w:tcPr>
          <w:p w14:paraId="6BB0DF1F">
            <w:pPr>
              <w:jc w:val="center"/>
              <w:rPr>
                <w:rFonts w:hint="default" w:ascii="宋体" w:eastAsia="宋体"/>
                <w:kern w:val="0"/>
                <w:sz w:val="22"/>
                <w:szCs w:val="22"/>
                <w:lang w:val="en-US" w:eastAsia="zh-CN"/>
              </w:rPr>
            </w:pPr>
          </w:p>
        </w:tc>
        <w:tc>
          <w:tcPr>
            <w:tcW w:w="1452" w:type="dxa"/>
            <w:vAlign w:val="center"/>
          </w:tcPr>
          <w:p w14:paraId="6CD2DA89">
            <w:pPr>
              <w:rPr>
                <w:rFonts w:ascii="宋体"/>
                <w:kern w:val="0"/>
                <w:sz w:val="22"/>
                <w:szCs w:val="22"/>
              </w:rPr>
            </w:pPr>
          </w:p>
        </w:tc>
        <w:tc>
          <w:tcPr>
            <w:tcW w:w="1505" w:type="dxa"/>
            <w:vAlign w:val="center"/>
          </w:tcPr>
          <w:p w14:paraId="1414D34D">
            <w:pPr>
              <w:rPr>
                <w:rFonts w:ascii="宋体"/>
                <w:kern w:val="0"/>
                <w:sz w:val="22"/>
                <w:szCs w:val="22"/>
              </w:rPr>
            </w:pPr>
          </w:p>
        </w:tc>
        <w:tc>
          <w:tcPr>
            <w:tcW w:w="971" w:type="dxa"/>
            <w:vAlign w:val="center"/>
          </w:tcPr>
          <w:p w14:paraId="2EB8A1E7">
            <w:pPr>
              <w:rPr>
                <w:rFonts w:ascii="宋体"/>
                <w:kern w:val="0"/>
                <w:sz w:val="22"/>
                <w:szCs w:val="22"/>
              </w:rPr>
            </w:pPr>
          </w:p>
        </w:tc>
        <w:tc>
          <w:tcPr>
            <w:tcW w:w="971" w:type="dxa"/>
            <w:vAlign w:val="center"/>
          </w:tcPr>
          <w:p w14:paraId="6E3485D7">
            <w:pPr>
              <w:rPr>
                <w:rFonts w:ascii="宋体"/>
                <w:kern w:val="0"/>
                <w:sz w:val="22"/>
                <w:szCs w:val="22"/>
              </w:rPr>
            </w:pPr>
          </w:p>
        </w:tc>
      </w:tr>
      <w:tr w14:paraId="3645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76" w:type="dxa"/>
            <w:vAlign w:val="center"/>
          </w:tcPr>
          <w:p w14:paraId="3746EB3C">
            <w:pPr>
              <w:numPr>
                <w:ilvl w:val="0"/>
                <w:numId w:val="5"/>
              </w:numPr>
              <w:jc w:val="center"/>
              <w:rPr>
                <w:rFonts w:ascii="宋体"/>
                <w:sz w:val="22"/>
                <w:szCs w:val="22"/>
              </w:rPr>
            </w:pPr>
          </w:p>
        </w:tc>
        <w:tc>
          <w:tcPr>
            <w:tcW w:w="2071" w:type="dxa"/>
            <w:vAlign w:val="center"/>
          </w:tcPr>
          <w:p w14:paraId="33D309EA">
            <w:pPr>
              <w:widowControl/>
              <w:jc w:val="center"/>
              <w:rPr>
                <w:rFonts w:ascii="宋体"/>
                <w:kern w:val="0"/>
                <w:sz w:val="22"/>
                <w:szCs w:val="22"/>
              </w:rPr>
            </w:pPr>
          </w:p>
        </w:tc>
        <w:tc>
          <w:tcPr>
            <w:tcW w:w="1011" w:type="dxa"/>
            <w:vAlign w:val="center"/>
          </w:tcPr>
          <w:p w14:paraId="39C2ED2C">
            <w:pPr>
              <w:rPr>
                <w:rFonts w:ascii="宋体"/>
                <w:sz w:val="22"/>
                <w:szCs w:val="22"/>
              </w:rPr>
            </w:pPr>
          </w:p>
        </w:tc>
        <w:tc>
          <w:tcPr>
            <w:tcW w:w="1012" w:type="dxa"/>
            <w:vAlign w:val="center"/>
          </w:tcPr>
          <w:p w14:paraId="3455C5A0">
            <w:pPr>
              <w:rPr>
                <w:rFonts w:ascii="宋体"/>
                <w:sz w:val="22"/>
                <w:szCs w:val="22"/>
              </w:rPr>
            </w:pPr>
          </w:p>
        </w:tc>
        <w:tc>
          <w:tcPr>
            <w:tcW w:w="1019" w:type="dxa"/>
            <w:vAlign w:val="center"/>
          </w:tcPr>
          <w:p w14:paraId="55951611">
            <w:pPr>
              <w:jc w:val="center"/>
              <w:rPr>
                <w:rFonts w:hint="default" w:ascii="宋体" w:eastAsia="宋体"/>
                <w:kern w:val="0"/>
                <w:sz w:val="22"/>
                <w:szCs w:val="22"/>
                <w:lang w:val="en-US" w:eastAsia="zh-CN"/>
              </w:rPr>
            </w:pPr>
          </w:p>
        </w:tc>
        <w:tc>
          <w:tcPr>
            <w:tcW w:w="1452" w:type="dxa"/>
            <w:vAlign w:val="center"/>
          </w:tcPr>
          <w:p w14:paraId="36FA7EC5">
            <w:pPr>
              <w:rPr>
                <w:rFonts w:ascii="宋体"/>
                <w:kern w:val="0"/>
                <w:sz w:val="22"/>
                <w:szCs w:val="22"/>
              </w:rPr>
            </w:pPr>
          </w:p>
        </w:tc>
        <w:tc>
          <w:tcPr>
            <w:tcW w:w="1505" w:type="dxa"/>
            <w:vAlign w:val="center"/>
          </w:tcPr>
          <w:p w14:paraId="3FED4EF6">
            <w:pPr>
              <w:rPr>
                <w:rFonts w:ascii="宋体"/>
                <w:kern w:val="0"/>
                <w:sz w:val="22"/>
                <w:szCs w:val="22"/>
              </w:rPr>
            </w:pPr>
          </w:p>
        </w:tc>
        <w:tc>
          <w:tcPr>
            <w:tcW w:w="971" w:type="dxa"/>
            <w:vAlign w:val="center"/>
          </w:tcPr>
          <w:p w14:paraId="64D48A5B">
            <w:pPr>
              <w:rPr>
                <w:rFonts w:ascii="宋体"/>
                <w:kern w:val="0"/>
                <w:sz w:val="22"/>
                <w:szCs w:val="22"/>
              </w:rPr>
            </w:pPr>
          </w:p>
        </w:tc>
        <w:tc>
          <w:tcPr>
            <w:tcW w:w="971" w:type="dxa"/>
            <w:vAlign w:val="center"/>
          </w:tcPr>
          <w:p w14:paraId="2E8E9B37">
            <w:pPr>
              <w:rPr>
                <w:rFonts w:ascii="宋体"/>
                <w:kern w:val="0"/>
                <w:sz w:val="22"/>
                <w:szCs w:val="22"/>
              </w:rPr>
            </w:pPr>
          </w:p>
        </w:tc>
      </w:tr>
      <w:tr w14:paraId="5840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589" w:type="dxa"/>
            <w:gridSpan w:val="5"/>
            <w:vAlign w:val="center"/>
          </w:tcPr>
          <w:p w14:paraId="1C7AB09A">
            <w:pPr>
              <w:jc w:val="center"/>
              <w:rPr>
                <w:rFonts w:ascii="宋体"/>
                <w:sz w:val="22"/>
                <w:szCs w:val="22"/>
              </w:rPr>
            </w:pPr>
            <w:r>
              <w:rPr>
                <w:rFonts w:hint="eastAsia" w:ascii="宋体" w:hAnsi="宋体"/>
                <w:sz w:val="22"/>
                <w:szCs w:val="22"/>
                <w:lang w:val="en-US" w:eastAsia="zh-CN"/>
              </w:rPr>
              <w:t>合计（总报价）</w:t>
            </w:r>
          </w:p>
        </w:tc>
        <w:tc>
          <w:tcPr>
            <w:tcW w:w="1452" w:type="dxa"/>
            <w:vAlign w:val="center"/>
          </w:tcPr>
          <w:p w14:paraId="4677BED4">
            <w:pPr>
              <w:jc w:val="center"/>
              <w:rPr>
                <w:rFonts w:hint="eastAsia" w:ascii="宋体" w:hAnsi="宋体"/>
                <w:sz w:val="22"/>
                <w:szCs w:val="22"/>
                <w:lang w:val="en-US" w:eastAsia="zh-CN"/>
              </w:rPr>
            </w:pPr>
          </w:p>
        </w:tc>
        <w:tc>
          <w:tcPr>
            <w:tcW w:w="1505" w:type="dxa"/>
            <w:vAlign w:val="center"/>
          </w:tcPr>
          <w:p w14:paraId="6440CA16">
            <w:pPr>
              <w:jc w:val="left"/>
              <w:rPr>
                <w:rFonts w:ascii="宋体"/>
                <w:sz w:val="22"/>
                <w:szCs w:val="22"/>
              </w:rPr>
            </w:pPr>
          </w:p>
        </w:tc>
        <w:tc>
          <w:tcPr>
            <w:tcW w:w="971" w:type="dxa"/>
            <w:vAlign w:val="center"/>
          </w:tcPr>
          <w:p w14:paraId="18EB515E">
            <w:pPr>
              <w:jc w:val="left"/>
              <w:rPr>
                <w:rFonts w:ascii="宋体"/>
                <w:sz w:val="22"/>
                <w:szCs w:val="22"/>
              </w:rPr>
            </w:pPr>
          </w:p>
        </w:tc>
        <w:tc>
          <w:tcPr>
            <w:tcW w:w="971" w:type="dxa"/>
            <w:vAlign w:val="center"/>
          </w:tcPr>
          <w:p w14:paraId="4B433BF4">
            <w:pPr>
              <w:jc w:val="left"/>
              <w:rPr>
                <w:rFonts w:ascii="宋体"/>
                <w:sz w:val="22"/>
                <w:szCs w:val="22"/>
              </w:rPr>
            </w:pPr>
          </w:p>
        </w:tc>
      </w:tr>
      <w:tr w14:paraId="7635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89" w:type="dxa"/>
            <w:gridSpan w:val="5"/>
            <w:vAlign w:val="center"/>
          </w:tcPr>
          <w:p w14:paraId="2DD8331D">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sz w:val="22"/>
                <w:szCs w:val="22"/>
                <w:lang w:val="en-US" w:eastAsia="zh-CN"/>
              </w:rPr>
            </w:pPr>
            <w:r>
              <w:rPr>
                <w:rFonts w:hint="eastAsia" w:ascii="宋体" w:hAnsi="宋体" w:eastAsia="宋体" w:cs="宋体"/>
                <w:b w:val="0"/>
                <w:bCs w:val="0"/>
                <w:color w:val="auto"/>
                <w:sz w:val="21"/>
                <w:szCs w:val="21"/>
              </w:rPr>
              <w:t>其中：1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rPr>
              <w:t>环境标志产品报价合计</w:t>
            </w:r>
          </w:p>
        </w:tc>
        <w:tc>
          <w:tcPr>
            <w:tcW w:w="1452" w:type="dxa"/>
            <w:vAlign w:val="center"/>
          </w:tcPr>
          <w:p w14:paraId="12AF17DA">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z w:val="21"/>
                <w:szCs w:val="21"/>
              </w:rPr>
            </w:pPr>
          </w:p>
        </w:tc>
        <w:tc>
          <w:tcPr>
            <w:tcW w:w="1505" w:type="dxa"/>
            <w:vAlign w:val="center"/>
          </w:tcPr>
          <w:p w14:paraId="27454DEF">
            <w:pPr>
              <w:jc w:val="left"/>
              <w:rPr>
                <w:rFonts w:ascii="宋体"/>
                <w:sz w:val="22"/>
                <w:szCs w:val="22"/>
              </w:rPr>
            </w:pPr>
          </w:p>
        </w:tc>
        <w:tc>
          <w:tcPr>
            <w:tcW w:w="971" w:type="dxa"/>
            <w:vAlign w:val="center"/>
          </w:tcPr>
          <w:p w14:paraId="58485FB0">
            <w:pPr>
              <w:jc w:val="left"/>
              <w:rPr>
                <w:rFonts w:ascii="宋体"/>
                <w:sz w:val="22"/>
                <w:szCs w:val="22"/>
              </w:rPr>
            </w:pPr>
          </w:p>
        </w:tc>
        <w:tc>
          <w:tcPr>
            <w:tcW w:w="971" w:type="dxa"/>
            <w:vAlign w:val="center"/>
          </w:tcPr>
          <w:p w14:paraId="0436E206">
            <w:pPr>
              <w:jc w:val="left"/>
              <w:rPr>
                <w:rFonts w:ascii="宋体"/>
                <w:sz w:val="22"/>
                <w:szCs w:val="22"/>
              </w:rPr>
            </w:pPr>
          </w:p>
        </w:tc>
      </w:tr>
      <w:tr w14:paraId="24EB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89" w:type="dxa"/>
            <w:gridSpan w:val="5"/>
            <w:vAlign w:val="center"/>
          </w:tcPr>
          <w:p w14:paraId="20187EE9">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sz w:val="22"/>
                <w:szCs w:val="22"/>
                <w:lang w:val="en-US" w:eastAsia="zh-CN"/>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rPr>
              <w:t>节能产品报价合计</w:t>
            </w:r>
          </w:p>
        </w:tc>
        <w:tc>
          <w:tcPr>
            <w:tcW w:w="1452" w:type="dxa"/>
            <w:vAlign w:val="center"/>
          </w:tcPr>
          <w:p w14:paraId="07A52974">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z w:val="21"/>
                <w:szCs w:val="21"/>
              </w:rPr>
            </w:pPr>
          </w:p>
        </w:tc>
        <w:tc>
          <w:tcPr>
            <w:tcW w:w="1505" w:type="dxa"/>
            <w:vAlign w:val="center"/>
          </w:tcPr>
          <w:p w14:paraId="08D68469">
            <w:pPr>
              <w:jc w:val="left"/>
              <w:rPr>
                <w:rFonts w:ascii="宋体"/>
                <w:sz w:val="22"/>
                <w:szCs w:val="22"/>
              </w:rPr>
            </w:pPr>
          </w:p>
        </w:tc>
        <w:tc>
          <w:tcPr>
            <w:tcW w:w="971" w:type="dxa"/>
            <w:vAlign w:val="center"/>
          </w:tcPr>
          <w:p w14:paraId="2AB5C927">
            <w:pPr>
              <w:jc w:val="left"/>
              <w:rPr>
                <w:rFonts w:ascii="宋体"/>
                <w:sz w:val="22"/>
                <w:szCs w:val="22"/>
              </w:rPr>
            </w:pPr>
          </w:p>
        </w:tc>
        <w:tc>
          <w:tcPr>
            <w:tcW w:w="971" w:type="dxa"/>
            <w:vAlign w:val="center"/>
          </w:tcPr>
          <w:p w14:paraId="745E1400">
            <w:pPr>
              <w:jc w:val="left"/>
              <w:rPr>
                <w:rFonts w:ascii="宋体"/>
                <w:sz w:val="22"/>
                <w:szCs w:val="22"/>
              </w:rPr>
            </w:pPr>
          </w:p>
        </w:tc>
      </w:tr>
    </w:tbl>
    <w:p w14:paraId="5BD64AF7">
      <w:pPr>
        <w:pStyle w:val="30"/>
        <w:keepNext w:val="0"/>
        <w:keepLines w:val="0"/>
        <w:pageBreakBefore w:val="0"/>
        <w:widowControl w:val="0"/>
        <w:tabs>
          <w:tab w:val="left" w:pos="1691"/>
          <w:tab w:val="left" w:pos="2975"/>
          <w:tab w:val="left" w:pos="3815"/>
          <w:tab w:val="left" w:pos="4535"/>
          <w:tab w:val="left" w:pos="4655"/>
        </w:tabs>
        <w:kinsoku/>
        <w:wordWrap/>
        <w:overflowPunct/>
        <w:topLinePunct w:val="0"/>
        <w:autoSpaceDE/>
        <w:autoSpaceDN/>
        <w:bidi w:val="0"/>
        <w:snapToGrid/>
        <w:spacing w:after="0" w:line="240" w:lineRule="auto"/>
        <w:ind w:firstLine="480" w:firstLineChars="200"/>
        <w:textAlignment w:val="auto"/>
        <w:rPr>
          <w:rFonts w:hint="eastAsia" w:ascii="宋体" w:hAnsi="宋体" w:cs="宋体"/>
          <w:sz w:val="24"/>
          <w:lang w:val="en-US" w:eastAsia="zh-CN"/>
        </w:rPr>
      </w:pPr>
    </w:p>
    <w:p w14:paraId="4752F97B">
      <w:pPr>
        <w:pStyle w:val="30"/>
        <w:keepNext w:val="0"/>
        <w:keepLines w:val="0"/>
        <w:pageBreakBefore w:val="0"/>
        <w:widowControl w:val="0"/>
        <w:tabs>
          <w:tab w:val="left" w:pos="1691"/>
          <w:tab w:val="left" w:pos="2975"/>
          <w:tab w:val="left" w:pos="3815"/>
          <w:tab w:val="left" w:pos="4535"/>
          <w:tab w:val="left" w:pos="4655"/>
        </w:tabs>
        <w:kinsoku/>
        <w:wordWrap/>
        <w:overflowPunct/>
        <w:topLinePunct w:val="0"/>
        <w:autoSpaceDE/>
        <w:autoSpaceDN/>
        <w:bidi w:val="0"/>
        <w:snapToGrid/>
        <w:spacing w:after="0" w:line="24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注：供应商可根据所投设备实际情况增加表格内容，报价保留两位小数。</w:t>
      </w:r>
    </w:p>
    <w:p w14:paraId="6C5C22BA">
      <w:pPr>
        <w:pStyle w:val="30"/>
        <w:keepNext w:val="0"/>
        <w:keepLines w:val="0"/>
        <w:pageBreakBefore w:val="0"/>
        <w:widowControl w:val="0"/>
        <w:tabs>
          <w:tab w:val="left" w:pos="1691"/>
          <w:tab w:val="left" w:pos="2975"/>
          <w:tab w:val="left" w:pos="3815"/>
          <w:tab w:val="left" w:pos="4535"/>
          <w:tab w:val="left" w:pos="4655"/>
        </w:tabs>
        <w:kinsoku/>
        <w:wordWrap/>
        <w:overflowPunct/>
        <w:topLinePunct w:val="0"/>
        <w:autoSpaceDE/>
        <w:autoSpaceDN/>
        <w:bidi w:val="0"/>
        <w:snapToGrid/>
        <w:spacing w:after="0" w:line="240" w:lineRule="auto"/>
        <w:ind w:firstLine="480" w:firstLineChars="200"/>
        <w:textAlignment w:val="auto"/>
        <w:rPr>
          <w:rFonts w:hint="eastAsia" w:ascii="宋体" w:hAnsi="宋体" w:cs="宋体"/>
          <w:sz w:val="24"/>
          <w:lang w:val="en-US" w:eastAsia="zh-CN"/>
        </w:rPr>
      </w:pPr>
    </w:p>
    <w:p w14:paraId="70A6BF88">
      <w:pPr>
        <w:pStyle w:val="30"/>
        <w:keepNext w:val="0"/>
        <w:keepLines w:val="0"/>
        <w:pageBreakBefore w:val="0"/>
        <w:widowControl w:val="0"/>
        <w:tabs>
          <w:tab w:val="left" w:pos="1691"/>
          <w:tab w:val="left" w:pos="2975"/>
          <w:tab w:val="left" w:pos="3815"/>
          <w:tab w:val="left" w:pos="4535"/>
          <w:tab w:val="left" w:pos="4655"/>
        </w:tabs>
        <w:kinsoku/>
        <w:wordWrap/>
        <w:overflowPunct/>
        <w:topLinePunct w:val="0"/>
        <w:autoSpaceDE/>
        <w:autoSpaceDN/>
        <w:bidi w:val="0"/>
        <w:snapToGrid/>
        <w:spacing w:after="0" w:line="240" w:lineRule="auto"/>
        <w:ind w:firstLine="480" w:firstLineChars="200"/>
        <w:textAlignment w:val="auto"/>
        <w:rPr>
          <w:rFonts w:hint="eastAsia" w:ascii="宋体" w:hAnsi="宋体" w:cs="宋体"/>
          <w:sz w:val="24"/>
          <w:lang w:val="en-US" w:eastAsia="zh-CN"/>
        </w:rPr>
      </w:pPr>
    </w:p>
    <w:p w14:paraId="087F5CD9">
      <w:pPr>
        <w:pStyle w:val="30"/>
        <w:keepNext w:val="0"/>
        <w:keepLines w:val="0"/>
        <w:pageBreakBefore w:val="0"/>
        <w:widowControl w:val="0"/>
        <w:tabs>
          <w:tab w:val="left" w:pos="1691"/>
          <w:tab w:val="left" w:pos="2975"/>
          <w:tab w:val="left" w:pos="3815"/>
          <w:tab w:val="left" w:pos="4535"/>
          <w:tab w:val="left" w:pos="4655"/>
        </w:tabs>
        <w:kinsoku/>
        <w:wordWrap/>
        <w:overflowPunct/>
        <w:topLinePunct w:val="0"/>
        <w:autoSpaceDE/>
        <w:autoSpaceDN/>
        <w:bidi w:val="0"/>
        <w:snapToGrid/>
        <w:spacing w:after="0" w:line="240" w:lineRule="auto"/>
        <w:ind w:firstLine="480" w:firstLineChars="200"/>
        <w:textAlignment w:val="auto"/>
        <w:rPr>
          <w:rFonts w:hint="eastAsia" w:ascii="宋体" w:hAnsi="宋体" w:cs="宋体"/>
          <w:sz w:val="24"/>
          <w:lang w:val="en-US" w:eastAsia="zh-CN"/>
        </w:rPr>
      </w:pPr>
    </w:p>
    <w:p w14:paraId="7D427B66">
      <w:pPr>
        <w:pStyle w:val="30"/>
        <w:keepNext w:val="0"/>
        <w:keepLines w:val="0"/>
        <w:pageBreakBefore w:val="0"/>
        <w:widowControl w:val="0"/>
        <w:tabs>
          <w:tab w:val="left" w:pos="1691"/>
          <w:tab w:val="left" w:pos="2975"/>
          <w:tab w:val="left" w:pos="3815"/>
          <w:tab w:val="left" w:pos="4535"/>
          <w:tab w:val="left" w:pos="4655"/>
        </w:tabs>
        <w:kinsoku/>
        <w:wordWrap/>
        <w:overflowPunct/>
        <w:topLinePunct w:val="0"/>
        <w:autoSpaceDE/>
        <w:autoSpaceDN/>
        <w:bidi w:val="0"/>
        <w:snapToGrid/>
        <w:spacing w:after="0" w:line="24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供应商：</w:t>
      </w:r>
      <w:r>
        <w:rPr>
          <w:rFonts w:hint="eastAsia" w:ascii="宋体" w:hAnsi="宋体" w:cs="宋体"/>
          <w:sz w:val="24"/>
          <w:u w:val="single"/>
          <w:lang w:val="en-US" w:eastAsia="zh-CN"/>
        </w:rPr>
        <w:t xml:space="preserve"> </w:t>
      </w:r>
      <w:r>
        <w:rPr>
          <w:rFonts w:hint="eastAsia" w:ascii="宋体" w:hAnsi="宋体" w:cs="宋体"/>
          <w:sz w:val="24"/>
          <w:u w:val="single"/>
          <w:lang w:val="en-US" w:eastAsia="zh-CN"/>
        </w:rPr>
        <w:tab/>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（公章） </w:t>
      </w:r>
    </w:p>
    <w:p w14:paraId="72AAEDB0">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cs="宋体"/>
          <w:sz w:val="24"/>
        </w:rPr>
      </w:pPr>
      <w:r>
        <w:rPr>
          <w:rFonts w:hint="eastAsia" w:ascii="宋体" w:hAnsi="宋体" w:cs="宋体"/>
          <w:sz w:val="24"/>
        </w:rPr>
        <w:t xml:space="preserve">法定代表人或授权委托人（签字或盖章）： </w:t>
      </w:r>
    </w:p>
    <w:p w14:paraId="27B4E1C1">
      <w:pPr>
        <w:pStyle w:val="30"/>
        <w:keepNext w:val="0"/>
        <w:keepLines w:val="0"/>
        <w:pageBreakBefore w:val="0"/>
        <w:widowControl w:val="0"/>
        <w:tabs>
          <w:tab w:val="left" w:pos="1691"/>
          <w:tab w:val="left" w:pos="2975"/>
          <w:tab w:val="left" w:pos="3815"/>
          <w:tab w:val="left" w:pos="4535"/>
          <w:tab w:val="left" w:pos="4655"/>
        </w:tabs>
        <w:kinsoku/>
        <w:wordWrap/>
        <w:overflowPunct/>
        <w:topLinePunct w:val="0"/>
        <w:autoSpaceDE/>
        <w:autoSpaceDN/>
        <w:bidi w:val="0"/>
        <w:snapToGrid/>
        <w:spacing w:after="0" w:line="240" w:lineRule="auto"/>
        <w:ind w:firstLine="480" w:firstLineChars="200"/>
        <w:textAlignment w:val="auto"/>
        <w:rPr>
          <w:rFonts w:hint="eastAsia" w:ascii="宋体" w:hAnsi="宋体" w:cs="宋体"/>
          <w:sz w:val="24"/>
          <w:u w:val="single"/>
          <w:lang w:val="en-US" w:eastAsia="zh-CN"/>
        </w:rPr>
      </w:pPr>
      <w:r>
        <w:rPr>
          <w:rFonts w:hint="eastAsia" w:ascii="宋体" w:hAnsi="宋体" w:cs="宋体"/>
          <w:sz w:val="24"/>
          <w:lang w:val="en-US" w:eastAsia="zh-CN"/>
        </w:rPr>
        <w:t xml:space="preserve">日   期： </w:t>
      </w:r>
      <w:r>
        <w:rPr>
          <w:rFonts w:hint="eastAsia" w:ascii="宋体" w:hAnsi="宋体" w:cs="宋体"/>
          <w:sz w:val="24"/>
          <w:u w:val="single"/>
          <w:lang w:val="en-US" w:eastAsia="zh-CN"/>
        </w:rPr>
        <w:t xml:space="preserve"> </w:t>
      </w:r>
      <w:r>
        <w:rPr>
          <w:rFonts w:hint="eastAsia" w:ascii="宋体" w:hAnsi="宋体" w:cs="宋体"/>
          <w:sz w:val="24"/>
          <w:u w:val="single"/>
          <w:lang w:val="en-US" w:eastAsia="zh-CN"/>
        </w:rPr>
        <w:tab/>
      </w:r>
      <w:r>
        <w:rPr>
          <w:rFonts w:hint="eastAsia" w:ascii="宋体" w:hAnsi="宋体" w:cs="宋体"/>
          <w:sz w:val="24"/>
          <w:lang w:val="en-US" w:eastAsia="zh-CN"/>
        </w:rPr>
        <w:t>年</w:t>
      </w:r>
      <w:r>
        <w:rPr>
          <w:rFonts w:hint="eastAsia" w:ascii="宋体" w:hAnsi="宋体" w:cs="宋体"/>
          <w:sz w:val="24"/>
          <w:u w:val="single"/>
          <w:lang w:val="en-US" w:eastAsia="zh-CN"/>
        </w:rPr>
        <w:t xml:space="preserve">       </w:t>
      </w:r>
      <w:r>
        <w:rPr>
          <w:rFonts w:hint="eastAsia" w:ascii="宋体" w:hAnsi="宋体" w:cs="宋体"/>
          <w:sz w:val="24"/>
          <w:lang w:val="en-US" w:eastAsia="zh-CN"/>
        </w:rPr>
        <w:t>月</w:t>
      </w:r>
      <w:r>
        <w:rPr>
          <w:rFonts w:hint="eastAsia" w:ascii="宋体" w:hAnsi="宋体" w:cs="宋体"/>
          <w:sz w:val="24"/>
          <w:u w:val="single"/>
          <w:lang w:val="en-US" w:eastAsia="zh-CN"/>
        </w:rPr>
        <w:t xml:space="preserve">        日</w:t>
      </w:r>
    </w:p>
    <w:p w14:paraId="6A062168">
      <w:pPr>
        <w:rPr>
          <w:rFonts w:hint="eastAsia" w:ascii="宋体" w:hAnsi="宋体" w:cs="宋体"/>
          <w:sz w:val="24"/>
          <w:u w:val="single"/>
          <w:lang w:val="en-US" w:eastAsia="zh-CN"/>
        </w:rPr>
      </w:pPr>
      <w:r>
        <w:rPr>
          <w:rFonts w:hint="eastAsia" w:ascii="宋体" w:hAnsi="宋体" w:cs="宋体"/>
          <w:sz w:val="24"/>
          <w:u w:val="single"/>
          <w:lang w:val="en-US" w:eastAsia="zh-CN"/>
        </w:rPr>
        <w:br w:type="page"/>
      </w:r>
    </w:p>
    <w:bookmarkEnd w:id="314"/>
    <w:p w14:paraId="4A2D1334">
      <w:pPr>
        <w:pStyle w:val="3"/>
        <w:bidi w:val="0"/>
        <w:jc w:val="center"/>
        <w:rPr>
          <w:rFonts w:hint="eastAsia" w:cs="Times New Roman"/>
          <w:lang w:eastAsia="zh-CN"/>
        </w:rPr>
      </w:pPr>
      <w:r>
        <w:rPr>
          <w:rFonts w:hint="eastAsia" w:cs="Times New Roman"/>
          <w:lang w:eastAsia="zh-CN"/>
        </w:rPr>
        <w:t>五、资格审查资料</w:t>
      </w:r>
    </w:p>
    <w:p w14:paraId="366B2136">
      <w:pPr>
        <w:pStyle w:val="30"/>
        <w:tabs>
          <w:tab w:val="left" w:pos="1691"/>
          <w:tab w:val="left" w:pos="2975"/>
          <w:tab w:val="left" w:pos="3815"/>
          <w:tab w:val="left" w:pos="4535"/>
          <w:tab w:val="left" w:pos="4655"/>
        </w:tabs>
        <w:spacing w:afterLines="50" w:line="360" w:lineRule="auto"/>
        <w:ind w:firstLine="480" w:firstLineChars="200"/>
        <w:jc w:val="center"/>
        <w:rPr>
          <w:rStyle w:val="247"/>
          <w:rFonts w:hint="eastAsia"/>
          <w:b w:val="0"/>
          <w:bCs w:val="0"/>
          <w:sz w:val="24"/>
          <w:szCs w:val="24"/>
        </w:rPr>
      </w:pPr>
      <w:r>
        <w:rPr>
          <w:rStyle w:val="247"/>
          <w:rFonts w:hint="eastAsia"/>
          <w:b w:val="0"/>
          <w:bCs w:val="0"/>
          <w:sz w:val="24"/>
          <w:szCs w:val="24"/>
        </w:rPr>
        <w:t>供应商基本情况表</w:t>
      </w:r>
      <w:bookmarkEnd w:id="315"/>
      <w:bookmarkEnd w:id="316"/>
    </w:p>
    <w:bookmarkEnd w:id="321"/>
    <w:tbl>
      <w:tblPr>
        <w:tblStyle w:val="76"/>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3507"/>
        <w:gridCol w:w="2674"/>
        <w:gridCol w:w="1921"/>
      </w:tblGrid>
      <w:tr w14:paraId="5F8C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752" w:type="dxa"/>
            <w:noWrap w:val="0"/>
            <w:vAlign w:val="center"/>
          </w:tcPr>
          <w:p w14:paraId="2FDC9A5D">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名称</w:t>
            </w:r>
          </w:p>
        </w:tc>
        <w:tc>
          <w:tcPr>
            <w:tcW w:w="3507" w:type="dxa"/>
            <w:noWrap w:val="0"/>
            <w:vAlign w:val="center"/>
          </w:tcPr>
          <w:p w14:paraId="0BDB5B84">
            <w:pPr>
              <w:keepNext w:val="0"/>
              <w:keepLines w:val="0"/>
              <w:suppressLineNumbers w:val="0"/>
              <w:spacing w:before="0" w:beforeAutospacing="0" w:after="0" w:afterAutospacing="0" w:line="360" w:lineRule="auto"/>
              <w:ind w:left="0" w:right="0"/>
              <w:rPr>
                <w:rFonts w:hint="eastAsia" w:ascii="宋体" w:hAnsi="宋体" w:cs="宋体"/>
                <w:sz w:val="24"/>
              </w:rPr>
            </w:pPr>
          </w:p>
        </w:tc>
        <w:tc>
          <w:tcPr>
            <w:tcW w:w="2674" w:type="dxa"/>
            <w:noWrap w:val="0"/>
            <w:vAlign w:val="center"/>
          </w:tcPr>
          <w:p w14:paraId="02D125C5">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主要业务</w:t>
            </w:r>
          </w:p>
        </w:tc>
        <w:tc>
          <w:tcPr>
            <w:tcW w:w="1921" w:type="dxa"/>
            <w:noWrap w:val="0"/>
            <w:vAlign w:val="center"/>
          </w:tcPr>
          <w:p w14:paraId="5015706C">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411E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752" w:type="dxa"/>
            <w:noWrap w:val="0"/>
            <w:vAlign w:val="center"/>
          </w:tcPr>
          <w:p w14:paraId="7E25873F">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注册资金</w:t>
            </w:r>
          </w:p>
        </w:tc>
        <w:tc>
          <w:tcPr>
            <w:tcW w:w="3507" w:type="dxa"/>
            <w:noWrap w:val="0"/>
            <w:vAlign w:val="center"/>
          </w:tcPr>
          <w:p w14:paraId="25681CF2">
            <w:pPr>
              <w:keepNext w:val="0"/>
              <w:keepLines w:val="0"/>
              <w:suppressLineNumbers w:val="0"/>
              <w:spacing w:before="0" w:beforeAutospacing="0" w:after="0" w:afterAutospacing="0" w:line="360" w:lineRule="auto"/>
              <w:ind w:left="0" w:right="0"/>
              <w:rPr>
                <w:rFonts w:hint="eastAsia" w:ascii="宋体" w:hAnsi="宋体" w:cs="宋体"/>
                <w:bCs/>
                <w:sz w:val="24"/>
              </w:rPr>
            </w:pPr>
          </w:p>
        </w:tc>
        <w:tc>
          <w:tcPr>
            <w:tcW w:w="2674" w:type="dxa"/>
            <w:noWrap w:val="0"/>
            <w:vAlign w:val="center"/>
          </w:tcPr>
          <w:p w14:paraId="43B1EE68">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现有职工人数</w:t>
            </w:r>
          </w:p>
        </w:tc>
        <w:tc>
          <w:tcPr>
            <w:tcW w:w="1921" w:type="dxa"/>
            <w:noWrap w:val="0"/>
            <w:vAlign w:val="center"/>
          </w:tcPr>
          <w:p w14:paraId="5C2BD593">
            <w:pPr>
              <w:keepNext w:val="0"/>
              <w:keepLines w:val="0"/>
              <w:suppressLineNumbers w:val="0"/>
              <w:spacing w:before="0" w:beforeAutospacing="0" w:after="0" w:afterAutospacing="0" w:line="360" w:lineRule="auto"/>
              <w:ind w:left="0" w:right="0"/>
              <w:rPr>
                <w:rFonts w:hint="eastAsia" w:ascii="宋体" w:hAnsi="宋体" w:cs="宋体"/>
                <w:sz w:val="24"/>
              </w:rPr>
            </w:pPr>
          </w:p>
        </w:tc>
      </w:tr>
      <w:tr w14:paraId="74FF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752" w:type="dxa"/>
            <w:noWrap w:val="0"/>
            <w:vAlign w:val="center"/>
          </w:tcPr>
          <w:p w14:paraId="5C3BC18A">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营业执照</w:t>
            </w:r>
          </w:p>
        </w:tc>
        <w:tc>
          <w:tcPr>
            <w:tcW w:w="8102" w:type="dxa"/>
            <w:gridSpan w:val="3"/>
            <w:noWrap w:val="0"/>
            <w:vAlign w:val="center"/>
          </w:tcPr>
          <w:p w14:paraId="2DC8AA2C">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1.执照编号</w:t>
            </w:r>
            <w:r>
              <w:rPr>
                <w:rFonts w:hint="eastAsia" w:ascii="宋体" w:hAnsi="宋体" w:cs="宋体"/>
                <w:bCs/>
                <w:sz w:val="24"/>
                <w:u w:val="single"/>
              </w:rPr>
              <w:t xml:space="preserve">               </w:t>
            </w:r>
            <w:r>
              <w:rPr>
                <w:rFonts w:hint="eastAsia" w:ascii="宋体" w:hAnsi="宋体" w:cs="宋体"/>
                <w:bCs/>
                <w:sz w:val="24"/>
              </w:rPr>
              <w:t xml:space="preserve">   2.营业范围</w:t>
            </w:r>
            <w:r>
              <w:rPr>
                <w:rFonts w:hint="eastAsia" w:ascii="宋体" w:hAnsi="宋体" w:cs="宋体"/>
                <w:bCs/>
                <w:sz w:val="24"/>
                <w:u w:val="single"/>
              </w:rPr>
              <w:t xml:space="preserve">                      </w:t>
            </w:r>
          </w:p>
        </w:tc>
      </w:tr>
      <w:tr w14:paraId="1B60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752" w:type="dxa"/>
            <w:noWrap w:val="0"/>
            <w:vAlign w:val="center"/>
          </w:tcPr>
          <w:p w14:paraId="6529AEE2">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单位注册地址</w:t>
            </w:r>
          </w:p>
        </w:tc>
        <w:tc>
          <w:tcPr>
            <w:tcW w:w="3507" w:type="dxa"/>
            <w:noWrap w:val="0"/>
            <w:vAlign w:val="center"/>
          </w:tcPr>
          <w:p w14:paraId="678E3ADF">
            <w:pPr>
              <w:keepNext w:val="0"/>
              <w:keepLines w:val="0"/>
              <w:suppressLineNumbers w:val="0"/>
              <w:spacing w:before="0" w:beforeAutospacing="0" w:after="0" w:afterAutospacing="0" w:line="360" w:lineRule="auto"/>
              <w:ind w:left="0" w:right="0"/>
              <w:rPr>
                <w:rFonts w:hint="eastAsia" w:ascii="宋体" w:hAnsi="宋体" w:cs="宋体"/>
                <w:bCs/>
                <w:sz w:val="24"/>
              </w:rPr>
            </w:pPr>
          </w:p>
        </w:tc>
        <w:tc>
          <w:tcPr>
            <w:tcW w:w="2674" w:type="dxa"/>
            <w:noWrap w:val="0"/>
            <w:vAlign w:val="center"/>
          </w:tcPr>
          <w:p w14:paraId="2150DA98">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单位联系方式</w:t>
            </w:r>
          </w:p>
        </w:tc>
        <w:tc>
          <w:tcPr>
            <w:tcW w:w="1921" w:type="dxa"/>
            <w:noWrap w:val="0"/>
            <w:vAlign w:val="center"/>
          </w:tcPr>
          <w:p w14:paraId="35322365">
            <w:pPr>
              <w:keepNext w:val="0"/>
              <w:keepLines w:val="0"/>
              <w:suppressLineNumbers w:val="0"/>
              <w:spacing w:before="0" w:beforeAutospacing="0" w:after="0" w:afterAutospacing="0" w:line="360" w:lineRule="auto"/>
              <w:ind w:left="0" w:right="0"/>
              <w:rPr>
                <w:rFonts w:hint="eastAsia" w:ascii="宋体" w:hAnsi="宋体" w:cs="宋体"/>
                <w:bCs/>
                <w:sz w:val="24"/>
              </w:rPr>
            </w:pPr>
          </w:p>
        </w:tc>
      </w:tr>
      <w:tr w14:paraId="3F84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52" w:type="dxa"/>
            <w:noWrap w:val="0"/>
            <w:vAlign w:val="center"/>
          </w:tcPr>
          <w:p w14:paraId="619EACAE">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单位成立时间</w:t>
            </w:r>
          </w:p>
        </w:tc>
        <w:tc>
          <w:tcPr>
            <w:tcW w:w="8102" w:type="dxa"/>
            <w:gridSpan w:val="3"/>
            <w:noWrap w:val="0"/>
            <w:vAlign w:val="center"/>
          </w:tcPr>
          <w:p w14:paraId="4828AA44">
            <w:pPr>
              <w:keepNext w:val="0"/>
              <w:keepLines w:val="0"/>
              <w:suppressLineNumbers w:val="0"/>
              <w:spacing w:before="0" w:beforeAutospacing="0" w:after="0" w:afterAutospacing="0" w:line="360" w:lineRule="auto"/>
              <w:ind w:left="0" w:right="0"/>
              <w:rPr>
                <w:rFonts w:hint="eastAsia" w:ascii="宋体" w:hAnsi="宋体" w:cs="宋体"/>
                <w:bCs/>
                <w:sz w:val="24"/>
              </w:rPr>
            </w:pPr>
          </w:p>
        </w:tc>
      </w:tr>
      <w:tr w14:paraId="11F8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752" w:type="dxa"/>
            <w:vMerge w:val="restart"/>
            <w:noWrap w:val="0"/>
            <w:vAlign w:val="center"/>
          </w:tcPr>
          <w:p w14:paraId="2C350668">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项目管理人员</w:t>
            </w:r>
          </w:p>
        </w:tc>
        <w:tc>
          <w:tcPr>
            <w:tcW w:w="3507" w:type="dxa"/>
            <w:noWrap w:val="0"/>
            <w:vAlign w:val="center"/>
          </w:tcPr>
          <w:p w14:paraId="1B57DB20">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法定代表人姓名：</w:t>
            </w:r>
          </w:p>
        </w:tc>
        <w:tc>
          <w:tcPr>
            <w:tcW w:w="4595" w:type="dxa"/>
            <w:gridSpan w:val="2"/>
            <w:noWrap w:val="0"/>
            <w:vAlign w:val="center"/>
          </w:tcPr>
          <w:p w14:paraId="0D1E67AD">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联系方式：</w:t>
            </w:r>
          </w:p>
        </w:tc>
      </w:tr>
      <w:tr w14:paraId="39C4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752" w:type="dxa"/>
            <w:vMerge w:val="continue"/>
            <w:noWrap w:val="0"/>
            <w:vAlign w:val="center"/>
          </w:tcPr>
          <w:p w14:paraId="3FD314E7">
            <w:pPr>
              <w:keepNext w:val="0"/>
              <w:keepLines w:val="0"/>
              <w:suppressLineNumbers w:val="0"/>
              <w:spacing w:before="0" w:beforeAutospacing="0" w:after="0" w:afterAutospacing="0" w:line="360" w:lineRule="auto"/>
              <w:ind w:left="0" w:right="0"/>
              <w:rPr>
                <w:rFonts w:hint="eastAsia" w:ascii="宋体" w:hAnsi="宋体" w:cs="宋体"/>
                <w:bCs/>
                <w:sz w:val="24"/>
              </w:rPr>
            </w:pPr>
          </w:p>
        </w:tc>
        <w:tc>
          <w:tcPr>
            <w:tcW w:w="3507" w:type="dxa"/>
            <w:noWrap w:val="0"/>
            <w:vAlign w:val="center"/>
          </w:tcPr>
          <w:p w14:paraId="437AFE60">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sz w:val="24"/>
              </w:rPr>
              <w:t>项目负责人姓名：</w:t>
            </w:r>
          </w:p>
        </w:tc>
        <w:tc>
          <w:tcPr>
            <w:tcW w:w="4595" w:type="dxa"/>
            <w:gridSpan w:val="2"/>
            <w:noWrap w:val="0"/>
            <w:vAlign w:val="center"/>
          </w:tcPr>
          <w:p w14:paraId="7DFF0EDA">
            <w:pPr>
              <w:keepNext w:val="0"/>
              <w:keepLines w:val="0"/>
              <w:suppressLineNumbers w:val="0"/>
              <w:spacing w:before="0" w:beforeAutospacing="0" w:after="0" w:afterAutospacing="0" w:line="360" w:lineRule="auto"/>
              <w:ind w:left="0" w:right="0"/>
              <w:rPr>
                <w:rFonts w:hint="eastAsia" w:ascii="宋体" w:hAnsi="宋体" w:cs="宋体"/>
                <w:bCs/>
                <w:sz w:val="24"/>
              </w:rPr>
            </w:pPr>
            <w:r>
              <w:rPr>
                <w:rFonts w:hint="eastAsia" w:ascii="宋体" w:hAnsi="宋体" w:cs="宋体"/>
                <w:bCs/>
                <w:sz w:val="24"/>
              </w:rPr>
              <w:t>联系方式：</w:t>
            </w:r>
          </w:p>
        </w:tc>
      </w:tr>
    </w:tbl>
    <w:p w14:paraId="6EB30E3E">
      <w:pPr>
        <w:spacing w:after="159" w:afterLines="50" w:line="360" w:lineRule="auto"/>
        <w:ind w:firstLine="482" w:firstLineChars="200"/>
        <w:rPr>
          <w:rFonts w:hint="eastAsia" w:ascii="宋体" w:hAnsi="宋体" w:cs="宋体"/>
          <w:sz w:val="24"/>
          <w:szCs w:val="32"/>
        </w:rPr>
      </w:pPr>
      <w:r>
        <w:rPr>
          <w:rFonts w:hint="eastAsia" w:ascii="宋体" w:hAnsi="宋体" w:cs="宋体"/>
          <w:b/>
          <w:bCs/>
          <w:sz w:val="24"/>
        </w:rPr>
        <w:t>注：后附资格审查资料扫描件。</w:t>
      </w:r>
    </w:p>
    <w:p w14:paraId="103283F6">
      <w:pPr>
        <w:rPr>
          <w:rFonts w:hint="eastAsia" w:ascii="宋体" w:hAnsi="宋体" w:cs="宋体"/>
          <w:sz w:val="24"/>
          <w:szCs w:val="32"/>
        </w:rPr>
      </w:pPr>
      <w:r>
        <w:rPr>
          <w:rFonts w:hint="eastAsia" w:ascii="宋体" w:hAnsi="宋体" w:cs="宋体"/>
          <w:sz w:val="24"/>
          <w:szCs w:val="32"/>
        </w:rPr>
        <w:br w:type="page"/>
      </w:r>
    </w:p>
    <w:p w14:paraId="7CB670CD">
      <w:pPr>
        <w:pStyle w:val="4"/>
        <w:bidi w:val="0"/>
        <w:jc w:val="center"/>
        <w:rPr>
          <w:rFonts w:hint="eastAsia"/>
        </w:rPr>
      </w:pPr>
      <w:bookmarkStart w:id="322" w:name="_Toc27825"/>
      <w:r>
        <w:rPr>
          <w:rFonts w:hint="eastAsia"/>
        </w:rPr>
        <w:t>菏泽市政府采购供应商资格信用承诺函</w:t>
      </w:r>
      <w:bookmarkEnd w:id="322"/>
      <w:bookmarkStart w:id="323" w:name="_Toc22129"/>
      <w:bookmarkStart w:id="324" w:name="_Toc25043"/>
      <w:r>
        <w:rPr>
          <w:rFonts w:hint="eastAsia"/>
        </w:rPr>
        <w:t>(法人或其他组织)</w:t>
      </w:r>
      <w:bookmarkEnd w:id="323"/>
      <w:bookmarkEnd w:id="324"/>
    </w:p>
    <w:p w14:paraId="3715E83E">
      <w:pPr>
        <w:spacing w:line="360" w:lineRule="auto"/>
        <w:rPr>
          <w:rFonts w:hint="eastAsia" w:ascii="Times New Roman" w:hAnsi="Times New Roman" w:eastAsia="宋体" w:cs="Times New Roman"/>
          <w:sz w:val="24"/>
          <w:szCs w:val="32"/>
        </w:rPr>
      </w:pPr>
    </w:p>
    <w:p w14:paraId="343B69D2">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我公司自愿参加</w:t>
      </w:r>
      <w:r>
        <w:rPr>
          <w:rFonts w:hint="eastAsia" w:ascii="宋体" w:hAnsi="宋体" w:eastAsia="宋体" w:cs="宋体"/>
          <w:sz w:val="24"/>
          <w:u w:val="single"/>
        </w:rPr>
        <w:t>(项目名称)</w:t>
      </w:r>
      <w:r>
        <w:rPr>
          <w:rFonts w:hint="eastAsia" w:ascii="宋体" w:hAnsi="宋体" w:eastAsia="宋体" w:cs="宋体"/>
          <w:sz w:val="24"/>
        </w:rPr>
        <w:t>政府采购活动,并郑重承诺: 我公司符合下列要求:</w:t>
      </w:r>
    </w:p>
    <w:p w14:paraId="04676A7D">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1CD6E408">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631BF404">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182F331">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(4)具有依法缴纳税收和社会保障资金的良好记录;</w:t>
      </w:r>
    </w:p>
    <w:p w14:paraId="523A7FA5">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(5)参加政府采购活动(以开启时间为准)前3年内,供应商和其法定代表人无行贿犯罪行为且在经营活动中没有重大违法记录以及本项目开启时未被禁止参加本项目所在地的政府采购活动的证明材料;</w:t>
      </w:r>
    </w:p>
    <w:p w14:paraId="1DF8D3EA">
      <w:pPr>
        <w:adjustRightInd w:val="0"/>
        <w:spacing w:after="120" w:afterLines="50"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(6)法律、行政法规和采购文件规定的其他条件。</w:t>
      </w:r>
    </w:p>
    <w:p w14:paraId="711BA8D9">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如果我公司中标(成交),将在评审(评标)环节结束后5个工作日内,按采购文件要求,向采购人提供下列材料原件进行核验:</w:t>
      </w:r>
    </w:p>
    <w:p w14:paraId="4341FB89">
      <w:pPr>
        <w:adjustRightInd w:val="0"/>
        <w:spacing w:after="120" w:afterLines="50"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(1)营业执照或事业单位法人登记证书;</w:t>
      </w:r>
    </w:p>
    <w:p w14:paraId="13A7FA01">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(2)税务登记证(接受合一的证书)或者上一年度以来任意一个月缴纳的增值税或营业税或企业所得税的凭据;</w:t>
      </w:r>
    </w:p>
    <w:p w14:paraId="3198AED5">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(3)参加本次政府采购活动上一年度至今的年度或任意一个月度财务报表(至少包含资产负债表和损益表或预算收入支出表)或供应商结算户银行出具的资信证明;</w:t>
      </w:r>
    </w:p>
    <w:p w14:paraId="45E63D85">
      <w:pPr>
        <w:adjustRightInd w:val="0"/>
        <w:spacing w:after="120" w:afterLines="50"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(4)参加本次政府采购活动上一年度以来任意一个月缴纳</w:t>
      </w:r>
    </w:p>
    <w:p w14:paraId="30EC717D">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社会保险的凭据(专用收据或社会保险缴纳清单);</w:t>
      </w:r>
    </w:p>
    <w:p w14:paraId="6CD58357">
      <w:pPr>
        <w:adjustRightInd w:val="0"/>
        <w:spacing w:after="120" w:afterLines="50"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(5)其他材料。</w:t>
      </w:r>
    </w:p>
    <w:p w14:paraId="4C9868D0">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本公司对上述承诺的真实性、合法性、有效性负责,如有虚假,将依法承担相应责任。</w:t>
      </w:r>
    </w:p>
    <w:p w14:paraId="7F4541B3">
      <w:pPr>
        <w:adjustRightInd w:val="0"/>
        <w:spacing w:after="120" w:afterLines="50" w:line="360" w:lineRule="auto"/>
        <w:ind w:firstLine="480" w:firstLineChars="200"/>
        <w:rPr>
          <w:rFonts w:hint="eastAsia" w:ascii="宋体" w:hAnsi="宋体" w:eastAsia="宋体" w:cs="宋体"/>
          <w:sz w:val="24"/>
        </w:rPr>
      </w:pPr>
    </w:p>
    <w:p w14:paraId="2F4F82A8">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lang w:eastAsia="zh-CN"/>
        </w:rPr>
        <w:t>签字或盖章</w:t>
      </w:r>
      <w:r>
        <w:rPr>
          <w:rFonts w:hint="eastAsia" w:ascii="宋体" w:hAnsi="宋体" w:eastAsia="宋体" w:cs="宋体"/>
          <w:sz w:val="24"/>
        </w:rPr>
        <w:t>):</w:t>
      </w:r>
    </w:p>
    <w:p w14:paraId="0558F6CD">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社会信用代码:</w:t>
      </w:r>
    </w:p>
    <w:p w14:paraId="69C3AEE2">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lang w:eastAsia="zh-CN"/>
        </w:rPr>
        <w:t>公章</w:t>
      </w:r>
      <w:r>
        <w:rPr>
          <w:rFonts w:hint="eastAsia" w:ascii="宋体" w:hAnsi="宋体" w:eastAsia="宋体" w:cs="宋体"/>
          <w:sz w:val="24"/>
        </w:rPr>
        <w:t>):</w:t>
      </w:r>
    </w:p>
    <w:p w14:paraId="423E6820">
      <w:pPr>
        <w:adjustRightInd w:val="0"/>
        <w:spacing w:after="120" w:afterLines="50" w:line="360" w:lineRule="auto"/>
        <w:ind w:firstLine="480" w:firstLineChars="200"/>
        <w:rPr>
          <w:rFonts w:hint="eastAsia" w:ascii="宋体" w:hAnsi="宋体" w:eastAsia="宋体" w:cs="宋体"/>
          <w:sz w:val="24"/>
        </w:rPr>
      </w:pPr>
      <w:r>
        <w:rPr>
          <w:rFonts w:hint="eastAsia" w:ascii="宋体" w:hAnsi="宋体" w:eastAsia="宋体" w:cs="宋体"/>
          <w:sz w:val="24"/>
        </w:rPr>
        <w:t>年    月    日</w:t>
      </w:r>
    </w:p>
    <w:p w14:paraId="7C5551E6">
      <w:pPr>
        <w:jc w:val="center"/>
        <w:rPr>
          <w:rFonts w:hint="eastAsia" w:ascii="宋体" w:hAnsi="宋体" w:cs="宋体"/>
          <w:sz w:val="30"/>
          <w:szCs w:val="30"/>
        </w:rPr>
      </w:pPr>
    </w:p>
    <w:p w14:paraId="4ABAA6C0">
      <w:pPr>
        <w:jc w:val="center"/>
        <w:rPr>
          <w:rFonts w:hint="eastAsia" w:ascii="宋体" w:hAnsi="宋体" w:cs="宋体"/>
          <w:sz w:val="30"/>
          <w:szCs w:val="30"/>
        </w:rPr>
      </w:pPr>
    </w:p>
    <w:p w14:paraId="034B391E">
      <w:pPr>
        <w:spacing w:after="120" w:afterLines="50" w:line="360" w:lineRule="auto"/>
        <w:outlineLvl w:val="9"/>
        <w:rPr>
          <w:rStyle w:val="238"/>
          <w:rFonts w:hint="eastAsia"/>
          <w:b w:val="0"/>
          <w:bCs w:val="0"/>
          <w:sz w:val="24"/>
          <w:szCs w:val="24"/>
        </w:rPr>
      </w:pPr>
      <w:bookmarkStart w:id="325" w:name="_Toc20642"/>
      <w:bookmarkStart w:id="326" w:name="_Toc356498374"/>
      <w:bookmarkStart w:id="327" w:name="_Toc256691669"/>
      <w:bookmarkStart w:id="328" w:name="_Toc446256299"/>
      <w:bookmarkStart w:id="329" w:name="_Toc256695545"/>
      <w:bookmarkStart w:id="330" w:name="_Toc256696423"/>
      <w:bookmarkStart w:id="331" w:name="_Toc320991763"/>
      <w:bookmarkStart w:id="332" w:name="_Toc446252873"/>
      <w:bookmarkStart w:id="333" w:name="_Toc387646097"/>
      <w:bookmarkStart w:id="334" w:name="_Toc443637339"/>
      <w:bookmarkStart w:id="335" w:name="_Toc28516"/>
      <w:r>
        <w:rPr>
          <w:rStyle w:val="247"/>
          <w:rFonts w:hint="eastAsia"/>
          <w:b w:val="0"/>
          <w:bCs w:val="0"/>
          <w:sz w:val="32"/>
          <w:szCs w:val="32"/>
        </w:rPr>
        <w:br w:type="page"/>
      </w:r>
    </w:p>
    <w:p w14:paraId="4246102B">
      <w:pPr>
        <w:pStyle w:val="4"/>
        <w:bidi w:val="0"/>
        <w:jc w:val="center"/>
        <w:outlineLvl w:val="1"/>
        <w:rPr>
          <w:rFonts w:hint="eastAsia" w:eastAsia="宋体"/>
          <w:lang w:eastAsia="zh-CN"/>
        </w:rPr>
      </w:pPr>
      <w:bookmarkStart w:id="336" w:name="_Toc4945"/>
      <w:r>
        <w:rPr>
          <w:rFonts w:hint="eastAsia"/>
        </w:rPr>
        <w:t>中小企业声明函</w:t>
      </w:r>
      <w:bookmarkEnd w:id="336"/>
      <w:r>
        <w:rPr>
          <w:rFonts w:hint="eastAsia"/>
          <w:lang w:eastAsia="zh-CN"/>
        </w:rPr>
        <w:t>（货物）</w:t>
      </w:r>
    </w:p>
    <w:p w14:paraId="47EF8F8C">
      <w:pPr>
        <w:pStyle w:val="4"/>
        <w:bidi w:val="0"/>
        <w:jc w:val="center"/>
        <w:rPr>
          <w:rFonts w:hint="eastAsia"/>
        </w:rPr>
      </w:pPr>
      <w:r>
        <w:rPr>
          <w:rFonts w:hint="eastAsia"/>
        </w:rPr>
        <w:t>（非中小企业不需要提供）</w:t>
      </w:r>
    </w:p>
    <w:p w14:paraId="4E4DE11C">
      <w:pPr>
        <w:pStyle w:val="233"/>
        <w:jc w:val="left"/>
        <w:rPr>
          <w:rFonts w:hint="eastAsia"/>
        </w:rPr>
      </w:pPr>
      <w:r>
        <w:rPr>
          <w:rFonts w:hint="eastAsia"/>
        </w:rPr>
        <w:t>本公司郑重声明，根据《政府采购促进中小企业发展管理办法》(财库(2020)46号)的规定，本公司参加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14:paraId="248EC0AF">
      <w:pPr>
        <w:pStyle w:val="233"/>
        <w:jc w:val="left"/>
        <w:rPr>
          <w:rFonts w:hint="eastAsia" w:eastAsia="宋体"/>
          <w:lang w:eastAsia="zh-CN"/>
        </w:rPr>
      </w:pPr>
      <w:r>
        <w:rPr>
          <w:rFonts w:hint="eastAsia"/>
        </w:rPr>
        <w:t>1.</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,从业人员_____人，营业收入为___万元，资产总额为___万元</w:t>
      </w:r>
      <w:r>
        <w:rPr>
          <w:rFonts w:hint="eastAsia"/>
          <w:lang w:eastAsia="zh-CN"/>
        </w:rPr>
        <w:t>，</w:t>
      </w:r>
      <w:r>
        <w:rPr>
          <w:rFonts w:hint="eastAsia"/>
        </w:rPr>
        <w:t>属于</w:t>
      </w:r>
      <w:r>
        <w:rPr>
          <w:rFonts w:hint="eastAsia"/>
          <w:u w:val="single"/>
        </w:rPr>
        <w:t>(中型企业、小型企业、微型企业)</w:t>
      </w:r>
      <w:r>
        <w:rPr>
          <w:rFonts w:hint="eastAsia"/>
          <w:lang w:eastAsia="zh-CN"/>
        </w:rPr>
        <w:t>。</w:t>
      </w:r>
    </w:p>
    <w:p w14:paraId="1FCAEDD3">
      <w:pPr>
        <w:pStyle w:val="233"/>
        <w:jc w:val="left"/>
        <w:rPr>
          <w:rFonts w:hint="eastAsia"/>
        </w:rPr>
      </w:pPr>
      <w:r>
        <w:rPr>
          <w:rFonts w:hint="eastAsia"/>
        </w:rPr>
        <w:t>……</w:t>
      </w:r>
    </w:p>
    <w:p w14:paraId="1DF71E82">
      <w:pPr>
        <w:pStyle w:val="233"/>
        <w:jc w:val="left"/>
        <w:rPr>
          <w:rFonts w:hint="eastAsia"/>
        </w:rPr>
      </w:pPr>
    </w:p>
    <w:p w14:paraId="480EA5D0">
      <w:pPr>
        <w:pStyle w:val="233"/>
        <w:jc w:val="left"/>
        <w:rPr>
          <w:rFonts w:hint="eastAsia"/>
        </w:rPr>
      </w:pPr>
      <w:r>
        <w:rPr>
          <w:rFonts w:hint="eastAsia"/>
        </w:rPr>
        <w:t>以上企业，不属于大企业的分支机构，不存在控股股东为大企业的情形，也不存在与大企业的负责人为同一人的情形。</w:t>
      </w:r>
    </w:p>
    <w:p w14:paraId="063DE7CA">
      <w:pPr>
        <w:pStyle w:val="233"/>
        <w:jc w:val="left"/>
        <w:rPr>
          <w:rFonts w:hint="eastAsia"/>
        </w:rPr>
      </w:pPr>
      <w:r>
        <w:rPr>
          <w:rFonts w:hint="eastAsia"/>
        </w:rPr>
        <w:t>本企业对上述声明内容的真实性负责。如有虚假，将依法承担相应责任。</w:t>
      </w:r>
    </w:p>
    <w:p w14:paraId="6148AF81">
      <w:pPr>
        <w:pStyle w:val="233"/>
        <w:jc w:val="left"/>
        <w:rPr>
          <w:rFonts w:hint="eastAsia"/>
        </w:rPr>
      </w:pPr>
    </w:p>
    <w:p w14:paraId="6339BECF">
      <w:pPr>
        <w:pStyle w:val="233"/>
        <w:jc w:val="left"/>
        <w:rPr>
          <w:rFonts w:hint="eastAsia"/>
        </w:rPr>
      </w:pPr>
      <w:r>
        <w:rPr>
          <w:rFonts w:hint="eastAsia"/>
        </w:rPr>
        <w:t>企业名称(</w:t>
      </w:r>
      <w:r>
        <w:rPr>
          <w:rFonts w:hint="eastAsia"/>
          <w:lang w:eastAsia="zh-CN"/>
        </w:rPr>
        <w:t>公章</w:t>
      </w:r>
      <w:r>
        <w:rPr>
          <w:rFonts w:hint="eastAsia"/>
        </w:rPr>
        <w:t>):</w:t>
      </w:r>
    </w:p>
    <w:p w14:paraId="1FD9FCE0">
      <w:pPr>
        <w:pStyle w:val="233"/>
        <w:jc w:val="left"/>
        <w:rPr>
          <w:rFonts w:hint="eastAsia"/>
        </w:rPr>
      </w:pPr>
      <w:r>
        <w:rPr>
          <w:rFonts w:hint="eastAsia"/>
        </w:rPr>
        <w:t>日期：</w:t>
      </w:r>
    </w:p>
    <w:p w14:paraId="7FD2A6A9">
      <w:pPr>
        <w:pStyle w:val="233"/>
        <w:jc w:val="left"/>
        <w:rPr>
          <w:rFonts w:hint="eastAsia"/>
        </w:rPr>
      </w:pPr>
    </w:p>
    <w:p w14:paraId="15913444">
      <w:pPr>
        <w:pStyle w:val="233"/>
        <w:jc w:val="left"/>
        <w:rPr>
          <w:rFonts w:hint="eastAsia"/>
        </w:rPr>
      </w:pPr>
    </w:p>
    <w:p w14:paraId="6441B13B">
      <w:pPr>
        <w:pStyle w:val="233"/>
        <w:jc w:val="left"/>
        <w:rPr>
          <w:rFonts w:hint="eastAsia"/>
        </w:rPr>
      </w:pPr>
      <w:r>
        <w:rPr>
          <w:rFonts w:hint="eastAsia"/>
        </w:rPr>
        <w:t>从业人员、营业收入、资产总额填报上一年度数据。无上一年度数据的新成立企业可不填报。</w:t>
      </w:r>
    </w:p>
    <w:p w14:paraId="10666180">
      <w:pPr>
        <w:pStyle w:val="233"/>
        <w:jc w:val="center"/>
        <w:outlineLvl w:val="9"/>
        <w:rPr>
          <w:rFonts w:hint="eastAsia"/>
          <w:sz w:val="28"/>
          <w:szCs w:val="28"/>
        </w:rPr>
      </w:pPr>
    </w:p>
    <w:p w14:paraId="5E9F84BE">
      <w:pPr>
        <w:rPr>
          <w:rFonts w:hint="eastAsia"/>
          <w:sz w:val="28"/>
          <w:szCs w:val="28"/>
        </w:rPr>
      </w:pPr>
      <w:r>
        <w:rPr>
          <w:rFonts w:hint="eastAsia"/>
          <w:sz w:val="28"/>
          <w:szCs w:val="28"/>
        </w:rPr>
        <w:br w:type="page"/>
      </w:r>
    </w:p>
    <w:p w14:paraId="7A5C35B8">
      <w:pPr>
        <w:pStyle w:val="4"/>
        <w:bidi w:val="0"/>
        <w:jc w:val="center"/>
        <w:rPr>
          <w:rFonts w:hint="eastAsia"/>
        </w:rPr>
      </w:pPr>
      <w:r>
        <w:rPr>
          <w:rFonts w:hint="eastAsia"/>
        </w:rPr>
        <w:t>残疾人福利性单位声明函</w:t>
      </w:r>
    </w:p>
    <w:p w14:paraId="21938AB8">
      <w:pPr>
        <w:pStyle w:val="4"/>
        <w:bidi w:val="0"/>
        <w:jc w:val="center"/>
        <w:rPr>
          <w:rFonts w:hint="eastAsia"/>
        </w:rPr>
      </w:pPr>
      <w:bookmarkStart w:id="337" w:name="_Toc26560"/>
      <w:r>
        <w:rPr>
          <w:rFonts w:hint="eastAsia"/>
        </w:rPr>
        <w:t>（非残疾人福利单位不需要提供）</w:t>
      </w:r>
      <w:bookmarkEnd w:id="337"/>
    </w:p>
    <w:p w14:paraId="660858F1">
      <w:pPr>
        <w:pStyle w:val="233"/>
        <w:rPr>
          <w:rFonts w:hint="eastAsia"/>
        </w:rPr>
      </w:pPr>
    </w:p>
    <w:p w14:paraId="2D1EE229">
      <w:pPr>
        <w:pStyle w:val="233"/>
        <w:rPr>
          <w:rFonts w:hint="eastAsia"/>
        </w:rPr>
      </w:pPr>
      <w:r>
        <w:rPr>
          <w:rFonts w:hint="eastAsia"/>
        </w:rPr>
        <w:t>本单位郑重声明，根据</w:t>
      </w:r>
      <w:r>
        <w:rPr>
          <w:rFonts w:hint="eastAsia"/>
          <w:lang w:val="en-US" w:eastAsia="zh-CN"/>
        </w:rPr>
        <w:t xml:space="preserve"> </w:t>
      </w:r>
      <w:r>
        <w:rPr>
          <w:rFonts w:hint="eastAsia"/>
        </w:rPr>
        <w:t xml:space="preserve">《财政部 民政部 中国残疾人联合会关于促进残疾人就业政府采 购政策的通知》（财库〔2017〕141 号）的规定，本单位为符合条件的残疾人福利性单位，且本单位参加 </w:t>
      </w:r>
      <w:r>
        <w:rPr>
          <w:rFonts w:hint="eastAsia"/>
        </w:rPr>
        <w:tab/>
      </w:r>
      <w:r>
        <w:rPr>
          <w:rFonts w:hint="eastAsia"/>
        </w:rPr>
        <w:t>单位的</w:t>
      </w:r>
      <w:r>
        <w:rPr>
          <w:rFonts w:hint="eastAsia"/>
          <w:u w:val="none"/>
        </w:rPr>
        <w:t xml:space="preserve"> </w:t>
      </w:r>
      <w:r>
        <w:rPr>
          <w:rFonts w:hint="eastAsia"/>
          <w:u w:val="none"/>
        </w:rPr>
        <w:tab/>
      </w:r>
      <w:r>
        <w:rPr>
          <w:rFonts w:hint="eastAsia"/>
        </w:rPr>
        <w:t>项目采购活动提供本单位制造的货物（由本单位承担工程/ 提供服务），或者提供其他残疾人福利性单位制造的货物（不包括使用非残疾人福利性单位注 册商标的货物）。</w:t>
      </w:r>
    </w:p>
    <w:p w14:paraId="20516978">
      <w:pPr>
        <w:pStyle w:val="233"/>
        <w:rPr>
          <w:rFonts w:hint="eastAsia"/>
        </w:rPr>
      </w:pPr>
      <w:r>
        <w:rPr>
          <w:rFonts w:hint="eastAsia"/>
        </w:rPr>
        <w:t>本单位对上述声明的真实性负责。如有虚假，将依法承担相应责任。</w:t>
      </w:r>
    </w:p>
    <w:p w14:paraId="23D2B93E">
      <w:pPr>
        <w:pStyle w:val="233"/>
        <w:rPr>
          <w:rFonts w:hint="eastAsia"/>
        </w:rPr>
      </w:pPr>
    </w:p>
    <w:p w14:paraId="4211551A">
      <w:pPr>
        <w:pStyle w:val="233"/>
        <w:rPr>
          <w:rFonts w:hint="eastAsia"/>
        </w:rPr>
      </w:pPr>
    </w:p>
    <w:p w14:paraId="2CBC97E5">
      <w:pPr>
        <w:pStyle w:val="233"/>
        <w:rPr>
          <w:rFonts w:hint="eastAsia"/>
        </w:rPr>
      </w:pPr>
    </w:p>
    <w:p w14:paraId="4902E76C">
      <w:pPr>
        <w:pStyle w:val="233"/>
        <w:rPr>
          <w:rFonts w:hint="eastAsia"/>
        </w:rPr>
      </w:pPr>
      <w:r>
        <w:rPr>
          <w:rFonts w:hint="eastAsia"/>
          <w:lang w:eastAsia="zh-CN"/>
        </w:rPr>
        <w:t>供应商</w:t>
      </w:r>
      <w:r>
        <w:rPr>
          <w:rFonts w:hint="eastAsia"/>
        </w:rPr>
        <w:t xml:space="preserve">名称： </w:t>
      </w:r>
      <w:r>
        <w:rPr>
          <w:rFonts w:hint="eastAsia"/>
        </w:rPr>
        <w:tab/>
      </w:r>
      <w:r>
        <w:rPr>
          <w:rFonts w:hint="eastAsia"/>
        </w:rPr>
        <w:tab/>
      </w:r>
      <w:r>
        <w:rPr>
          <w:rFonts w:hint="eastAsia"/>
        </w:rPr>
        <w:t xml:space="preserve">（盖单位公章） </w:t>
      </w:r>
    </w:p>
    <w:p w14:paraId="6D80F6CC">
      <w:pPr>
        <w:pStyle w:val="233"/>
        <w:rPr>
          <w:rFonts w:hint="eastAsia"/>
        </w:rPr>
      </w:pPr>
      <w:r>
        <w:rPr>
          <w:rFonts w:hint="eastAsia"/>
          <w:lang w:eastAsia="zh-CN"/>
        </w:rPr>
        <w:t>供应商</w:t>
      </w:r>
      <w:r>
        <w:rPr>
          <w:rFonts w:hint="eastAsia"/>
        </w:rPr>
        <w:t xml:space="preserve">法定代表人或其委托代理人： </w:t>
      </w:r>
      <w:r>
        <w:rPr>
          <w:rFonts w:hint="eastAsia"/>
        </w:rPr>
        <w:tab/>
      </w:r>
      <w:r>
        <w:rPr>
          <w:rFonts w:hint="eastAsia"/>
        </w:rPr>
        <w:t>（签字或盖章）</w:t>
      </w:r>
    </w:p>
    <w:p w14:paraId="53053DE0">
      <w:pPr>
        <w:pStyle w:val="233"/>
        <w:rPr>
          <w:rFonts w:hint="eastAsia"/>
        </w:rPr>
      </w:pPr>
      <w:r>
        <w:rPr>
          <w:rFonts w:hint="eastAsia"/>
        </w:rPr>
        <w:t xml:space="preserve"> </w:t>
      </w:r>
      <w:r>
        <w:rPr>
          <w:rFonts w:hint="eastAsia"/>
        </w:rPr>
        <w:tab/>
      </w:r>
      <w:r>
        <w:rPr>
          <w:rFonts w:hint="eastAsia"/>
        </w:rPr>
        <w:t xml:space="preserve">年 </w:t>
      </w:r>
      <w:r>
        <w:rPr>
          <w:rFonts w:hint="eastAsia"/>
        </w:rPr>
        <w:tab/>
      </w:r>
      <w:r>
        <w:rPr>
          <w:rFonts w:hint="eastAsia"/>
        </w:rPr>
        <w:t xml:space="preserve">月 </w:t>
      </w:r>
      <w:r>
        <w:rPr>
          <w:rFonts w:hint="eastAsia"/>
        </w:rPr>
        <w:tab/>
      </w:r>
      <w:r>
        <w:rPr>
          <w:rFonts w:hint="eastAsia"/>
        </w:rPr>
        <w:t>日</w:t>
      </w:r>
    </w:p>
    <w:p w14:paraId="4A3E243F">
      <w:pPr>
        <w:rPr>
          <w:rFonts w:hint="eastAsia"/>
        </w:rPr>
      </w:pPr>
      <w:r>
        <w:rPr>
          <w:rFonts w:hint="eastAsia"/>
        </w:rPr>
        <w:br w:type="page"/>
      </w:r>
    </w:p>
    <w:p w14:paraId="09DB94DA">
      <w:pPr>
        <w:pStyle w:val="4"/>
        <w:bidi w:val="0"/>
        <w:jc w:val="center"/>
        <w:rPr>
          <w:rFonts w:hint="eastAsia" w:ascii="Times New Roman" w:hAnsi="Times New Roman" w:eastAsia="宋体" w:cs="Times New Roman"/>
        </w:rPr>
      </w:pPr>
      <w:r>
        <w:rPr>
          <w:rFonts w:hint="eastAsia" w:ascii="Times New Roman" w:hAnsi="Times New Roman" w:eastAsia="宋体" w:cs="Times New Roman"/>
        </w:rPr>
        <w:t>监狱企业证明材料</w:t>
      </w:r>
    </w:p>
    <w:p w14:paraId="420987E0">
      <w:pPr>
        <w:pStyle w:val="4"/>
        <w:bidi w:val="0"/>
        <w:jc w:val="center"/>
        <w:rPr>
          <w:rFonts w:hint="eastAsia" w:ascii="Times New Roman" w:hAnsi="Times New Roman" w:eastAsia="宋体" w:cs="Times New Roman"/>
        </w:rPr>
      </w:pPr>
      <w:bookmarkStart w:id="338" w:name="_Toc23711"/>
      <w:r>
        <w:rPr>
          <w:rFonts w:hint="eastAsia" w:ascii="Times New Roman" w:hAnsi="Times New Roman" w:eastAsia="宋体" w:cs="Times New Roman"/>
        </w:rPr>
        <w:t>（若企业非监狱企业，则不需填写）</w:t>
      </w:r>
      <w:bookmarkEnd w:id="338"/>
    </w:p>
    <w:p w14:paraId="65895143">
      <w:pPr>
        <w:pStyle w:val="4"/>
        <w:bidi w:val="0"/>
        <w:jc w:val="center"/>
        <w:outlineLvl w:val="9"/>
        <w:rPr>
          <w:rFonts w:hint="eastAsia" w:ascii="Times New Roman" w:hAnsi="Times New Roman" w:eastAsia="宋体" w:cs="Times New Roman"/>
        </w:rPr>
      </w:pPr>
    </w:p>
    <w:p w14:paraId="19EEB3EA">
      <w:pPr>
        <w:spacing w:line="360" w:lineRule="auto"/>
        <w:ind w:firstLine="480" w:firstLineChars="200"/>
        <w:rPr>
          <w:rFonts w:hint="eastAsia"/>
          <w:sz w:val="24"/>
          <w:szCs w:val="32"/>
        </w:rPr>
      </w:pPr>
      <w:r>
        <w:rPr>
          <w:rFonts w:hint="eastAsia"/>
          <w:sz w:val="24"/>
          <w:szCs w:val="32"/>
        </w:rPr>
        <w:t>提供由省级以上监狱管理局、戒毒管理局（含新疆生产建设兵团）出具的属于监狱企业的证明文件。</w:t>
      </w:r>
    </w:p>
    <w:p w14:paraId="77523E69">
      <w:pPr>
        <w:spacing w:line="360" w:lineRule="auto"/>
        <w:rPr>
          <w:rFonts w:hint="eastAsia"/>
          <w:sz w:val="24"/>
          <w:szCs w:val="32"/>
        </w:rPr>
      </w:pPr>
    </w:p>
    <w:p w14:paraId="0DE802BD">
      <w:pPr>
        <w:spacing w:line="360" w:lineRule="auto"/>
        <w:rPr>
          <w:rFonts w:hint="eastAsia"/>
          <w:sz w:val="24"/>
          <w:szCs w:val="32"/>
        </w:rPr>
      </w:pPr>
    </w:p>
    <w:p w14:paraId="016B50DA">
      <w:pPr>
        <w:spacing w:line="360" w:lineRule="auto"/>
        <w:rPr>
          <w:rFonts w:hint="eastAsia"/>
          <w:sz w:val="24"/>
          <w:szCs w:val="32"/>
        </w:rPr>
      </w:pPr>
    </w:p>
    <w:p w14:paraId="7C18C1E4">
      <w:pPr>
        <w:spacing w:line="360" w:lineRule="auto"/>
        <w:rPr>
          <w:rFonts w:hint="eastAsia"/>
          <w:sz w:val="24"/>
          <w:szCs w:val="32"/>
        </w:rPr>
      </w:pPr>
    </w:p>
    <w:p w14:paraId="7E0FC857">
      <w:pPr>
        <w:pStyle w:val="233"/>
        <w:rPr>
          <w:rFonts w:hint="eastAsia"/>
          <w:sz w:val="24"/>
          <w:szCs w:val="32"/>
        </w:rPr>
      </w:pPr>
    </w:p>
    <w:p w14:paraId="115EC24B">
      <w:pPr>
        <w:rPr>
          <w:rFonts w:hint="eastAsia"/>
          <w:sz w:val="24"/>
          <w:szCs w:val="32"/>
        </w:rPr>
      </w:pPr>
    </w:p>
    <w:p w14:paraId="25CE22EF">
      <w:pPr>
        <w:pStyle w:val="233"/>
        <w:rPr>
          <w:rFonts w:hint="eastAsia"/>
          <w:sz w:val="24"/>
          <w:szCs w:val="32"/>
        </w:rPr>
      </w:pPr>
    </w:p>
    <w:p w14:paraId="72F9CD9C">
      <w:pPr>
        <w:rPr>
          <w:rFonts w:hint="eastAsia"/>
          <w:sz w:val="24"/>
          <w:szCs w:val="32"/>
        </w:rPr>
      </w:pPr>
    </w:p>
    <w:p w14:paraId="45C0A99A">
      <w:pPr>
        <w:pStyle w:val="233"/>
        <w:rPr>
          <w:rFonts w:hint="eastAsia"/>
        </w:rPr>
      </w:pPr>
    </w:p>
    <w:p w14:paraId="0401A368">
      <w:pPr>
        <w:spacing w:line="360" w:lineRule="auto"/>
        <w:rPr>
          <w:rFonts w:hint="eastAsia"/>
          <w:sz w:val="24"/>
          <w:szCs w:val="32"/>
        </w:rPr>
      </w:pPr>
      <w:r>
        <w:rPr>
          <w:rFonts w:hint="eastAsia"/>
          <w:sz w:val="24"/>
          <w:szCs w:val="32"/>
          <w:lang w:eastAsia="zh-CN"/>
        </w:rPr>
        <w:t>供应商</w:t>
      </w:r>
      <w:r>
        <w:rPr>
          <w:rFonts w:hint="eastAsia"/>
          <w:sz w:val="24"/>
          <w:szCs w:val="32"/>
        </w:rPr>
        <w:t xml:space="preserve">名称： </w:t>
      </w:r>
      <w:r>
        <w:rPr>
          <w:rFonts w:hint="eastAsia"/>
          <w:sz w:val="24"/>
          <w:szCs w:val="32"/>
        </w:rPr>
        <w:tab/>
      </w:r>
      <w:r>
        <w:rPr>
          <w:rFonts w:hint="eastAsia"/>
          <w:sz w:val="24"/>
          <w:szCs w:val="32"/>
        </w:rPr>
        <w:tab/>
      </w:r>
      <w:r>
        <w:rPr>
          <w:rFonts w:hint="eastAsia"/>
          <w:sz w:val="24"/>
          <w:szCs w:val="32"/>
        </w:rPr>
        <w:t xml:space="preserve">（盖单位公章） </w:t>
      </w:r>
    </w:p>
    <w:p w14:paraId="4F3B1DEE">
      <w:pPr>
        <w:spacing w:line="360" w:lineRule="auto"/>
        <w:rPr>
          <w:rFonts w:hint="eastAsia"/>
          <w:sz w:val="24"/>
          <w:szCs w:val="32"/>
        </w:rPr>
      </w:pPr>
      <w:r>
        <w:rPr>
          <w:rFonts w:hint="eastAsia"/>
          <w:sz w:val="24"/>
          <w:szCs w:val="32"/>
          <w:lang w:eastAsia="zh-CN"/>
        </w:rPr>
        <w:t>供应商</w:t>
      </w:r>
      <w:r>
        <w:rPr>
          <w:rFonts w:hint="eastAsia"/>
          <w:sz w:val="24"/>
          <w:szCs w:val="32"/>
        </w:rPr>
        <w:t xml:space="preserve">法定代表人或其委托代理人： </w:t>
      </w:r>
      <w:r>
        <w:rPr>
          <w:rFonts w:hint="eastAsia"/>
          <w:sz w:val="24"/>
          <w:szCs w:val="32"/>
        </w:rPr>
        <w:tab/>
      </w:r>
      <w:r>
        <w:rPr>
          <w:rFonts w:hint="eastAsia"/>
          <w:sz w:val="24"/>
          <w:szCs w:val="32"/>
        </w:rPr>
        <w:t>（签字或盖章）</w:t>
      </w:r>
    </w:p>
    <w:p w14:paraId="58683BEB">
      <w:pPr>
        <w:spacing w:line="360" w:lineRule="auto"/>
        <w:rPr>
          <w:rFonts w:hint="eastAsia"/>
          <w:sz w:val="24"/>
          <w:szCs w:val="32"/>
        </w:rPr>
      </w:pPr>
    </w:p>
    <w:p w14:paraId="0E0313C2">
      <w:pPr>
        <w:spacing w:line="360" w:lineRule="auto"/>
        <w:rPr>
          <w:rFonts w:hint="eastAsia"/>
          <w:sz w:val="24"/>
          <w:szCs w:val="32"/>
        </w:rPr>
      </w:pPr>
      <w:r>
        <w:rPr>
          <w:rFonts w:hint="eastAsia"/>
          <w:sz w:val="24"/>
          <w:szCs w:val="32"/>
        </w:rPr>
        <w:t xml:space="preserve"> </w:t>
      </w:r>
      <w:r>
        <w:rPr>
          <w:rFonts w:hint="eastAsia"/>
          <w:sz w:val="24"/>
          <w:szCs w:val="32"/>
        </w:rPr>
        <w:tab/>
      </w:r>
      <w:r>
        <w:rPr>
          <w:rFonts w:hint="eastAsia"/>
          <w:sz w:val="24"/>
          <w:szCs w:val="32"/>
        </w:rPr>
        <w:t xml:space="preserve">年 </w:t>
      </w:r>
      <w:r>
        <w:rPr>
          <w:rFonts w:hint="eastAsia"/>
          <w:sz w:val="24"/>
          <w:szCs w:val="32"/>
        </w:rPr>
        <w:tab/>
      </w:r>
      <w:r>
        <w:rPr>
          <w:rFonts w:hint="eastAsia"/>
          <w:sz w:val="24"/>
          <w:szCs w:val="32"/>
        </w:rPr>
        <w:t xml:space="preserve">月 </w:t>
      </w:r>
      <w:r>
        <w:rPr>
          <w:rFonts w:hint="eastAsia"/>
          <w:sz w:val="24"/>
          <w:szCs w:val="32"/>
        </w:rPr>
        <w:tab/>
      </w:r>
      <w:r>
        <w:rPr>
          <w:rFonts w:hint="eastAsia"/>
          <w:sz w:val="24"/>
          <w:szCs w:val="32"/>
        </w:rPr>
        <w:t>日</w:t>
      </w:r>
    </w:p>
    <w:p w14:paraId="1C23AB61">
      <w:pPr>
        <w:rPr>
          <w:rFonts w:hint="eastAsia" w:ascii="宋体" w:hAnsi="宋体"/>
          <w:sz w:val="24"/>
          <w:u w:val="none"/>
          <w:lang w:eastAsia="zh-CN"/>
        </w:rPr>
      </w:pPr>
      <w:bookmarkStart w:id="339" w:name="_Toc29816"/>
      <w:bookmarkStart w:id="340" w:name="_Toc15509"/>
      <w:r>
        <w:rPr>
          <w:rFonts w:hint="eastAsia" w:ascii="宋体" w:hAnsi="宋体"/>
          <w:sz w:val="24"/>
          <w:u w:val="none"/>
          <w:lang w:eastAsia="zh-CN"/>
        </w:rPr>
        <w:br w:type="page"/>
      </w:r>
    </w:p>
    <w:p w14:paraId="4A0AC880">
      <w:pPr>
        <w:pStyle w:val="3"/>
        <w:bidi w:val="0"/>
        <w:jc w:val="center"/>
        <w:rPr>
          <w:rFonts w:hint="eastAsia" w:cs="Times New Roman"/>
          <w:lang w:val="en-US" w:eastAsia="zh-CN"/>
        </w:rPr>
      </w:pPr>
      <w:bookmarkStart w:id="341" w:name="_Toc27113"/>
      <w:r>
        <w:rPr>
          <w:rFonts w:hint="eastAsia" w:cs="Times New Roman"/>
          <w:lang w:val="en-US" w:eastAsia="zh-CN"/>
        </w:rPr>
        <w:t>六</w:t>
      </w:r>
      <w:r>
        <w:rPr>
          <w:rFonts w:hint="eastAsia" w:cs="Times New Roman"/>
          <w:lang w:eastAsia="zh-CN"/>
        </w:rPr>
        <w:t>、</w:t>
      </w:r>
      <w:r>
        <w:rPr>
          <w:rFonts w:hint="eastAsia" w:cs="Times New Roman"/>
          <w:lang w:val="en-US" w:eastAsia="zh-CN"/>
        </w:rPr>
        <w:t>技术偏离表</w:t>
      </w:r>
    </w:p>
    <w:tbl>
      <w:tblPr>
        <w:tblStyle w:val="76"/>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231"/>
        <w:gridCol w:w="3231"/>
        <w:gridCol w:w="1641"/>
      </w:tblGrid>
      <w:tr w14:paraId="166B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149" w:type="dxa"/>
            <w:noWrap w:val="0"/>
            <w:vAlign w:val="center"/>
          </w:tcPr>
          <w:p w14:paraId="6B44F5A2">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Cs/>
                <w:sz w:val="24"/>
              </w:rPr>
            </w:pPr>
            <w:r>
              <w:rPr>
                <w:rFonts w:hint="eastAsia" w:ascii="宋体" w:hAnsi="宋体" w:eastAsia="宋体" w:cs="宋体"/>
                <w:bCs/>
                <w:sz w:val="24"/>
              </w:rPr>
              <w:t>序号</w:t>
            </w:r>
          </w:p>
        </w:tc>
        <w:tc>
          <w:tcPr>
            <w:tcW w:w="3231" w:type="dxa"/>
            <w:noWrap w:val="0"/>
            <w:vAlign w:val="center"/>
          </w:tcPr>
          <w:p w14:paraId="1757E83D">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Cs/>
                <w:sz w:val="24"/>
              </w:rPr>
            </w:pPr>
            <w:r>
              <w:rPr>
                <w:rFonts w:hint="eastAsia" w:ascii="宋体" w:hAnsi="宋体" w:cs="宋体"/>
                <w:bCs/>
                <w:sz w:val="24"/>
                <w:lang w:eastAsia="zh-CN"/>
              </w:rPr>
              <w:t>竞争性磋商</w:t>
            </w:r>
            <w:r>
              <w:rPr>
                <w:rFonts w:hint="eastAsia" w:ascii="宋体" w:hAnsi="宋体" w:eastAsia="宋体" w:cs="宋体"/>
                <w:bCs/>
                <w:sz w:val="24"/>
              </w:rPr>
              <w:t>文件</w:t>
            </w:r>
          </w:p>
          <w:p w14:paraId="3F75DC98">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Cs/>
                <w:sz w:val="24"/>
              </w:rPr>
            </w:pPr>
            <w:r>
              <w:rPr>
                <w:rFonts w:hint="eastAsia" w:ascii="宋体" w:hAnsi="宋体" w:eastAsia="宋体" w:cs="宋体"/>
                <w:bCs/>
                <w:sz w:val="24"/>
              </w:rPr>
              <w:t>技术</w:t>
            </w:r>
            <w:r>
              <w:rPr>
                <w:rFonts w:hint="eastAsia" w:ascii="宋体" w:hAnsi="宋体" w:cs="宋体"/>
                <w:bCs/>
                <w:sz w:val="24"/>
                <w:lang w:eastAsia="zh-CN"/>
              </w:rPr>
              <w:t>参数</w:t>
            </w:r>
            <w:r>
              <w:rPr>
                <w:rFonts w:hint="eastAsia" w:ascii="宋体" w:hAnsi="宋体" w:eastAsia="宋体" w:cs="宋体"/>
                <w:bCs/>
                <w:sz w:val="24"/>
              </w:rPr>
              <w:t>要求</w:t>
            </w:r>
          </w:p>
        </w:tc>
        <w:tc>
          <w:tcPr>
            <w:tcW w:w="3231" w:type="dxa"/>
            <w:noWrap w:val="0"/>
            <w:vAlign w:val="center"/>
          </w:tcPr>
          <w:p w14:paraId="4927386A">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响应文件</w:t>
            </w:r>
          </w:p>
          <w:p w14:paraId="5402AB93">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Cs/>
                <w:sz w:val="24"/>
              </w:rPr>
            </w:pPr>
            <w:r>
              <w:rPr>
                <w:rFonts w:hint="eastAsia" w:ascii="宋体" w:hAnsi="宋体" w:eastAsia="宋体" w:cs="宋体"/>
                <w:bCs/>
                <w:sz w:val="24"/>
              </w:rPr>
              <w:t>实际</w:t>
            </w:r>
            <w:r>
              <w:rPr>
                <w:rFonts w:hint="eastAsia" w:ascii="宋体" w:hAnsi="宋体" w:cs="宋体"/>
                <w:bCs/>
                <w:sz w:val="24"/>
                <w:lang w:eastAsia="zh-CN"/>
              </w:rPr>
              <w:t>响应</w:t>
            </w:r>
            <w:r>
              <w:rPr>
                <w:rFonts w:hint="eastAsia" w:ascii="宋体" w:hAnsi="宋体" w:eastAsia="宋体" w:cs="宋体"/>
                <w:bCs/>
                <w:sz w:val="24"/>
              </w:rPr>
              <w:t>情况</w:t>
            </w:r>
          </w:p>
        </w:tc>
        <w:tc>
          <w:tcPr>
            <w:tcW w:w="1641" w:type="dxa"/>
            <w:noWrap w:val="0"/>
            <w:vAlign w:val="center"/>
          </w:tcPr>
          <w:p w14:paraId="65AE6681">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Cs/>
                <w:sz w:val="24"/>
                <w:lang w:val="en-US" w:eastAsia="zh-CN"/>
              </w:rPr>
            </w:pPr>
            <w:r>
              <w:rPr>
                <w:rFonts w:hint="eastAsia" w:ascii="宋体" w:hAnsi="宋体" w:eastAsia="宋体" w:cs="宋体"/>
                <w:bCs/>
                <w:sz w:val="24"/>
                <w:lang w:eastAsia="zh-CN"/>
              </w:rPr>
              <w:t>正</w:t>
            </w:r>
            <w:r>
              <w:rPr>
                <w:rFonts w:hint="eastAsia" w:ascii="宋体" w:hAnsi="宋体" w:eastAsia="宋体" w:cs="宋体"/>
                <w:bCs/>
                <w:sz w:val="24"/>
                <w:lang w:val="en-US" w:eastAsia="zh-CN"/>
              </w:rPr>
              <w:t>/负/无</w:t>
            </w:r>
          </w:p>
          <w:p w14:paraId="462F6362">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FF0000"/>
                <w:sz w:val="24"/>
                <w:lang w:eastAsia="zh-CN"/>
              </w:rPr>
            </w:pPr>
            <w:r>
              <w:rPr>
                <w:rFonts w:hint="eastAsia" w:ascii="宋体" w:hAnsi="宋体" w:eastAsia="宋体" w:cs="宋体"/>
                <w:bCs/>
                <w:sz w:val="24"/>
                <w:lang w:val="en-US" w:eastAsia="zh-CN"/>
              </w:rPr>
              <w:t>偏离</w:t>
            </w:r>
          </w:p>
        </w:tc>
      </w:tr>
      <w:tr w14:paraId="3A43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49" w:type="dxa"/>
            <w:noWrap w:val="0"/>
            <w:vAlign w:val="center"/>
          </w:tcPr>
          <w:p w14:paraId="11AA41CB">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62C1B5E0">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2C2AACA3">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1641" w:type="dxa"/>
            <w:noWrap w:val="0"/>
            <w:vAlign w:val="center"/>
          </w:tcPr>
          <w:p w14:paraId="2F9CE790">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r>
      <w:tr w14:paraId="263A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49" w:type="dxa"/>
            <w:noWrap w:val="0"/>
            <w:vAlign w:val="center"/>
          </w:tcPr>
          <w:p w14:paraId="72AF6B2E">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49F1B650">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68912234">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1641" w:type="dxa"/>
            <w:noWrap w:val="0"/>
            <w:vAlign w:val="center"/>
          </w:tcPr>
          <w:p w14:paraId="1346F7E0">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r>
      <w:tr w14:paraId="6342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49" w:type="dxa"/>
            <w:noWrap w:val="0"/>
            <w:vAlign w:val="center"/>
          </w:tcPr>
          <w:p w14:paraId="3A429BF6">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61F43569">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316DF366">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1641" w:type="dxa"/>
            <w:noWrap w:val="0"/>
            <w:vAlign w:val="center"/>
          </w:tcPr>
          <w:p w14:paraId="4A661E27">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r>
      <w:tr w14:paraId="4601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49" w:type="dxa"/>
            <w:noWrap w:val="0"/>
            <w:vAlign w:val="center"/>
          </w:tcPr>
          <w:p w14:paraId="30014015">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0243C36F">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34DDF9C4">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1641" w:type="dxa"/>
            <w:noWrap w:val="0"/>
            <w:vAlign w:val="center"/>
          </w:tcPr>
          <w:p w14:paraId="2AC16A64">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r>
      <w:tr w14:paraId="4E16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49" w:type="dxa"/>
            <w:noWrap w:val="0"/>
            <w:vAlign w:val="center"/>
          </w:tcPr>
          <w:p w14:paraId="2B1A4F19">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3AECDD99">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5B9AA778">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1641" w:type="dxa"/>
            <w:noWrap w:val="0"/>
            <w:vAlign w:val="center"/>
          </w:tcPr>
          <w:p w14:paraId="264CCB02">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r>
      <w:tr w14:paraId="0CE6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49" w:type="dxa"/>
            <w:noWrap w:val="0"/>
            <w:vAlign w:val="center"/>
          </w:tcPr>
          <w:p w14:paraId="1D9EBDEC">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0F352D48">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665E8820">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1641" w:type="dxa"/>
            <w:noWrap w:val="0"/>
            <w:vAlign w:val="center"/>
          </w:tcPr>
          <w:p w14:paraId="43176874">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r>
      <w:tr w14:paraId="3824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49" w:type="dxa"/>
            <w:noWrap w:val="0"/>
            <w:vAlign w:val="center"/>
          </w:tcPr>
          <w:p w14:paraId="468380EF">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5B6C5D7C">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3231" w:type="dxa"/>
            <w:noWrap w:val="0"/>
            <w:vAlign w:val="center"/>
          </w:tcPr>
          <w:p w14:paraId="79E147F6">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c>
          <w:tcPr>
            <w:tcW w:w="1641" w:type="dxa"/>
            <w:noWrap w:val="0"/>
            <w:vAlign w:val="center"/>
          </w:tcPr>
          <w:p w14:paraId="01761B22">
            <w:pPr>
              <w:keepNext w:val="0"/>
              <w:keepLines w:val="0"/>
              <w:pageBreakBefore w:val="0"/>
              <w:widowControl w:val="0"/>
              <w:tabs>
                <w:tab w:val="left" w:pos="1337"/>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4"/>
              </w:rPr>
            </w:pPr>
          </w:p>
        </w:tc>
      </w:tr>
    </w:tbl>
    <w:p w14:paraId="10A9D825">
      <w:pPr>
        <w:spacing w:after="120" w:afterLines="50" w:line="240" w:lineRule="auto"/>
        <w:outlineLvl w:val="9"/>
        <w:rPr>
          <w:rStyle w:val="247"/>
          <w:rFonts w:hint="eastAsia" w:ascii="Times New Roman" w:hAnsi="Times New Roman" w:eastAsia="宋体" w:cs="Times New Roman"/>
          <w:b w:val="0"/>
          <w:bCs w:val="0"/>
          <w:sz w:val="22"/>
          <w:szCs w:val="22"/>
          <w:lang w:val="en-US" w:eastAsia="zh-CN"/>
        </w:rPr>
      </w:pPr>
      <w:r>
        <w:rPr>
          <w:rStyle w:val="247"/>
          <w:rFonts w:hint="eastAsia" w:ascii="Times New Roman" w:hAnsi="Times New Roman" w:eastAsia="宋体" w:cs="Times New Roman"/>
          <w:b w:val="0"/>
          <w:bCs w:val="0"/>
          <w:sz w:val="22"/>
          <w:szCs w:val="22"/>
          <w:lang w:val="en-US" w:eastAsia="zh-CN"/>
        </w:rPr>
        <w:t>说明：①请填写竞争性磋商文件已列明的技术参数，供应商逐一作出响应。供应商应提供相关证明材料，未能证明的磋商小组</w:t>
      </w:r>
      <w:r>
        <w:rPr>
          <w:rStyle w:val="247"/>
          <w:rFonts w:hint="eastAsia" w:cs="Times New Roman"/>
          <w:b w:val="0"/>
          <w:bCs w:val="0"/>
          <w:sz w:val="22"/>
          <w:szCs w:val="22"/>
          <w:lang w:val="en-US" w:eastAsia="zh-CN"/>
        </w:rPr>
        <w:t>在</w:t>
      </w:r>
      <w:r>
        <w:rPr>
          <w:rStyle w:val="247"/>
          <w:rFonts w:hint="eastAsia" w:ascii="Times New Roman" w:hAnsi="Times New Roman" w:eastAsia="宋体" w:cs="Times New Roman"/>
          <w:b w:val="0"/>
          <w:bCs w:val="0"/>
          <w:sz w:val="22"/>
          <w:szCs w:val="22"/>
          <w:lang w:val="en-US" w:eastAsia="zh-CN"/>
        </w:rPr>
        <w:t>评审时有权认定为负偏离</w:t>
      </w:r>
      <w:r>
        <w:rPr>
          <w:rStyle w:val="247"/>
          <w:rFonts w:hint="eastAsia" w:cs="Times New Roman"/>
          <w:b w:val="0"/>
          <w:bCs w:val="0"/>
          <w:sz w:val="22"/>
          <w:szCs w:val="22"/>
          <w:lang w:val="en-US" w:eastAsia="zh-CN"/>
        </w:rPr>
        <w:t>。</w:t>
      </w:r>
    </w:p>
    <w:p w14:paraId="4EA0B07B">
      <w:pPr>
        <w:spacing w:after="120" w:afterLines="50" w:line="240" w:lineRule="auto"/>
        <w:outlineLvl w:val="9"/>
        <w:rPr>
          <w:rStyle w:val="247"/>
          <w:rFonts w:hint="eastAsia" w:ascii="Times New Roman" w:hAnsi="Times New Roman" w:eastAsia="宋体" w:cs="Times New Roman"/>
          <w:b w:val="0"/>
          <w:bCs w:val="0"/>
          <w:sz w:val="22"/>
          <w:szCs w:val="22"/>
          <w:lang w:val="en-US" w:eastAsia="zh-CN"/>
        </w:rPr>
      </w:pPr>
      <w:r>
        <w:rPr>
          <w:rStyle w:val="247"/>
          <w:rFonts w:hint="eastAsia" w:ascii="Times New Roman" w:hAnsi="Times New Roman" w:eastAsia="宋体" w:cs="Times New Roman"/>
          <w:b w:val="0"/>
          <w:bCs w:val="0"/>
          <w:sz w:val="22"/>
          <w:szCs w:val="22"/>
          <w:lang w:val="en-US" w:eastAsia="zh-CN"/>
        </w:rPr>
        <w:t>②请供应商在填写偏离表时，对应磋商文件要求如实填写，供应商虚假承诺的，评标委员会可认定为虚假投标，请各供应商谨慎填写。</w:t>
      </w:r>
    </w:p>
    <w:p w14:paraId="321CE745">
      <w:pPr>
        <w:spacing w:after="120" w:afterLines="50" w:line="360" w:lineRule="auto"/>
        <w:outlineLvl w:val="9"/>
        <w:rPr>
          <w:rStyle w:val="247"/>
          <w:rFonts w:hint="eastAsia" w:ascii="Times New Roman" w:hAnsi="Times New Roman" w:eastAsia="宋体" w:cs="Times New Roman"/>
          <w:b w:val="0"/>
          <w:bCs w:val="0"/>
          <w:sz w:val="24"/>
          <w:szCs w:val="24"/>
          <w:lang w:val="en-US" w:eastAsia="zh-CN"/>
        </w:rPr>
      </w:pPr>
    </w:p>
    <w:p w14:paraId="4A3C596E">
      <w:pPr>
        <w:pStyle w:val="30"/>
        <w:keepNext w:val="0"/>
        <w:keepLines w:val="0"/>
        <w:pageBreakBefore w:val="0"/>
        <w:widowControl w:val="0"/>
        <w:tabs>
          <w:tab w:val="left" w:pos="1691"/>
          <w:tab w:val="left" w:pos="2975"/>
          <w:tab w:val="left" w:pos="3815"/>
          <w:tab w:val="left" w:pos="4535"/>
          <w:tab w:val="left" w:pos="4655"/>
        </w:tabs>
        <w:kinsoku/>
        <w:wordWrap/>
        <w:overflowPunct/>
        <w:topLinePunct w:val="0"/>
        <w:autoSpaceDE/>
        <w:autoSpaceDN/>
        <w:bidi w:val="0"/>
        <w:snapToGrid/>
        <w:spacing w:after="0" w:line="24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供应商：</w:t>
      </w:r>
      <w:r>
        <w:rPr>
          <w:rFonts w:hint="eastAsia" w:ascii="宋体" w:hAnsi="宋体" w:cs="宋体"/>
          <w:sz w:val="24"/>
          <w:u w:val="single"/>
          <w:lang w:val="en-US" w:eastAsia="zh-CN"/>
        </w:rPr>
        <w:t xml:space="preserve"> </w:t>
      </w:r>
      <w:r>
        <w:rPr>
          <w:rFonts w:hint="eastAsia" w:ascii="宋体" w:hAnsi="宋体" w:cs="宋体"/>
          <w:sz w:val="24"/>
          <w:u w:val="single"/>
          <w:lang w:val="en-US" w:eastAsia="zh-CN"/>
        </w:rPr>
        <w:tab/>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（公章） </w:t>
      </w:r>
    </w:p>
    <w:p w14:paraId="608132AD">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cs="宋体"/>
          <w:sz w:val="24"/>
        </w:rPr>
      </w:pPr>
      <w:r>
        <w:rPr>
          <w:rFonts w:hint="eastAsia" w:ascii="宋体" w:hAnsi="宋体" w:cs="宋体"/>
          <w:sz w:val="24"/>
        </w:rPr>
        <w:t xml:space="preserve">法定代表人或授权委托人（签字或盖章）： </w:t>
      </w:r>
    </w:p>
    <w:p w14:paraId="6097B21D">
      <w:pPr>
        <w:pStyle w:val="30"/>
        <w:keepNext w:val="0"/>
        <w:keepLines w:val="0"/>
        <w:pageBreakBefore w:val="0"/>
        <w:widowControl w:val="0"/>
        <w:tabs>
          <w:tab w:val="left" w:pos="1691"/>
          <w:tab w:val="left" w:pos="2975"/>
          <w:tab w:val="left" w:pos="3815"/>
          <w:tab w:val="left" w:pos="4535"/>
          <w:tab w:val="left" w:pos="4655"/>
        </w:tabs>
        <w:kinsoku/>
        <w:wordWrap/>
        <w:overflowPunct/>
        <w:topLinePunct w:val="0"/>
        <w:autoSpaceDE/>
        <w:autoSpaceDN/>
        <w:bidi w:val="0"/>
        <w:snapToGrid/>
        <w:spacing w:after="0" w:line="240" w:lineRule="auto"/>
        <w:ind w:firstLine="480" w:firstLineChars="200"/>
        <w:textAlignment w:val="auto"/>
        <w:rPr>
          <w:rStyle w:val="247"/>
          <w:rFonts w:hint="eastAsia" w:ascii="Times New Roman" w:hAnsi="Times New Roman" w:eastAsia="宋体" w:cs="Times New Roman"/>
          <w:b w:val="0"/>
          <w:bCs w:val="0"/>
          <w:sz w:val="24"/>
          <w:szCs w:val="24"/>
          <w:lang w:val="en-US" w:eastAsia="zh-CN"/>
        </w:rPr>
      </w:pPr>
      <w:r>
        <w:rPr>
          <w:rFonts w:hint="eastAsia" w:ascii="宋体" w:hAnsi="宋体" w:cs="宋体"/>
          <w:sz w:val="24"/>
          <w:lang w:val="en-US" w:eastAsia="zh-CN"/>
        </w:rPr>
        <w:t xml:space="preserve">日   期： </w:t>
      </w:r>
      <w:r>
        <w:rPr>
          <w:rFonts w:hint="eastAsia" w:ascii="宋体" w:hAnsi="宋体" w:cs="宋体"/>
          <w:sz w:val="24"/>
          <w:u w:val="single"/>
          <w:lang w:val="en-US" w:eastAsia="zh-CN"/>
        </w:rPr>
        <w:t xml:space="preserve"> </w:t>
      </w:r>
      <w:r>
        <w:rPr>
          <w:rFonts w:hint="eastAsia" w:ascii="宋体" w:hAnsi="宋体" w:cs="宋体"/>
          <w:sz w:val="24"/>
          <w:u w:val="single"/>
          <w:lang w:val="en-US" w:eastAsia="zh-CN"/>
        </w:rPr>
        <w:tab/>
      </w:r>
      <w:r>
        <w:rPr>
          <w:rFonts w:hint="eastAsia" w:ascii="宋体" w:hAnsi="宋体" w:cs="宋体"/>
          <w:sz w:val="24"/>
          <w:lang w:val="en-US" w:eastAsia="zh-CN"/>
        </w:rPr>
        <w:t>年</w:t>
      </w:r>
      <w:r>
        <w:rPr>
          <w:rFonts w:hint="eastAsia" w:ascii="宋体" w:hAnsi="宋体" w:cs="宋体"/>
          <w:sz w:val="24"/>
          <w:u w:val="single"/>
          <w:lang w:val="en-US" w:eastAsia="zh-CN"/>
        </w:rPr>
        <w:t xml:space="preserve">       </w:t>
      </w:r>
      <w:r>
        <w:rPr>
          <w:rFonts w:hint="eastAsia" w:ascii="宋体" w:hAnsi="宋体" w:cs="宋体"/>
          <w:sz w:val="24"/>
          <w:lang w:val="en-US" w:eastAsia="zh-CN"/>
        </w:rPr>
        <w:t>月</w:t>
      </w:r>
      <w:r>
        <w:rPr>
          <w:rFonts w:hint="eastAsia" w:ascii="宋体" w:hAnsi="宋体" w:cs="宋体"/>
          <w:sz w:val="24"/>
          <w:u w:val="single"/>
          <w:lang w:val="en-US" w:eastAsia="zh-CN"/>
        </w:rPr>
        <w:t xml:space="preserve">        日</w:t>
      </w:r>
      <w:r>
        <w:rPr>
          <w:rStyle w:val="247"/>
          <w:rFonts w:hint="eastAsia" w:ascii="Times New Roman" w:hAnsi="Times New Roman" w:eastAsia="宋体" w:cs="Times New Roman"/>
          <w:b w:val="0"/>
          <w:bCs w:val="0"/>
          <w:sz w:val="24"/>
          <w:szCs w:val="24"/>
          <w:lang w:val="en-US" w:eastAsia="zh-CN"/>
        </w:rPr>
        <w:br w:type="page"/>
      </w:r>
    </w:p>
    <w:bookmarkEnd w:id="339"/>
    <w:bookmarkEnd w:id="340"/>
    <w:p w14:paraId="78B13793">
      <w:pPr>
        <w:pStyle w:val="3"/>
        <w:bidi w:val="0"/>
        <w:jc w:val="center"/>
        <w:rPr>
          <w:rFonts w:hint="eastAsia" w:cs="Times New Roman"/>
          <w:lang w:val="en-US" w:eastAsia="zh-CN"/>
        </w:rPr>
      </w:pPr>
      <w:r>
        <w:rPr>
          <w:rFonts w:hint="eastAsia" w:cs="Times New Roman"/>
          <w:lang w:val="en-US" w:eastAsia="zh-CN"/>
        </w:rPr>
        <w:t>七、技术方案</w:t>
      </w:r>
    </w:p>
    <w:p w14:paraId="743160B1">
      <w:pPr>
        <w:numPr>
          <w:ilvl w:val="0"/>
          <w:numId w:val="0"/>
        </w:numPr>
        <w:spacing w:line="360" w:lineRule="auto"/>
        <w:jc w:val="center"/>
        <w:outlineLvl w:val="9"/>
        <w:rPr>
          <w:rStyle w:val="247"/>
          <w:rFonts w:hint="eastAsia" w:eastAsia="宋体"/>
          <w:b w:val="0"/>
          <w:bCs w:val="0"/>
          <w:sz w:val="24"/>
          <w:szCs w:val="24"/>
          <w:lang w:eastAsia="zh-CN"/>
        </w:rPr>
      </w:pPr>
      <w:r>
        <w:rPr>
          <w:rStyle w:val="247"/>
          <w:rFonts w:hint="eastAsia" w:eastAsia="宋体"/>
          <w:b w:val="0"/>
          <w:bCs w:val="0"/>
          <w:sz w:val="24"/>
          <w:szCs w:val="24"/>
          <w:lang w:eastAsia="zh-CN"/>
        </w:rPr>
        <w:t>（格式自拟）</w:t>
      </w:r>
    </w:p>
    <w:bookmarkEnd w:id="325"/>
    <w:bookmarkEnd w:id="341"/>
    <w:p w14:paraId="20D9BB32">
      <w:pPr>
        <w:rPr>
          <w:rStyle w:val="247"/>
          <w:rFonts w:hint="eastAsia"/>
          <w:b w:val="0"/>
          <w:bCs w:val="0"/>
          <w:sz w:val="24"/>
          <w:szCs w:val="24"/>
          <w:lang w:val="en-US" w:eastAsia="zh-CN"/>
        </w:rPr>
      </w:pPr>
      <w:bookmarkStart w:id="342" w:name="_Toc2193"/>
      <w:bookmarkStart w:id="343" w:name="_Toc25106"/>
      <w:bookmarkStart w:id="344" w:name="_Toc30474"/>
      <w:r>
        <w:rPr>
          <w:rStyle w:val="247"/>
          <w:rFonts w:hint="eastAsia"/>
          <w:b w:val="0"/>
          <w:bCs w:val="0"/>
          <w:sz w:val="24"/>
          <w:szCs w:val="24"/>
          <w:lang w:val="en-US" w:eastAsia="zh-CN"/>
        </w:rPr>
        <w:br w:type="page"/>
      </w:r>
    </w:p>
    <w:bookmarkEnd w:id="326"/>
    <w:bookmarkEnd w:id="327"/>
    <w:bookmarkEnd w:id="328"/>
    <w:bookmarkEnd w:id="329"/>
    <w:bookmarkEnd w:id="330"/>
    <w:bookmarkEnd w:id="331"/>
    <w:bookmarkEnd w:id="332"/>
    <w:bookmarkEnd w:id="333"/>
    <w:bookmarkEnd w:id="334"/>
    <w:bookmarkEnd w:id="335"/>
    <w:bookmarkEnd w:id="342"/>
    <w:bookmarkEnd w:id="343"/>
    <w:bookmarkEnd w:id="344"/>
    <w:p w14:paraId="3BC62811">
      <w:pPr>
        <w:pStyle w:val="3"/>
        <w:bidi w:val="0"/>
        <w:jc w:val="center"/>
        <w:rPr>
          <w:rFonts w:hint="eastAsia" w:cs="Times New Roman"/>
          <w:lang w:val="en-US" w:eastAsia="zh-CN"/>
        </w:rPr>
      </w:pPr>
      <w:bookmarkStart w:id="345" w:name="_Toc23071"/>
      <w:bookmarkStart w:id="346" w:name="_Toc1696"/>
      <w:bookmarkStart w:id="347" w:name="_Toc4518"/>
      <w:bookmarkStart w:id="348" w:name="_Toc19278"/>
      <w:r>
        <w:rPr>
          <w:rFonts w:hint="eastAsia" w:cs="Times New Roman"/>
          <w:lang w:val="en-US" w:eastAsia="zh-CN"/>
        </w:rPr>
        <w:t>八、供应商认为需后附的其他材料</w:t>
      </w:r>
      <w:bookmarkEnd w:id="345"/>
      <w:bookmarkEnd w:id="346"/>
      <w:bookmarkEnd w:id="347"/>
      <w:bookmarkEnd w:id="348"/>
    </w:p>
    <w:p w14:paraId="781233CE">
      <w:pPr>
        <w:spacing w:after="159" w:afterLines="50" w:line="360" w:lineRule="auto"/>
        <w:ind w:firstLine="600" w:firstLineChars="200"/>
        <w:jc w:val="center"/>
        <w:rPr>
          <w:rFonts w:hint="eastAsia" w:ascii="宋体" w:hAnsi="宋体" w:cs="宋体"/>
          <w:sz w:val="30"/>
          <w:szCs w:val="30"/>
        </w:rPr>
      </w:pPr>
    </w:p>
    <w:p w14:paraId="1C503B94">
      <w:pPr>
        <w:spacing w:after="159" w:afterLines="50" w:line="360" w:lineRule="auto"/>
        <w:ind w:firstLine="480" w:firstLineChars="200"/>
        <w:outlineLvl w:val="9"/>
        <w:rPr>
          <w:rFonts w:hint="eastAsia" w:ascii="宋体" w:hAnsi="宋体" w:eastAsia="宋体" w:cs="宋体"/>
          <w:sz w:val="24"/>
          <w:lang w:eastAsia="zh-CN"/>
        </w:rPr>
      </w:pPr>
      <w:r>
        <w:rPr>
          <w:rFonts w:hint="eastAsia" w:ascii="宋体" w:hAnsi="宋体" w:cs="宋体"/>
          <w:color w:val="FF0000"/>
          <w:sz w:val="24"/>
        </w:rPr>
        <w:br w:type="page"/>
      </w:r>
    </w:p>
    <w:p w14:paraId="195851F4">
      <w:pPr>
        <w:pageBreakBefore w:val="0"/>
        <w:kinsoku/>
        <w:overflowPunct/>
        <w:topLinePunct w:val="0"/>
        <w:bidi w:val="0"/>
        <w:spacing w:after="157" w:afterLines="50" w:line="360" w:lineRule="auto"/>
        <w:ind w:left="0" w:leftChars="0" w:right="0" w:rightChars="0" w:firstLine="0" w:firstLineChars="0"/>
        <w:jc w:val="both"/>
        <w:outlineLvl w:val="9"/>
        <w:rPr>
          <w:rFonts w:hint="eastAsia" w:asciiTheme="minorEastAsia" w:hAnsiTheme="minorEastAsia" w:eastAsiaTheme="minorEastAsia" w:cstheme="minorEastAsia"/>
          <w:b/>
          <w:bCs/>
          <w:sz w:val="24"/>
          <w:szCs w:val="24"/>
          <w:highlight w:val="none"/>
          <w:lang w:val="en-US" w:eastAsia="zh-CN"/>
        </w:rPr>
      </w:pPr>
      <w:bookmarkStart w:id="349" w:name="_Toc12613409"/>
      <w:bookmarkStart w:id="350" w:name="_Toc9845242"/>
      <w:bookmarkStart w:id="351" w:name="_Toc13581217"/>
      <w:bookmarkStart w:id="352" w:name="_Toc23302"/>
      <w:bookmarkStart w:id="353" w:name="_Toc12613445"/>
      <w:bookmarkStart w:id="354" w:name="_Toc6916077"/>
    </w:p>
    <w:bookmarkEnd w:id="349"/>
    <w:bookmarkEnd w:id="350"/>
    <w:bookmarkEnd w:id="351"/>
    <w:bookmarkEnd w:id="352"/>
    <w:bookmarkEnd w:id="353"/>
    <w:bookmarkEnd w:id="354"/>
    <w:p w14:paraId="1A928A2C">
      <w:pPr>
        <w:jc w:val="center"/>
        <w:rPr>
          <w:rFonts w:hint="eastAsia" w:ascii="宋体" w:hAnsi="宋体" w:cs="宋体"/>
          <w:bCs/>
          <w:sz w:val="28"/>
          <w:szCs w:val="28"/>
          <w:highlight w:val="none"/>
        </w:rPr>
      </w:pPr>
      <w:bookmarkStart w:id="355" w:name="_Toc12613422"/>
      <w:bookmarkStart w:id="356" w:name="_Toc6916090"/>
      <w:bookmarkStart w:id="357" w:name="_Toc12613458"/>
      <w:bookmarkStart w:id="358" w:name="_Toc13581230"/>
      <w:bookmarkStart w:id="359" w:name="_Toc9845255"/>
      <w:r>
        <w:rPr>
          <w:rFonts w:hint="eastAsia" w:ascii="宋体" w:hAnsi="宋体" w:cs="宋体"/>
          <w:bCs/>
          <w:sz w:val="28"/>
          <w:szCs w:val="28"/>
          <w:highlight w:val="none"/>
        </w:rPr>
        <w:t>环境标志产品明细表</w:t>
      </w:r>
    </w:p>
    <w:p w14:paraId="1F78EF65">
      <w:pPr>
        <w:adjustRightInd w:val="0"/>
        <w:snapToGrid w:val="0"/>
        <w:spacing w:before="145" w:beforeLines="50" w:line="360" w:lineRule="auto"/>
        <w:ind w:left="420" w:right="-20" w:firstLine="89" w:firstLineChars="42"/>
        <w:jc w:val="center"/>
        <w:outlineLvl w:val="9"/>
        <w:rPr>
          <w:rFonts w:hint="eastAsia" w:ascii="宋体" w:hAnsi="宋体" w:cs="宋体"/>
          <w:b/>
          <w:spacing w:val="1"/>
          <w:position w:val="-2"/>
          <w:szCs w:val="21"/>
          <w:highlight w:val="none"/>
        </w:rPr>
      </w:pPr>
      <w:r>
        <w:rPr>
          <w:rFonts w:hint="eastAsia" w:ascii="宋体" w:hAnsi="宋体" w:cs="宋体"/>
          <w:b/>
          <w:spacing w:val="1"/>
          <w:position w:val="-2"/>
          <w:szCs w:val="21"/>
          <w:highlight w:val="none"/>
        </w:rPr>
        <w:t>（所投产品如为环境标志产品填写）</w:t>
      </w:r>
    </w:p>
    <w:p w14:paraId="58CF871B">
      <w:pPr>
        <w:adjustRightInd w:val="0"/>
        <w:snapToGrid w:val="0"/>
        <w:spacing w:before="145" w:beforeLines="50" w:line="360" w:lineRule="auto"/>
        <w:ind w:right="187"/>
        <w:jc w:val="center"/>
        <w:rPr>
          <w:rFonts w:hint="eastAsia" w:ascii="宋体" w:hAnsi="宋体" w:cs="宋体"/>
          <w:bCs/>
          <w:szCs w:val="21"/>
          <w:highlight w:val="none"/>
        </w:rPr>
      </w:pPr>
    </w:p>
    <w:p w14:paraId="36370E6F">
      <w:pPr>
        <w:adjustRightInd w:val="0"/>
        <w:snapToGrid w:val="0"/>
        <w:spacing w:before="145" w:beforeLines="50" w:line="360" w:lineRule="auto"/>
        <w:ind w:right="187"/>
        <w:jc w:val="right"/>
        <w:outlineLvl w:val="9"/>
        <w:rPr>
          <w:rFonts w:hint="eastAsia" w:ascii="宋体" w:hAnsi="宋体" w:cs="宋体"/>
          <w:bCs/>
          <w:szCs w:val="21"/>
          <w:highlight w:val="none"/>
        </w:rPr>
      </w:pPr>
      <w:r>
        <w:rPr>
          <w:rFonts w:hint="eastAsia" w:ascii="宋体" w:hAnsi="宋体" w:cs="宋体"/>
          <w:bCs/>
          <w:szCs w:val="21"/>
          <w:highlight w:val="none"/>
        </w:rPr>
        <w:t xml:space="preserve">                         </w:t>
      </w:r>
      <w:bookmarkStart w:id="360" w:name="_Toc15342"/>
      <w:bookmarkStart w:id="361" w:name="_Toc17170"/>
      <w:bookmarkStart w:id="362" w:name="_Toc3745"/>
      <w:bookmarkStart w:id="363" w:name="_Toc1417"/>
      <w:bookmarkStart w:id="364" w:name="_Toc27468"/>
      <w:r>
        <w:rPr>
          <w:rFonts w:hint="eastAsia" w:ascii="宋体" w:hAnsi="宋体" w:cs="宋体"/>
          <w:bCs/>
          <w:szCs w:val="21"/>
          <w:highlight w:val="none"/>
        </w:rPr>
        <w:t>单位：元</w:t>
      </w:r>
      <w:bookmarkEnd w:id="360"/>
      <w:bookmarkEnd w:id="361"/>
      <w:bookmarkEnd w:id="362"/>
      <w:bookmarkEnd w:id="363"/>
      <w:bookmarkEnd w:id="364"/>
    </w:p>
    <w:tbl>
      <w:tblPr>
        <w:tblStyle w:val="7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2"/>
        <w:gridCol w:w="884"/>
        <w:gridCol w:w="899"/>
        <w:gridCol w:w="726"/>
        <w:gridCol w:w="1156"/>
        <w:gridCol w:w="1808"/>
        <w:gridCol w:w="1581"/>
        <w:gridCol w:w="518"/>
        <w:gridCol w:w="723"/>
        <w:gridCol w:w="947"/>
      </w:tblGrid>
      <w:tr w14:paraId="2F295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612" w:type="dxa"/>
            <w:vMerge w:val="restart"/>
            <w:vAlign w:val="center"/>
          </w:tcPr>
          <w:p w14:paraId="1812F4E3">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序号</w:t>
            </w:r>
          </w:p>
        </w:tc>
        <w:tc>
          <w:tcPr>
            <w:tcW w:w="884" w:type="dxa"/>
            <w:vMerge w:val="restart"/>
            <w:vAlign w:val="center"/>
          </w:tcPr>
          <w:p w14:paraId="7474E9A8">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产品名称</w:t>
            </w:r>
          </w:p>
        </w:tc>
        <w:tc>
          <w:tcPr>
            <w:tcW w:w="899" w:type="dxa"/>
            <w:vMerge w:val="restart"/>
            <w:vAlign w:val="center"/>
          </w:tcPr>
          <w:p w14:paraId="40C99CF5">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企业名称</w:t>
            </w:r>
          </w:p>
        </w:tc>
        <w:tc>
          <w:tcPr>
            <w:tcW w:w="726" w:type="dxa"/>
            <w:vMerge w:val="restart"/>
            <w:vAlign w:val="center"/>
          </w:tcPr>
          <w:p w14:paraId="2743C4A1">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品牌</w:t>
            </w:r>
          </w:p>
        </w:tc>
        <w:tc>
          <w:tcPr>
            <w:tcW w:w="1156" w:type="dxa"/>
            <w:vMerge w:val="restart"/>
            <w:vAlign w:val="center"/>
          </w:tcPr>
          <w:p w14:paraId="0668C52E">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规格型号</w:t>
            </w:r>
          </w:p>
        </w:tc>
        <w:tc>
          <w:tcPr>
            <w:tcW w:w="1808" w:type="dxa"/>
            <w:vMerge w:val="restart"/>
            <w:vAlign w:val="center"/>
          </w:tcPr>
          <w:p w14:paraId="0E1A68BE">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szCs w:val="21"/>
                <w:highlight w:val="none"/>
              </w:rPr>
              <w:t>中国环境标志认证证书   编号</w:t>
            </w:r>
          </w:p>
        </w:tc>
        <w:tc>
          <w:tcPr>
            <w:tcW w:w="1581" w:type="dxa"/>
            <w:vMerge w:val="restart"/>
            <w:vAlign w:val="center"/>
          </w:tcPr>
          <w:p w14:paraId="52DF049B">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szCs w:val="21"/>
                <w:highlight w:val="none"/>
              </w:rPr>
              <w:t>认证证书有效截止 日期</w:t>
            </w:r>
          </w:p>
        </w:tc>
        <w:tc>
          <w:tcPr>
            <w:tcW w:w="2188" w:type="dxa"/>
            <w:gridSpan w:val="3"/>
            <w:vAlign w:val="center"/>
          </w:tcPr>
          <w:p w14:paraId="1019FDC1">
            <w:pPr>
              <w:adjustRightInd w:val="0"/>
              <w:snapToGrid w:val="0"/>
              <w:spacing w:before="145" w:beforeLines="50" w:line="360" w:lineRule="auto"/>
              <w:ind w:right="-20"/>
              <w:jc w:val="center"/>
              <w:rPr>
                <w:rFonts w:ascii="宋体" w:hAnsi="宋体" w:eastAsia="宋体" w:cs="宋体"/>
                <w:szCs w:val="21"/>
                <w:highlight w:val="none"/>
              </w:rPr>
            </w:pPr>
            <w:r>
              <w:rPr>
                <w:rFonts w:ascii="宋体" w:hAnsi="宋体" w:eastAsia="宋体" w:cs="宋体"/>
                <w:szCs w:val="21"/>
                <w:highlight w:val="none"/>
              </w:rPr>
              <w:t>价格</w:t>
            </w:r>
          </w:p>
        </w:tc>
      </w:tr>
      <w:tr w14:paraId="704B4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612" w:type="dxa"/>
            <w:vMerge w:val="continue"/>
            <w:vAlign w:val="center"/>
          </w:tcPr>
          <w:p w14:paraId="3CD18EB8">
            <w:pPr>
              <w:adjustRightInd w:val="0"/>
              <w:snapToGrid w:val="0"/>
              <w:spacing w:before="145" w:beforeLines="50" w:line="360" w:lineRule="auto"/>
              <w:jc w:val="center"/>
              <w:rPr>
                <w:rFonts w:ascii="宋体" w:hAnsi="宋体" w:eastAsia="宋体" w:cs="宋体"/>
                <w:position w:val="-1"/>
                <w:szCs w:val="21"/>
                <w:highlight w:val="none"/>
              </w:rPr>
            </w:pPr>
          </w:p>
        </w:tc>
        <w:tc>
          <w:tcPr>
            <w:tcW w:w="884" w:type="dxa"/>
            <w:vMerge w:val="continue"/>
            <w:vAlign w:val="center"/>
          </w:tcPr>
          <w:p w14:paraId="2DD09DED">
            <w:pPr>
              <w:adjustRightInd w:val="0"/>
              <w:snapToGrid w:val="0"/>
              <w:spacing w:before="145" w:beforeLines="50" w:line="360" w:lineRule="auto"/>
              <w:jc w:val="center"/>
              <w:rPr>
                <w:rFonts w:ascii="宋体" w:hAnsi="宋体" w:eastAsia="宋体" w:cs="宋体"/>
                <w:position w:val="-1"/>
                <w:szCs w:val="21"/>
                <w:highlight w:val="none"/>
              </w:rPr>
            </w:pPr>
          </w:p>
        </w:tc>
        <w:tc>
          <w:tcPr>
            <w:tcW w:w="899" w:type="dxa"/>
            <w:vMerge w:val="continue"/>
            <w:vAlign w:val="center"/>
          </w:tcPr>
          <w:p w14:paraId="22CF97F8">
            <w:pPr>
              <w:adjustRightInd w:val="0"/>
              <w:snapToGrid w:val="0"/>
              <w:spacing w:before="145" w:beforeLines="50" w:line="360" w:lineRule="auto"/>
              <w:jc w:val="center"/>
              <w:rPr>
                <w:rFonts w:ascii="宋体" w:hAnsi="宋体" w:eastAsia="宋体" w:cs="宋体"/>
                <w:position w:val="-1"/>
                <w:szCs w:val="21"/>
                <w:highlight w:val="none"/>
              </w:rPr>
            </w:pPr>
          </w:p>
        </w:tc>
        <w:tc>
          <w:tcPr>
            <w:tcW w:w="726" w:type="dxa"/>
            <w:vMerge w:val="continue"/>
            <w:vAlign w:val="center"/>
          </w:tcPr>
          <w:p w14:paraId="5B30579B">
            <w:pPr>
              <w:adjustRightInd w:val="0"/>
              <w:snapToGrid w:val="0"/>
              <w:spacing w:before="145" w:beforeLines="50" w:line="360" w:lineRule="auto"/>
              <w:jc w:val="center"/>
              <w:rPr>
                <w:rFonts w:ascii="宋体" w:hAnsi="宋体" w:eastAsia="宋体" w:cs="宋体"/>
                <w:position w:val="-1"/>
                <w:szCs w:val="21"/>
                <w:highlight w:val="none"/>
              </w:rPr>
            </w:pPr>
          </w:p>
        </w:tc>
        <w:tc>
          <w:tcPr>
            <w:tcW w:w="1156" w:type="dxa"/>
            <w:vMerge w:val="continue"/>
            <w:vAlign w:val="center"/>
          </w:tcPr>
          <w:p w14:paraId="50073B39">
            <w:pPr>
              <w:adjustRightInd w:val="0"/>
              <w:snapToGrid w:val="0"/>
              <w:spacing w:before="145" w:beforeLines="50" w:line="360" w:lineRule="auto"/>
              <w:jc w:val="center"/>
              <w:rPr>
                <w:rFonts w:ascii="宋体" w:hAnsi="宋体" w:eastAsia="宋体" w:cs="宋体"/>
                <w:position w:val="-1"/>
                <w:szCs w:val="21"/>
                <w:highlight w:val="none"/>
              </w:rPr>
            </w:pPr>
          </w:p>
        </w:tc>
        <w:tc>
          <w:tcPr>
            <w:tcW w:w="1808" w:type="dxa"/>
            <w:vMerge w:val="continue"/>
            <w:vAlign w:val="center"/>
          </w:tcPr>
          <w:p w14:paraId="5799C8FF">
            <w:pPr>
              <w:adjustRightInd w:val="0"/>
              <w:snapToGrid w:val="0"/>
              <w:spacing w:before="145" w:beforeLines="50" w:line="360" w:lineRule="auto"/>
              <w:jc w:val="center"/>
              <w:rPr>
                <w:rFonts w:ascii="宋体" w:hAnsi="宋体" w:eastAsia="宋体" w:cs="宋体"/>
                <w:szCs w:val="21"/>
                <w:highlight w:val="none"/>
              </w:rPr>
            </w:pPr>
          </w:p>
        </w:tc>
        <w:tc>
          <w:tcPr>
            <w:tcW w:w="1581" w:type="dxa"/>
            <w:vMerge w:val="continue"/>
            <w:vAlign w:val="center"/>
          </w:tcPr>
          <w:p w14:paraId="77EF3E3F">
            <w:pPr>
              <w:adjustRightInd w:val="0"/>
              <w:snapToGrid w:val="0"/>
              <w:spacing w:before="145" w:beforeLines="50" w:line="360" w:lineRule="auto"/>
              <w:jc w:val="center"/>
              <w:rPr>
                <w:rFonts w:ascii="宋体" w:hAnsi="宋体" w:eastAsia="宋体" w:cs="宋体"/>
                <w:szCs w:val="21"/>
                <w:highlight w:val="none"/>
              </w:rPr>
            </w:pPr>
          </w:p>
        </w:tc>
        <w:tc>
          <w:tcPr>
            <w:tcW w:w="518" w:type="dxa"/>
            <w:vAlign w:val="center"/>
          </w:tcPr>
          <w:p w14:paraId="61707741">
            <w:pPr>
              <w:adjustRightInd w:val="0"/>
              <w:snapToGrid w:val="0"/>
              <w:spacing w:before="145" w:beforeLines="50" w:line="360" w:lineRule="auto"/>
              <w:ind w:right="-20"/>
              <w:jc w:val="center"/>
              <w:rPr>
                <w:rFonts w:ascii="宋体" w:hAnsi="宋体" w:eastAsia="宋体" w:cs="宋体"/>
                <w:szCs w:val="21"/>
                <w:highlight w:val="none"/>
              </w:rPr>
            </w:pPr>
            <w:r>
              <w:rPr>
                <w:rFonts w:ascii="宋体" w:hAnsi="宋体" w:eastAsia="宋体" w:cs="宋体"/>
                <w:szCs w:val="21"/>
                <w:highlight w:val="none"/>
              </w:rPr>
              <w:t>单价</w:t>
            </w:r>
          </w:p>
        </w:tc>
        <w:tc>
          <w:tcPr>
            <w:tcW w:w="723" w:type="dxa"/>
            <w:vAlign w:val="center"/>
          </w:tcPr>
          <w:p w14:paraId="48C878DD">
            <w:pPr>
              <w:adjustRightInd w:val="0"/>
              <w:snapToGrid w:val="0"/>
              <w:spacing w:before="145" w:beforeLines="50" w:line="360" w:lineRule="auto"/>
              <w:ind w:right="-20"/>
              <w:jc w:val="center"/>
              <w:rPr>
                <w:rFonts w:ascii="宋体" w:hAnsi="宋体" w:eastAsia="宋体" w:cs="宋体"/>
                <w:szCs w:val="21"/>
                <w:highlight w:val="none"/>
              </w:rPr>
            </w:pPr>
            <w:r>
              <w:rPr>
                <w:rFonts w:ascii="宋体" w:hAnsi="宋体" w:eastAsia="宋体" w:cs="宋体"/>
                <w:szCs w:val="21"/>
                <w:highlight w:val="none"/>
              </w:rPr>
              <w:t>数量</w:t>
            </w:r>
          </w:p>
        </w:tc>
        <w:tc>
          <w:tcPr>
            <w:tcW w:w="947" w:type="dxa"/>
            <w:vAlign w:val="center"/>
          </w:tcPr>
          <w:p w14:paraId="1B3292B3">
            <w:pPr>
              <w:adjustRightInd w:val="0"/>
              <w:snapToGrid w:val="0"/>
              <w:spacing w:before="145" w:beforeLines="50" w:line="360" w:lineRule="auto"/>
              <w:ind w:right="-20"/>
              <w:jc w:val="center"/>
              <w:rPr>
                <w:rFonts w:ascii="宋体" w:hAnsi="宋体" w:eastAsia="宋体" w:cs="宋体"/>
                <w:szCs w:val="21"/>
                <w:highlight w:val="none"/>
              </w:rPr>
            </w:pPr>
            <w:r>
              <w:rPr>
                <w:rFonts w:ascii="宋体" w:hAnsi="宋体" w:eastAsia="宋体" w:cs="宋体"/>
                <w:szCs w:val="21"/>
                <w:highlight w:val="none"/>
              </w:rPr>
              <w:t>合价</w:t>
            </w:r>
          </w:p>
        </w:tc>
      </w:tr>
      <w:tr w14:paraId="5E8144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612" w:type="dxa"/>
            <w:vAlign w:val="top"/>
          </w:tcPr>
          <w:p w14:paraId="50FDA2AB">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1</w:t>
            </w:r>
          </w:p>
        </w:tc>
        <w:tc>
          <w:tcPr>
            <w:tcW w:w="884" w:type="dxa"/>
            <w:vAlign w:val="top"/>
          </w:tcPr>
          <w:p w14:paraId="0A93F0CD">
            <w:pPr>
              <w:adjustRightInd w:val="0"/>
              <w:snapToGrid w:val="0"/>
              <w:spacing w:before="145" w:beforeLines="50" w:line="360" w:lineRule="auto"/>
              <w:rPr>
                <w:rFonts w:ascii="宋体" w:hAnsi="宋体" w:eastAsia="宋体" w:cs="宋体"/>
                <w:position w:val="-1"/>
                <w:szCs w:val="21"/>
                <w:highlight w:val="none"/>
              </w:rPr>
            </w:pPr>
          </w:p>
        </w:tc>
        <w:tc>
          <w:tcPr>
            <w:tcW w:w="899" w:type="dxa"/>
            <w:vAlign w:val="top"/>
          </w:tcPr>
          <w:p w14:paraId="0398A8FF">
            <w:pPr>
              <w:adjustRightInd w:val="0"/>
              <w:snapToGrid w:val="0"/>
              <w:spacing w:before="145" w:beforeLines="50" w:line="360" w:lineRule="auto"/>
              <w:rPr>
                <w:rFonts w:ascii="宋体" w:hAnsi="宋体" w:eastAsia="宋体" w:cs="宋体"/>
                <w:position w:val="-1"/>
                <w:szCs w:val="21"/>
                <w:highlight w:val="none"/>
              </w:rPr>
            </w:pPr>
          </w:p>
        </w:tc>
        <w:tc>
          <w:tcPr>
            <w:tcW w:w="726" w:type="dxa"/>
            <w:vAlign w:val="top"/>
          </w:tcPr>
          <w:p w14:paraId="0BBBDE55">
            <w:pPr>
              <w:adjustRightInd w:val="0"/>
              <w:snapToGrid w:val="0"/>
              <w:spacing w:before="145" w:beforeLines="50" w:line="360" w:lineRule="auto"/>
              <w:rPr>
                <w:rFonts w:ascii="宋体" w:hAnsi="宋体" w:eastAsia="宋体" w:cs="宋体"/>
                <w:position w:val="-1"/>
                <w:szCs w:val="21"/>
                <w:highlight w:val="none"/>
              </w:rPr>
            </w:pPr>
          </w:p>
        </w:tc>
        <w:tc>
          <w:tcPr>
            <w:tcW w:w="1156" w:type="dxa"/>
            <w:vAlign w:val="top"/>
          </w:tcPr>
          <w:p w14:paraId="69177D8F">
            <w:pPr>
              <w:adjustRightInd w:val="0"/>
              <w:snapToGrid w:val="0"/>
              <w:spacing w:before="145" w:beforeLines="50" w:line="360" w:lineRule="auto"/>
              <w:rPr>
                <w:rFonts w:ascii="宋体" w:hAnsi="宋体" w:eastAsia="宋体" w:cs="宋体"/>
                <w:position w:val="-1"/>
                <w:szCs w:val="21"/>
                <w:highlight w:val="none"/>
              </w:rPr>
            </w:pPr>
          </w:p>
        </w:tc>
        <w:tc>
          <w:tcPr>
            <w:tcW w:w="1808" w:type="dxa"/>
            <w:vAlign w:val="top"/>
          </w:tcPr>
          <w:p w14:paraId="228B2946">
            <w:pPr>
              <w:adjustRightInd w:val="0"/>
              <w:snapToGrid w:val="0"/>
              <w:spacing w:before="145" w:beforeLines="50" w:line="360" w:lineRule="auto"/>
              <w:rPr>
                <w:rFonts w:ascii="宋体" w:hAnsi="宋体" w:eastAsia="宋体" w:cs="宋体"/>
                <w:position w:val="-1"/>
                <w:szCs w:val="21"/>
                <w:highlight w:val="none"/>
              </w:rPr>
            </w:pPr>
          </w:p>
        </w:tc>
        <w:tc>
          <w:tcPr>
            <w:tcW w:w="1581" w:type="dxa"/>
            <w:vAlign w:val="top"/>
          </w:tcPr>
          <w:p w14:paraId="0DB8A057">
            <w:pPr>
              <w:adjustRightInd w:val="0"/>
              <w:snapToGrid w:val="0"/>
              <w:spacing w:before="145" w:beforeLines="50" w:line="360" w:lineRule="auto"/>
              <w:rPr>
                <w:rFonts w:ascii="宋体" w:hAnsi="宋体" w:eastAsia="宋体" w:cs="宋体"/>
                <w:position w:val="-1"/>
                <w:szCs w:val="21"/>
                <w:highlight w:val="none"/>
              </w:rPr>
            </w:pPr>
          </w:p>
        </w:tc>
        <w:tc>
          <w:tcPr>
            <w:tcW w:w="518" w:type="dxa"/>
            <w:vAlign w:val="top"/>
          </w:tcPr>
          <w:p w14:paraId="12585208">
            <w:pPr>
              <w:adjustRightInd w:val="0"/>
              <w:snapToGrid w:val="0"/>
              <w:spacing w:before="145" w:beforeLines="50" w:line="360" w:lineRule="auto"/>
              <w:rPr>
                <w:rFonts w:ascii="宋体" w:hAnsi="宋体" w:eastAsia="宋体" w:cs="宋体"/>
                <w:position w:val="-1"/>
                <w:szCs w:val="21"/>
                <w:highlight w:val="none"/>
              </w:rPr>
            </w:pPr>
          </w:p>
        </w:tc>
        <w:tc>
          <w:tcPr>
            <w:tcW w:w="723" w:type="dxa"/>
            <w:vAlign w:val="top"/>
          </w:tcPr>
          <w:p w14:paraId="43565602">
            <w:pPr>
              <w:adjustRightInd w:val="0"/>
              <w:snapToGrid w:val="0"/>
              <w:spacing w:before="145" w:beforeLines="50" w:line="360" w:lineRule="auto"/>
              <w:rPr>
                <w:rFonts w:ascii="宋体" w:hAnsi="宋体" w:eastAsia="宋体" w:cs="宋体"/>
                <w:position w:val="-1"/>
                <w:szCs w:val="21"/>
                <w:highlight w:val="none"/>
              </w:rPr>
            </w:pPr>
          </w:p>
        </w:tc>
        <w:tc>
          <w:tcPr>
            <w:tcW w:w="947" w:type="dxa"/>
            <w:vAlign w:val="top"/>
          </w:tcPr>
          <w:p w14:paraId="16D55354">
            <w:pPr>
              <w:adjustRightInd w:val="0"/>
              <w:snapToGrid w:val="0"/>
              <w:spacing w:before="145" w:beforeLines="50" w:line="360" w:lineRule="auto"/>
              <w:rPr>
                <w:rFonts w:ascii="宋体" w:hAnsi="宋体" w:eastAsia="宋体" w:cs="宋体"/>
                <w:position w:val="-1"/>
                <w:szCs w:val="21"/>
                <w:highlight w:val="none"/>
              </w:rPr>
            </w:pPr>
          </w:p>
        </w:tc>
      </w:tr>
      <w:tr w14:paraId="74873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612" w:type="dxa"/>
            <w:vAlign w:val="top"/>
          </w:tcPr>
          <w:p w14:paraId="546F3133">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2</w:t>
            </w:r>
          </w:p>
        </w:tc>
        <w:tc>
          <w:tcPr>
            <w:tcW w:w="884" w:type="dxa"/>
            <w:vAlign w:val="top"/>
          </w:tcPr>
          <w:p w14:paraId="0FD75004">
            <w:pPr>
              <w:adjustRightInd w:val="0"/>
              <w:snapToGrid w:val="0"/>
              <w:spacing w:before="145" w:beforeLines="50" w:line="360" w:lineRule="auto"/>
              <w:rPr>
                <w:rFonts w:ascii="宋体" w:hAnsi="宋体" w:eastAsia="宋体" w:cs="宋体"/>
                <w:position w:val="-1"/>
                <w:szCs w:val="21"/>
                <w:highlight w:val="none"/>
              </w:rPr>
            </w:pPr>
          </w:p>
        </w:tc>
        <w:tc>
          <w:tcPr>
            <w:tcW w:w="899" w:type="dxa"/>
            <w:vAlign w:val="top"/>
          </w:tcPr>
          <w:p w14:paraId="63139C93">
            <w:pPr>
              <w:adjustRightInd w:val="0"/>
              <w:snapToGrid w:val="0"/>
              <w:spacing w:before="145" w:beforeLines="50" w:line="360" w:lineRule="auto"/>
              <w:rPr>
                <w:rFonts w:ascii="宋体" w:hAnsi="宋体" w:eastAsia="宋体" w:cs="宋体"/>
                <w:position w:val="-1"/>
                <w:szCs w:val="21"/>
                <w:highlight w:val="none"/>
              </w:rPr>
            </w:pPr>
          </w:p>
        </w:tc>
        <w:tc>
          <w:tcPr>
            <w:tcW w:w="726" w:type="dxa"/>
            <w:vAlign w:val="top"/>
          </w:tcPr>
          <w:p w14:paraId="31ACB9C6">
            <w:pPr>
              <w:adjustRightInd w:val="0"/>
              <w:snapToGrid w:val="0"/>
              <w:spacing w:before="145" w:beforeLines="50" w:line="360" w:lineRule="auto"/>
              <w:rPr>
                <w:rFonts w:ascii="宋体" w:hAnsi="宋体" w:eastAsia="宋体" w:cs="宋体"/>
                <w:position w:val="-1"/>
                <w:szCs w:val="21"/>
                <w:highlight w:val="none"/>
              </w:rPr>
            </w:pPr>
          </w:p>
        </w:tc>
        <w:tc>
          <w:tcPr>
            <w:tcW w:w="1156" w:type="dxa"/>
            <w:vAlign w:val="top"/>
          </w:tcPr>
          <w:p w14:paraId="09BA2687">
            <w:pPr>
              <w:adjustRightInd w:val="0"/>
              <w:snapToGrid w:val="0"/>
              <w:spacing w:before="145" w:beforeLines="50" w:line="360" w:lineRule="auto"/>
              <w:rPr>
                <w:rFonts w:ascii="宋体" w:hAnsi="宋体" w:eastAsia="宋体" w:cs="宋体"/>
                <w:position w:val="-1"/>
                <w:szCs w:val="21"/>
                <w:highlight w:val="none"/>
              </w:rPr>
            </w:pPr>
          </w:p>
        </w:tc>
        <w:tc>
          <w:tcPr>
            <w:tcW w:w="1808" w:type="dxa"/>
            <w:vAlign w:val="top"/>
          </w:tcPr>
          <w:p w14:paraId="44C8669D">
            <w:pPr>
              <w:adjustRightInd w:val="0"/>
              <w:snapToGrid w:val="0"/>
              <w:spacing w:before="145" w:beforeLines="50" w:line="360" w:lineRule="auto"/>
              <w:rPr>
                <w:rFonts w:ascii="宋体" w:hAnsi="宋体" w:eastAsia="宋体" w:cs="宋体"/>
                <w:position w:val="-1"/>
                <w:szCs w:val="21"/>
                <w:highlight w:val="none"/>
              </w:rPr>
            </w:pPr>
          </w:p>
        </w:tc>
        <w:tc>
          <w:tcPr>
            <w:tcW w:w="1581" w:type="dxa"/>
            <w:vAlign w:val="top"/>
          </w:tcPr>
          <w:p w14:paraId="49B458A3">
            <w:pPr>
              <w:adjustRightInd w:val="0"/>
              <w:snapToGrid w:val="0"/>
              <w:spacing w:before="145" w:beforeLines="50" w:line="360" w:lineRule="auto"/>
              <w:rPr>
                <w:rFonts w:ascii="宋体" w:hAnsi="宋体" w:eastAsia="宋体" w:cs="宋体"/>
                <w:position w:val="-1"/>
                <w:szCs w:val="21"/>
                <w:highlight w:val="none"/>
              </w:rPr>
            </w:pPr>
          </w:p>
        </w:tc>
        <w:tc>
          <w:tcPr>
            <w:tcW w:w="518" w:type="dxa"/>
            <w:vAlign w:val="top"/>
          </w:tcPr>
          <w:p w14:paraId="0773DA68">
            <w:pPr>
              <w:adjustRightInd w:val="0"/>
              <w:snapToGrid w:val="0"/>
              <w:spacing w:before="145" w:beforeLines="50" w:line="360" w:lineRule="auto"/>
              <w:rPr>
                <w:rFonts w:ascii="宋体" w:hAnsi="宋体" w:eastAsia="宋体" w:cs="宋体"/>
                <w:position w:val="-1"/>
                <w:szCs w:val="21"/>
                <w:highlight w:val="none"/>
              </w:rPr>
            </w:pPr>
          </w:p>
        </w:tc>
        <w:tc>
          <w:tcPr>
            <w:tcW w:w="723" w:type="dxa"/>
            <w:vAlign w:val="top"/>
          </w:tcPr>
          <w:p w14:paraId="173E2A75">
            <w:pPr>
              <w:adjustRightInd w:val="0"/>
              <w:snapToGrid w:val="0"/>
              <w:spacing w:before="145" w:beforeLines="50" w:line="360" w:lineRule="auto"/>
              <w:rPr>
                <w:rFonts w:ascii="宋体" w:hAnsi="宋体" w:eastAsia="宋体" w:cs="宋体"/>
                <w:position w:val="-1"/>
                <w:szCs w:val="21"/>
                <w:highlight w:val="none"/>
              </w:rPr>
            </w:pPr>
          </w:p>
        </w:tc>
        <w:tc>
          <w:tcPr>
            <w:tcW w:w="947" w:type="dxa"/>
            <w:vAlign w:val="top"/>
          </w:tcPr>
          <w:p w14:paraId="556EA210">
            <w:pPr>
              <w:adjustRightInd w:val="0"/>
              <w:snapToGrid w:val="0"/>
              <w:spacing w:before="145" w:beforeLines="50" w:line="360" w:lineRule="auto"/>
              <w:rPr>
                <w:rFonts w:ascii="宋体" w:hAnsi="宋体" w:eastAsia="宋体" w:cs="宋体"/>
                <w:position w:val="-1"/>
                <w:szCs w:val="21"/>
                <w:highlight w:val="none"/>
              </w:rPr>
            </w:pPr>
          </w:p>
        </w:tc>
      </w:tr>
      <w:tr w14:paraId="019C7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612" w:type="dxa"/>
            <w:vAlign w:val="top"/>
          </w:tcPr>
          <w:p w14:paraId="4EB3FBE3">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3</w:t>
            </w:r>
          </w:p>
        </w:tc>
        <w:tc>
          <w:tcPr>
            <w:tcW w:w="884" w:type="dxa"/>
            <w:vAlign w:val="top"/>
          </w:tcPr>
          <w:p w14:paraId="497A1AC2">
            <w:pPr>
              <w:adjustRightInd w:val="0"/>
              <w:snapToGrid w:val="0"/>
              <w:spacing w:before="145" w:beforeLines="50" w:line="360" w:lineRule="auto"/>
              <w:rPr>
                <w:rFonts w:ascii="宋体" w:hAnsi="宋体" w:eastAsia="宋体" w:cs="宋体"/>
                <w:position w:val="-1"/>
                <w:szCs w:val="21"/>
                <w:highlight w:val="none"/>
              </w:rPr>
            </w:pPr>
          </w:p>
        </w:tc>
        <w:tc>
          <w:tcPr>
            <w:tcW w:w="899" w:type="dxa"/>
            <w:vAlign w:val="top"/>
          </w:tcPr>
          <w:p w14:paraId="7E8C0842">
            <w:pPr>
              <w:adjustRightInd w:val="0"/>
              <w:snapToGrid w:val="0"/>
              <w:spacing w:before="145" w:beforeLines="50" w:line="360" w:lineRule="auto"/>
              <w:rPr>
                <w:rFonts w:ascii="宋体" w:hAnsi="宋体" w:eastAsia="宋体" w:cs="宋体"/>
                <w:position w:val="-1"/>
                <w:szCs w:val="21"/>
                <w:highlight w:val="none"/>
              </w:rPr>
            </w:pPr>
          </w:p>
        </w:tc>
        <w:tc>
          <w:tcPr>
            <w:tcW w:w="726" w:type="dxa"/>
            <w:vAlign w:val="top"/>
          </w:tcPr>
          <w:p w14:paraId="48F6ACED">
            <w:pPr>
              <w:adjustRightInd w:val="0"/>
              <w:snapToGrid w:val="0"/>
              <w:spacing w:before="145" w:beforeLines="50" w:line="360" w:lineRule="auto"/>
              <w:rPr>
                <w:rFonts w:ascii="宋体" w:hAnsi="宋体" w:eastAsia="宋体" w:cs="宋体"/>
                <w:position w:val="-1"/>
                <w:szCs w:val="21"/>
                <w:highlight w:val="none"/>
              </w:rPr>
            </w:pPr>
          </w:p>
        </w:tc>
        <w:tc>
          <w:tcPr>
            <w:tcW w:w="1156" w:type="dxa"/>
            <w:vAlign w:val="top"/>
          </w:tcPr>
          <w:p w14:paraId="2AA7109E">
            <w:pPr>
              <w:adjustRightInd w:val="0"/>
              <w:snapToGrid w:val="0"/>
              <w:spacing w:before="145" w:beforeLines="50" w:line="360" w:lineRule="auto"/>
              <w:rPr>
                <w:rFonts w:ascii="宋体" w:hAnsi="宋体" w:eastAsia="宋体" w:cs="宋体"/>
                <w:position w:val="-1"/>
                <w:szCs w:val="21"/>
                <w:highlight w:val="none"/>
              </w:rPr>
            </w:pPr>
          </w:p>
        </w:tc>
        <w:tc>
          <w:tcPr>
            <w:tcW w:w="1808" w:type="dxa"/>
            <w:vAlign w:val="top"/>
          </w:tcPr>
          <w:p w14:paraId="4560C810">
            <w:pPr>
              <w:adjustRightInd w:val="0"/>
              <w:snapToGrid w:val="0"/>
              <w:spacing w:before="145" w:beforeLines="50" w:line="360" w:lineRule="auto"/>
              <w:rPr>
                <w:rFonts w:ascii="宋体" w:hAnsi="宋体" w:eastAsia="宋体" w:cs="宋体"/>
                <w:position w:val="-1"/>
                <w:szCs w:val="21"/>
                <w:highlight w:val="none"/>
              </w:rPr>
            </w:pPr>
          </w:p>
        </w:tc>
        <w:tc>
          <w:tcPr>
            <w:tcW w:w="1581" w:type="dxa"/>
            <w:vAlign w:val="top"/>
          </w:tcPr>
          <w:p w14:paraId="13688609">
            <w:pPr>
              <w:adjustRightInd w:val="0"/>
              <w:snapToGrid w:val="0"/>
              <w:spacing w:before="145" w:beforeLines="50" w:line="360" w:lineRule="auto"/>
              <w:rPr>
                <w:rFonts w:ascii="宋体" w:hAnsi="宋体" w:eastAsia="宋体" w:cs="宋体"/>
                <w:position w:val="-1"/>
                <w:szCs w:val="21"/>
                <w:highlight w:val="none"/>
              </w:rPr>
            </w:pPr>
          </w:p>
        </w:tc>
        <w:tc>
          <w:tcPr>
            <w:tcW w:w="518" w:type="dxa"/>
            <w:vAlign w:val="top"/>
          </w:tcPr>
          <w:p w14:paraId="3907A6AA">
            <w:pPr>
              <w:adjustRightInd w:val="0"/>
              <w:snapToGrid w:val="0"/>
              <w:spacing w:before="145" w:beforeLines="50" w:line="360" w:lineRule="auto"/>
              <w:rPr>
                <w:rFonts w:ascii="宋体" w:hAnsi="宋体" w:eastAsia="宋体" w:cs="宋体"/>
                <w:position w:val="-1"/>
                <w:szCs w:val="21"/>
                <w:highlight w:val="none"/>
              </w:rPr>
            </w:pPr>
          </w:p>
        </w:tc>
        <w:tc>
          <w:tcPr>
            <w:tcW w:w="723" w:type="dxa"/>
            <w:vAlign w:val="top"/>
          </w:tcPr>
          <w:p w14:paraId="54EE66CC">
            <w:pPr>
              <w:adjustRightInd w:val="0"/>
              <w:snapToGrid w:val="0"/>
              <w:spacing w:before="145" w:beforeLines="50" w:line="360" w:lineRule="auto"/>
              <w:rPr>
                <w:rFonts w:ascii="宋体" w:hAnsi="宋体" w:eastAsia="宋体" w:cs="宋体"/>
                <w:position w:val="-1"/>
                <w:szCs w:val="21"/>
                <w:highlight w:val="none"/>
              </w:rPr>
            </w:pPr>
          </w:p>
        </w:tc>
        <w:tc>
          <w:tcPr>
            <w:tcW w:w="947" w:type="dxa"/>
            <w:vAlign w:val="top"/>
          </w:tcPr>
          <w:p w14:paraId="3EA448FC">
            <w:pPr>
              <w:adjustRightInd w:val="0"/>
              <w:snapToGrid w:val="0"/>
              <w:spacing w:before="145" w:beforeLines="50" w:line="360" w:lineRule="auto"/>
              <w:rPr>
                <w:rFonts w:ascii="宋体" w:hAnsi="宋体" w:eastAsia="宋体" w:cs="宋体"/>
                <w:position w:val="-1"/>
                <w:szCs w:val="21"/>
                <w:highlight w:val="none"/>
              </w:rPr>
            </w:pPr>
          </w:p>
        </w:tc>
      </w:tr>
      <w:tr w14:paraId="709C79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612" w:type="dxa"/>
            <w:vAlign w:val="top"/>
          </w:tcPr>
          <w:p w14:paraId="6ABD7BDD">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w:t>
            </w:r>
          </w:p>
        </w:tc>
        <w:tc>
          <w:tcPr>
            <w:tcW w:w="884" w:type="dxa"/>
            <w:vAlign w:val="top"/>
          </w:tcPr>
          <w:p w14:paraId="346847E6">
            <w:pPr>
              <w:adjustRightInd w:val="0"/>
              <w:snapToGrid w:val="0"/>
              <w:spacing w:before="145" w:beforeLines="50" w:line="360" w:lineRule="auto"/>
              <w:rPr>
                <w:rFonts w:ascii="宋体" w:hAnsi="宋体" w:eastAsia="宋体" w:cs="宋体"/>
                <w:position w:val="-1"/>
                <w:szCs w:val="21"/>
                <w:highlight w:val="none"/>
              </w:rPr>
            </w:pPr>
          </w:p>
        </w:tc>
        <w:tc>
          <w:tcPr>
            <w:tcW w:w="899" w:type="dxa"/>
            <w:vAlign w:val="top"/>
          </w:tcPr>
          <w:p w14:paraId="1DDB8482">
            <w:pPr>
              <w:adjustRightInd w:val="0"/>
              <w:snapToGrid w:val="0"/>
              <w:spacing w:before="145" w:beforeLines="50" w:line="360" w:lineRule="auto"/>
              <w:rPr>
                <w:rFonts w:ascii="宋体" w:hAnsi="宋体" w:eastAsia="宋体" w:cs="宋体"/>
                <w:position w:val="-1"/>
                <w:szCs w:val="21"/>
                <w:highlight w:val="none"/>
              </w:rPr>
            </w:pPr>
          </w:p>
        </w:tc>
        <w:tc>
          <w:tcPr>
            <w:tcW w:w="726" w:type="dxa"/>
            <w:vAlign w:val="top"/>
          </w:tcPr>
          <w:p w14:paraId="20EF9B31">
            <w:pPr>
              <w:adjustRightInd w:val="0"/>
              <w:snapToGrid w:val="0"/>
              <w:spacing w:before="145" w:beforeLines="50" w:line="360" w:lineRule="auto"/>
              <w:rPr>
                <w:rFonts w:ascii="宋体" w:hAnsi="宋体" w:eastAsia="宋体" w:cs="宋体"/>
                <w:position w:val="-1"/>
                <w:szCs w:val="21"/>
                <w:highlight w:val="none"/>
              </w:rPr>
            </w:pPr>
          </w:p>
        </w:tc>
        <w:tc>
          <w:tcPr>
            <w:tcW w:w="1156" w:type="dxa"/>
            <w:vAlign w:val="top"/>
          </w:tcPr>
          <w:p w14:paraId="1A15CD4A">
            <w:pPr>
              <w:adjustRightInd w:val="0"/>
              <w:snapToGrid w:val="0"/>
              <w:spacing w:before="145" w:beforeLines="50" w:line="360" w:lineRule="auto"/>
              <w:rPr>
                <w:rFonts w:ascii="宋体" w:hAnsi="宋体" w:eastAsia="宋体" w:cs="宋体"/>
                <w:position w:val="-1"/>
                <w:szCs w:val="21"/>
                <w:highlight w:val="none"/>
              </w:rPr>
            </w:pPr>
          </w:p>
        </w:tc>
        <w:tc>
          <w:tcPr>
            <w:tcW w:w="1808" w:type="dxa"/>
            <w:vAlign w:val="top"/>
          </w:tcPr>
          <w:p w14:paraId="5023A099">
            <w:pPr>
              <w:adjustRightInd w:val="0"/>
              <w:snapToGrid w:val="0"/>
              <w:spacing w:before="145" w:beforeLines="50" w:line="360" w:lineRule="auto"/>
              <w:rPr>
                <w:rFonts w:ascii="宋体" w:hAnsi="宋体" w:eastAsia="宋体" w:cs="宋体"/>
                <w:position w:val="-1"/>
                <w:szCs w:val="21"/>
                <w:highlight w:val="none"/>
              </w:rPr>
            </w:pPr>
          </w:p>
        </w:tc>
        <w:tc>
          <w:tcPr>
            <w:tcW w:w="1581" w:type="dxa"/>
            <w:vAlign w:val="top"/>
          </w:tcPr>
          <w:p w14:paraId="5B67B14F">
            <w:pPr>
              <w:adjustRightInd w:val="0"/>
              <w:snapToGrid w:val="0"/>
              <w:spacing w:before="145" w:beforeLines="50" w:line="360" w:lineRule="auto"/>
              <w:rPr>
                <w:rFonts w:ascii="宋体" w:hAnsi="宋体" w:eastAsia="宋体" w:cs="宋体"/>
                <w:position w:val="-1"/>
                <w:szCs w:val="21"/>
                <w:highlight w:val="none"/>
              </w:rPr>
            </w:pPr>
          </w:p>
        </w:tc>
        <w:tc>
          <w:tcPr>
            <w:tcW w:w="518" w:type="dxa"/>
            <w:vAlign w:val="top"/>
          </w:tcPr>
          <w:p w14:paraId="45F59AEB">
            <w:pPr>
              <w:adjustRightInd w:val="0"/>
              <w:snapToGrid w:val="0"/>
              <w:spacing w:before="145" w:beforeLines="50" w:line="360" w:lineRule="auto"/>
              <w:rPr>
                <w:rFonts w:ascii="宋体" w:hAnsi="宋体" w:eastAsia="宋体" w:cs="宋体"/>
                <w:position w:val="-1"/>
                <w:szCs w:val="21"/>
                <w:highlight w:val="none"/>
              </w:rPr>
            </w:pPr>
          </w:p>
        </w:tc>
        <w:tc>
          <w:tcPr>
            <w:tcW w:w="723" w:type="dxa"/>
            <w:vAlign w:val="top"/>
          </w:tcPr>
          <w:p w14:paraId="3580ED6D">
            <w:pPr>
              <w:adjustRightInd w:val="0"/>
              <w:snapToGrid w:val="0"/>
              <w:spacing w:before="145" w:beforeLines="50" w:line="360" w:lineRule="auto"/>
              <w:rPr>
                <w:rFonts w:ascii="宋体" w:hAnsi="宋体" w:eastAsia="宋体" w:cs="宋体"/>
                <w:position w:val="-1"/>
                <w:szCs w:val="21"/>
                <w:highlight w:val="none"/>
              </w:rPr>
            </w:pPr>
          </w:p>
        </w:tc>
        <w:tc>
          <w:tcPr>
            <w:tcW w:w="947" w:type="dxa"/>
            <w:vAlign w:val="top"/>
          </w:tcPr>
          <w:p w14:paraId="26912D51">
            <w:pPr>
              <w:adjustRightInd w:val="0"/>
              <w:snapToGrid w:val="0"/>
              <w:spacing w:before="145" w:beforeLines="50" w:line="360" w:lineRule="auto"/>
              <w:rPr>
                <w:rFonts w:ascii="宋体" w:hAnsi="宋体" w:eastAsia="宋体" w:cs="宋体"/>
                <w:position w:val="-1"/>
                <w:szCs w:val="21"/>
                <w:highlight w:val="none"/>
              </w:rPr>
            </w:pPr>
          </w:p>
        </w:tc>
      </w:tr>
      <w:tr w14:paraId="22570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8" w:hRule="atLeast"/>
          <w:jc w:val="center"/>
        </w:trPr>
        <w:tc>
          <w:tcPr>
            <w:tcW w:w="8907" w:type="dxa"/>
            <w:gridSpan w:val="9"/>
            <w:vAlign w:val="top"/>
          </w:tcPr>
          <w:p w14:paraId="1C72E9E6">
            <w:pPr>
              <w:adjustRightInd w:val="0"/>
              <w:snapToGrid w:val="0"/>
              <w:spacing w:before="145" w:beforeLines="50" w:line="360" w:lineRule="auto"/>
              <w:jc w:val="center"/>
              <w:rPr>
                <w:rFonts w:ascii="宋体" w:hAnsi="宋体" w:eastAsia="宋体" w:cs="宋体"/>
                <w:position w:val="-1"/>
                <w:szCs w:val="21"/>
                <w:highlight w:val="none"/>
              </w:rPr>
            </w:pPr>
            <w:r>
              <w:rPr>
                <w:rFonts w:ascii="宋体" w:hAnsi="宋体" w:eastAsia="宋体" w:cs="宋体"/>
                <w:position w:val="-1"/>
                <w:szCs w:val="21"/>
                <w:highlight w:val="none"/>
              </w:rPr>
              <w:t>合计</w:t>
            </w:r>
          </w:p>
        </w:tc>
        <w:tc>
          <w:tcPr>
            <w:tcW w:w="947" w:type="dxa"/>
            <w:vAlign w:val="top"/>
          </w:tcPr>
          <w:p w14:paraId="7F2FA409">
            <w:pPr>
              <w:adjustRightInd w:val="0"/>
              <w:snapToGrid w:val="0"/>
              <w:spacing w:before="145" w:beforeLines="50" w:line="360" w:lineRule="auto"/>
              <w:rPr>
                <w:rFonts w:ascii="宋体" w:hAnsi="宋体" w:eastAsia="宋体" w:cs="宋体"/>
                <w:position w:val="-1"/>
                <w:szCs w:val="21"/>
                <w:highlight w:val="none"/>
              </w:rPr>
            </w:pPr>
          </w:p>
        </w:tc>
      </w:tr>
    </w:tbl>
    <w:p w14:paraId="0FBC1AB3">
      <w:pPr>
        <w:adjustRightInd w:val="0"/>
        <w:snapToGrid w:val="0"/>
        <w:spacing w:before="145" w:beforeLines="50" w:line="360" w:lineRule="auto"/>
        <w:ind w:left="958" w:leftChars="114" w:right="46" w:hanging="719" w:hangingChars="341"/>
        <w:rPr>
          <w:rFonts w:hint="eastAsia" w:ascii="宋体" w:hAnsi="宋体" w:cs="宋体"/>
          <w:szCs w:val="21"/>
          <w:highlight w:val="none"/>
        </w:rPr>
      </w:pPr>
      <w:r>
        <w:rPr>
          <w:rFonts w:hint="eastAsia" w:ascii="宋体" w:hAnsi="宋体" w:cs="宋体"/>
          <w:b/>
          <w:szCs w:val="21"/>
          <w:highlight w:val="none"/>
        </w:rPr>
        <w:t>说明</w:t>
      </w:r>
      <w:r>
        <w:rPr>
          <w:rFonts w:hint="eastAsia" w:ascii="宋体" w:hAnsi="宋体" w:cs="宋体"/>
          <w:szCs w:val="21"/>
          <w:highlight w:val="none"/>
        </w:rPr>
        <w:t>：</w:t>
      </w:r>
      <w:r>
        <w:rPr>
          <w:rFonts w:hint="eastAsia" w:ascii="宋体" w:hAnsi="宋体" w:cs="宋体"/>
          <w:spacing w:val="1"/>
          <w:szCs w:val="21"/>
          <w:highlight w:val="none"/>
        </w:rPr>
        <w:t>1、</w:t>
      </w:r>
      <w:r>
        <w:rPr>
          <w:rFonts w:hint="eastAsia" w:ascii="宋体" w:hAnsi="宋体" w:cs="宋体"/>
          <w:spacing w:val="-1"/>
          <w:szCs w:val="21"/>
          <w:highlight w:val="none"/>
        </w:rPr>
        <w:t>环</w:t>
      </w:r>
      <w:r>
        <w:rPr>
          <w:rFonts w:hint="eastAsia" w:ascii="宋体" w:hAnsi="宋体" w:cs="宋体"/>
          <w:szCs w:val="21"/>
          <w:highlight w:val="none"/>
        </w:rPr>
        <w:t>境标志产品根据财政部、环境保护部最新公布的环境标志产品政府采购清单确定。</w:t>
      </w:r>
    </w:p>
    <w:p w14:paraId="66234EE6">
      <w:pPr>
        <w:adjustRightInd w:val="0"/>
        <w:snapToGrid w:val="0"/>
        <w:spacing w:before="145" w:beforeLines="50" w:line="360" w:lineRule="auto"/>
        <w:ind w:left="955" w:leftChars="114" w:right="46" w:hanging="716" w:hangingChars="341"/>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pacing w:val="-1"/>
          <w:szCs w:val="21"/>
          <w:highlight w:val="none"/>
        </w:rPr>
        <w:t>2、如</w:t>
      </w:r>
      <w:r>
        <w:rPr>
          <w:rFonts w:hint="eastAsia" w:ascii="宋体" w:hAnsi="宋体" w:cs="宋体"/>
          <w:szCs w:val="21"/>
          <w:highlight w:val="none"/>
        </w:rPr>
        <w:t>所报产品为环保产品，必须按规定格式逐项填写，否则评审时不予加分。</w:t>
      </w:r>
    </w:p>
    <w:p w14:paraId="18FD3FC3">
      <w:pPr>
        <w:autoSpaceDE w:val="0"/>
        <w:autoSpaceDN w:val="0"/>
        <w:adjustRightInd w:val="0"/>
        <w:snapToGrid w:val="0"/>
        <w:spacing w:before="145" w:beforeLines="50" w:line="360" w:lineRule="auto"/>
        <w:ind w:firstLine="331" w:firstLineChars="158"/>
        <w:rPr>
          <w:rFonts w:hint="eastAsia" w:ascii="宋体" w:hAnsi="宋体" w:cs="宋体"/>
          <w:szCs w:val="21"/>
          <w:highlight w:val="none"/>
        </w:rPr>
      </w:pPr>
      <w:r>
        <w:rPr>
          <w:rFonts w:hint="eastAsia" w:ascii="宋体" w:hAnsi="宋体" w:cs="宋体"/>
          <w:szCs w:val="21"/>
          <w:highlight w:val="none"/>
        </w:rPr>
        <w:t xml:space="preserve">     3、后附中国环境标志产品认证证书复印件、最新一期环境标志产品政府采购网清单网页截图； </w:t>
      </w:r>
    </w:p>
    <w:p w14:paraId="4F653319">
      <w:pPr>
        <w:spacing w:line="360" w:lineRule="auto"/>
        <w:ind w:firstLine="210" w:firstLineChars="100"/>
        <w:rPr>
          <w:rFonts w:hint="eastAsia" w:ascii="宋体" w:hAnsi="宋体" w:cs="宋体"/>
          <w:szCs w:val="21"/>
          <w:highlight w:val="none"/>
        </w:rPr>
      </w:pPr>
    </w:p>
    <w:p w14:paraId="49CDE4C1">
      <w:pPr>
        <w:spacing w:line="360" w:lineRule="auto"/>
        <w:ind w:firstLine="210" w:firstLineChars="100"/>
        <w:jc w:val="left"/>
        <w:outlineLvl w:val="9"/>
        <w:rPr>
          <w:rFonts w:hint="eastAsia" w:ascii="宋体" w:hAnsi="宋体" w:cs="宋体"/>
          <w:szCs w:val="21"/>
          <w:highlight w:val="none"/>
        </w:rPr>
      </w:pPr>
      <w:bookmarkStart w:id="365" w:name="_Toc17694"/>
      <w:bookmarkStart w:id="366" w:name="_Toc22340"/>
      <w:bookmarkStart w:id="367" w:name="_Toc32634"/>
      <w:bookmarkStart w:id="368" w:name="_Toc21473"/>
      <w:bookmarkStart w:id="369" w:name="_Toc17318"/>
      <w:r>
        <w:rPr>
          <w:rFonts w:hint="eastAsia" w:ascii="宋体" w:hAnsi="宋体" w:cs="宋体"/>
          <w:szCs w:val="21"/>
          <w:highlight w:val="none"/>
          <w:lang w:eastAsia="zh-CN"/>
        </w:rPr>
        <w:t>供应商</w:t>
      </w:r>
      <w:r>
        <w:rPr>
          <w:rFonts w:hint="eastAsia" w:ascii="宋体" w:hAnsi="宋体" w:cs="宋体"/>
          <w:szCs w:val="21"/>
          <w:highlight w:val="none"/>
        </w:rPr>
        <w:t>名称（盖章）：</w:t>
      </w:r>
      <w:bookmarkEnd w:id="365"/>
      <w:bookmarkEnd w:id="366"/>
      <w:bookmarkEnd w:id="367"/>
      <w:bookmarkEnd w:id="368"/>
      <w:bookmarkEnd w:id="369"/>
      <w:r>
        <w:rPr>
          <w:rFonts w:hint="eastAsia" w:ascii="宋体" w:hAnsi="宋体" w:cs="宋体"/>
          <w:szCs w:val="21"/>
          <w:highlight w:val="none"/>
        </w:rPr>
        <w:t xml:space="preserve"> </w:t>
      </w:r>
    </w:p>
    <w:p w14:paraId="4FA74B32">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 xml:space="preserve">      </w:t>
      </w:r>
    </w:p>
    <w:p w14:paraId="26371C12">
      <w:pPr>
        <w:autoSpaceDE w:val="0"/>
        <w:autoSpaceDN w:val="0"/>
        <w:spacing w:line="360" w:lineRule="auto"/>
        <w:ind w:firstLine="210" w:firstLineChars="100"/>
        <w:outlineLvl w:val="9"/>
        <w:rPr>
          <w:rFonts w:hint="eastAsia" w:ascii="宋体" w:hAnsi="宋体" w:cs="宋体"/>
          <w:szCs w:val="21"/>
          <w:highlight w:val="none"/>
          <w:lang w:val="zh-CN"/>
        </w:rPr>
      </w:pPr>
      <w:bookmarkStart w:id="370" w:name="_Toc6842"/>
      <w:bookmarkStart w:id="371" w:name="_Toc19546"/>
      <w:bookmarkStart w:id="372" w:name="_Toc27579"/>
      <w:bookmarkStart w:id="373" w:name="_Toc28448"/>
      <w:bookmarkStart w:id="374" w:name="_Toc30064"/>
      <w:r>
        <w:rPr>
          <w:rFonts w:hint="eastAsia" w:ascii="宋体" w:hAnsi="宋体" w:cs="宋体"/>
          <w:szCs w:val="21"/>
          <w:highlight w:val="none"/>
          <w:lang w:val="zh-CN"/>
        </w:rPr>
        <w:t>法定代表人或其授权代表</w:t>
      </w:r>
      <w:r>
        <w:rPr>
          <w:rFonts w:hint="eastAsia" w:ascii="宋体" w:hAnsi="宋体" w:cs="宋体"/>
          <w:szCs w:val="21"/>
          <w:highlight w:val="none"/>
        </w:rPr>
        <w:t>（签字或盖章）</w:t>
      </w:r>
      <w:r>
        <w:rPr>
          <w:rFonts w:hint="eastAsia" w:ascii="宋体" w:hAnsi="宋体" w:cs="宋体"/>
          <w:szCs w:val="21"/>
          <w:highlight w:val="none"/>
          <w:lang w:val="zh-CN"/>
        </w:rPr>
        <w:t>：</w:t>
      </w:r>
      <w:bookmarkEnd w:id="370"/>
      <w:bookmarkEnd w:id="371"/>
      <w:bookmarkEnd w:id="372"/>
      <w:bookmarkEnd w:id="373"/>
      <w:bookmarkEnd w:id="374"/>
      <w:r>
        <w:rPr>
          <w:rFonts w:hint="eastAsia" w:ascii="宋体" w:hAnsi="宋体" w:cs="宋体"/>
          <w:szCs w:val="21"/>
          <w:highlight w:val="none"/>
          <w:lang w:val="zh-CN"/>
        </w:rPr>
        <w:t xml:space="preserve">   </w:t>
      </w:r>
    </w:p>
    <w:p w14:paraId="5084C45D">
      <w:pPr>
        <w:pStyle w:val="75"/>
        <w:rPr>
          <w:rFonts w:hint="eastAsia" w:ascii="宋体" w:hAnsi="宋体" w:cs="宋体"/>
          <w:highlight w:val="none"/>
          <w:lang w:val="zh-CN"/>
        </w:rPr>
      </w:pPr>
    </w:p>
    <w:p w14:paraId="157F3CF5">
      <w:pPr>
        <w:autoSpaceDE w:val="0"/>
        <w:autoSpaceDN w:val="0"/>
        <w:spacing w:line="360" w:lineRule="auto"/>
        <w:ind w:firstLine="210" w:firstLineChars="100"/>
        <w:outlineLvl w:val="9"/>
        <w:rPr>
          <w:rFonts w:hint="eastAsia" w:ascii="宋体" w:hAnsi="宋体" w:cs="宋体"/>
          <w:szCs w:val="21"/>
          <w:highlight w:val="none"/>
        </w:rPr>
      </w:pPr>
      <w:bookmarkStart w:id="375" w:name="_Toc11288"/>
      <w:bookmarkStart w:id="376" w:name="_Toc2467"/>
      <w:bookmarkStart w:id="377" w:name="_Toc24857"/>
      <w:bookmarkStart w:id="378" w:name="_Toc23162"/>
      <w:bookmarkStart w:id="379" w:name="_Toc22988"/>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bookmarkEnd w:id="375"/>
      <w:bookmarkEnd w:id="376"/>
      <w:bookmarkEnd w:id="377"/>
      <w:bookmarkEnd w:id="378"/>
      <w:bookmarkEnd w:id="379"/>
      <w:r>
        <w:rPr>
          <w:rFonts w:hint="eastAsia" w:ascii="宋体" w:hAnsi="宋体" w:cs="宋体"/>
          <w:szCs w:val="21"/>
          <w:highlight w:val="none"/>
        </w:rPr>
        <w:t xml:space="preserve"> </w:t>
      </w:r>
    </w:p>
    <w:p w14:paraId="691931CE">
      <w:pPr>
        <w:rPr>
          <w:rFonts w:hint="eastAsia"/>
          <w:highlight w:val="none"/>
        </w:rPr>
      </w:pPr>
      <w:r>
        <w:rPr>
          <w:rFonts w:hint="eastAsia"/>
          <w:highlight w:val="none"/>
        </w:rPr>
        <w:br w:type="page"/>
      </w:r>
    </w:p>
    <w:p w14:paraId="4080EF94">
      <w:pPr>
        <w:adjustRightInd w:val="0"/>
        <w:snapToGrid w:val="0"/>
        <w:spacing w:before="145" w:beforeLines="50" w:line="360" w:lineRule="auto"/>
        <w:ind w:right="-20"/>
        <w:jc w:val="center"/>
        <w:rPr>
          <w:rFonts w:hint="eastAsia" w:ascii="宋体" w:hAnsi="宋体" w:cs="宋体"/>
          <w:bCs/>
          <w:sz w:val="28"/>
          <w:szCs w:val="28"/>
          <w:highlight w:val="none"/>
        </w:rPr>
      </w:pP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节能产品明细表</w:t>
      </w:r>
    </w:p>
    <w:p w14:paraId="296E83A2">
      <w:pPr>
        <w:adjustRightInd w:val="0"/>
        <w:snapToGrid w:val="0"/>
        <w:spacing w:before="145" w:beforeLines="50" w:line="360" w:lineRule="auto"/>
        <w:ind w:left="420" w:right="-20" w:firstLine="85" w:firstLineChars="42"/>
        <w:jc w:val="center"/>
        <w:outlineLvl w:val="9"/>
        <w:rPr>
          <w:rFonts w:hint="eastAsia" w:ascii="宋体" w:hAnsi="宋体" w:cs="宋体"/>
          <w:sz w:val="22"/>
          <w:highlight w:val="none"/>
        </w:rPr>
      </w:pPr>
      <w:r>
        <w:rPr>
          <w:rFonts w:hint="eastAsia" w:ascii="宋体" w:hAnsi="宋体" w:cs="宋体"/>
          <w:b/>
          <w:spacing w:val="1"/>
          <w:position w:val="-2"/>
          <w:sz w:val="20"/>
          <w:szCs w:val="20"/>
          <w:highlight w:val="none"/>
        </w:rPr>
        <w:t>（所投产品如为节能产品填写）</w:t>
      </w:r>
    </w:p>
    <w:p w14:paraId="6F1AB920">
      <w:pPr>
        <w:adjustRightInd w:val="0"/>
        <w:snapToGrid w:val="0"/>
        <w:spacing w:before="145" w:beforeLines="50" w:line="360" w:lineRule="auto"/>
        <w:jc w:val="right"/>
        <w:rPr>
          <w:rFonts w:hint="eastAsia" w:ascii="宋体" w:hAnsi="宋体" w:cs="宋体"/>
          <w:position w:val="-1"/>
          <w:sz w:val="22"/>
          <w:highlight w:val="none"/>
        </w:rPr>
      </w:pPr>
      <w:r>
        <w:rPr>
          <w:rFonts w:hint="eastAsia" w:ascii="宋体" w:hAnsi="宋体" w:cs="宋体"/>
          <w:sz w:val="22"/>
          <w:highlight w:val="none"/>
        </w:rPr>
        <w:t xml:space="preserve">                    </w:t>
      </w:r>
      <w:r>
        <w:rPr>
          <w:rFonts w:hint="eastAsia" w:ascii="宋体" w:hAnsi="宋体" w:cs="宋体"/>
          <w:position w:val="-1"/>
          <w:sz w:val="22"/>
          <w:highlight w:val="none"/>
        </w:rPr>
        <w:t>单位：元</w:t>
      </w:r>
    </w:p>
    <w:tbl>
      <w:tblPr>
        <w:tblStyle w:val="76"/>
        <w:tblW w:w="0" w:type="auto"/>
        <w:jc w:val="center"/>
        <w:tblLayout w:type="fixed"/>
        <w:tblCellMar>
          <w:top w:w="0" w:type="dxa"/>
          <w:left w:w="108" w:type="dxa"/>
          <w:bottom w:w="0" w:type="dxa"/>
          <w:right w:w="108" w:type="dxa"/>
        </w:tblCellMar>
      </w:tblPr>
      <w:tblGrid>
        <w:gridCol w:w="496"/>
        <w:gridCol w:w="935"/>
        <w:gridCol w:w="817"/>
        <w:gridCol w:w="764"/>
        <w:gridCol w:w="594"/>
        <w:gridCol w:w="1841"/>
        <w:gridCol w:w="2100"/>
        <w:gridCol w:w="764"/>
        <w:gridCol w:w="763"/>
        <w:gridCol w:w="780"/>
      </w:tblGrid>
      <w:tr w14:paraId="762FB927">
        <w:tblPrEx>
          <w:tblCellMar>
            <w:top w:w="0" w:type="dxa"/>
            <w:left w:w="108" w:type="dxa"/>
            <w:bottom w:w="0" w:type="dxa"/>
            <w:right w:w="108" w:type="dxa"/>
          </w:tblCellMar>
        </w:tblPrEx>
        <w:trPr>
          <w:trHeight w:val="524"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14:paraId="334DC44E">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序 号</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14:paraId="53F35B36">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产品名称</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3FE74255">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制造商</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68889934">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品牌</w:t>
            </w:r>
          </w:p>
        </w:tc>
        <w:tc>
          <w:tcPr>
            <w:tcW w:w="594" w:type="dxa"/>
            <w:vMerge w:val="restart"/>
            <w:tcBorders>
              <w:top w:val="single" w:color="auto" w:sz="4" w:space="0"/>
              <w:left w:val="single" w:color="auto" w:sz="4" w:space="0"/>
              <w:bottom w:val="single" w:color="auto" w:sz="4" w:space="0"/>
              <w:right w:val="single" w:color="auto" w:sz="4" w:space="0"/>
            </w:tcBorders>
            <w:vAlign w:val="center"/>
          </w:tcPr>
          <w:p w14:paraId="1933FC3A">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产品型号</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1E89DBE8">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国家节能标志认证证书编号</w:t>
            </w:r>
          </w:p>
        </w:tc>
        <w:tc>
          <w:tcPr>
            <w:tcW w:w="2100" w:type="dxa"/>
            <w:vMerge w:val="restart"/>
            <w:tcBorders>
              <w:top w:val="single" w:color="auto" w:sz="4" w:space="0"/>
              <w:left w:val="single" w:color="auto" w:sz="4" w:space="0"/>
              <w:bottom w:val="single" w:color="auto" w:sz="4" w:space="0"/>
              <w:right w:val="single" w:color="auto" w:sz="4" w:space="0"/>
            </w:tcBorders>
            <w:vAlign w:val="center"/>
          </w:tcPr>
          <w:p w14:paraId="7AC41EBB">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节能产品认证证书有效   截止日期</w:t>
            </w:r>
          </w:p>
        </w:tc>
        <w:tc>
          <w:tcPr>
            <w:tcW w:w="2307" w:type="dxa"/>
            <w:gridSpan w:val="3"/>
            <w:tcBorders>
              <w:top w:val="single" w:color="auto" w:sz="4" w:space="0"/>
              <w:left w:val="single" w:color="auto" w:sz="4" w:space="0"/>
              <w:bottom w:val="single" w:color="auto" w:sz="4" w:space="0"/>
              <w:right w:val="single" w:color="auto" w:sz="4" w:space="0"/>
            </w:tcBorders>
            <w:vAlign w:val="center"/>
          </w:tcPr>
          <w:p w14:paraId="3E839D6C">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价格</w:t>
            </w:r>
          </w:p>
        </w:tc>
      </w:tr>
      <w:tr w14:paraId="04A71BAD">
        <w:tblPrEx>
          <w:tblCellMar>
            <w:top w:w="0" w:type="dxa"/>
            <w:left w:w="108" w:type="dxa"/>
            <w:bottom w:w="0" w:type="dxa"/>
            <w:right w:w="108" w:type="dxa"/>
          </w:tblCellMar>
        </w:tblPrEx>
        <w:trPr>
          <w:trHeight w:val="764"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14:paraId="00026263">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14:paraId="0BD18F58">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620FA7A0">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32521203">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14:paraId="115B0305">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761E38C8">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14:paraId="3F8F563B">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1B6B98EC">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单价</w:t>
            </w:r>
          </w:p>
        </w:tc>
        <w:tc>
          <w:tcPr>
            <w:tcW w:w="763" w:type="dxa"/>
            <w:tcBorders>
              <w:top w:val="single" w:color="auto" w:sz="4" w:space="0"/>
              <w:left w:val="single" w:color="auto" w:sz="4" w:space="0"/>
              <w:bottom w:val="single" w:color="auto" w:sz="4" w:space="0"/>
              <w:right w:val="single" w:color="auto" w:sz="4" w:space="0"/>
            </w:tcBorders>
            <w:vAlign w:val="center"/>
          </w:tcPr>
          <w:p w14:paraId="664DA996">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4C4074BD">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合价</w:t>
            </w:r>
          </w:p>
        </w:tc>
      </w:tr>
      <w:tr w14:paraId="5128D691">
        <w:tblPrEx>
          <w:tblCellMar>
            <w:top w:w="0" w:type="dxa"/>
            <w:left w:w="108" w:type="dxa"/>
            <w:bottom w:w="0" w:type="dxa"/>
            <w:right w:w="108" w:type="dxa"/>
          </w:tblCellMar>
        </w:tblPrEx>
        <w:trPr>
          <w:trHeight w:val="618"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14:paraId="1B1F1A55">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1</w:t>
            </w:r>
          </w:p>
        </w:tc>
        <w:tc>
          <w:tcPr>
            <w:tcW w:w="935" w:type="dxa"/>
            <w:tcBorders>
              <w:top w:val="single" w:color="auto" w:sz="4" w:space="0"/>
              <w:left w:val="single" w:color="auto" w:sz="4" w:space="0"/>
              <w:bottom w:val="single" w:color="auto" w:sz="4" w:space="0"/>
              <w:right w:val="single" w:color="auto" w:sz="4" w:space="0"/>
            </w:tcBorders>
            <w:vAlign w:val="top"/>
          </w:tcPr>
          <w:p w14:paraId="019B203A">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817" w:type="dxa"/>
            <w:tcBorders>
              <w:top w:val="single" w:color="auto" w:sz="4" w:space="0"/>
              <w:left w:val="single" w:color="auto" w:sz="4" w:space="0"/>
              <w:bottom w:val="single" w:color="auto" w:sz="4" w:space="0"/>
              <w:right w:val="single" w:color="auto" w:sz="4" w:space="0"/>
            </w:tcBorders>
            <w:vAlign w:val="top"/>
          </w:tcPr>
          <w:p w14:paraId="2E663297">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top"/>
          </w:tcPr>
          <w:p w14:paraId="25275236">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594" w:type="dxa"/>
            <w:tcBorders>
              <w:top w:val="single" w:color="auto" w:sz="4" w:space="0"/>
              <w:left w:val="single" w:color="auto" w:sz="4" w:space="0"/>
              <w:bottom w:val="single" w:color="auto" w:sz="4" w:space="0"/>
              <w:right w:val="single" w:color="auto" w:sz="4" w:space="0"/>
            </w:tcBorders>
            <w:vAlign w:val="top"/>
          </w:tcPr>
          <w:p w14:paraId="71ED3E71">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1841" w:type="dxa"/>
            <w:tcBorders>
              <w:top w:val="single" w:color="auto" w:sz="4" w:space="0"/>
              <w:left w:val="single" w:color="auto" w:sz="4" w:space="0"/>
              <w:bottom w:val="single" w:color="auto" w:sz="4" w:space="0"/>
              <w:right w:val="single" w:color="auto" w:sz="4" w:space="0"/>
            </w:tcBorders>
            <w:vAlign w:val="top"/>
          </w:tcPr>
          <w:p w14:paraId="22523316">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top"/>
          </w:tcPr>
          <w:p w14:paraId="11A6C7A5">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top"/>
          </w:tcPr>
          <w:p w14:paraId="2058524F">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3" w:type="dxa"/>
            <w:tcBorders>
              <w:top w:val="single" w:color="auto" w:sz="4" w:space="0"/>
              <w:left w:val="single" w:color="auto" w:sz="4" w:space="0"/>
              <w:bottom w:val="single" w:color="auto" w:sz="4" w:space="0"/>
              <w:right w:val="single" w:color="auto" w:sz="4" w:space="0"/>
            </w:tcBorders>
            <w:vAlign w:val="top"/>
          </w:tcPr>
          <w:p w14:paraId="22F253FE">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80" w:type="dxa"/>
            <w:tcBorders>
              <w:top w:val="single" w:color="auto" w:sz="4" w:space="0"/>
              <w:left w:val="single" w:color="auto" w:sz="4" w:space="0"/>
              <w:bottom w:val="single" w:color="auto" w:sz="4" w:space="0"/>
              <w:right w:val="single" w:color="auto" w:sz="4" w:space="0"/>
            </w:tcBorders>
            <w:vAlign w:val="top"/>
          </w:tcPr>
          <w:p w14:paraId="64A48BD4">
            <w:pPr>
              <w:tabs>
                <w:tab w:val="left" w:pos="1337"/>
              </w:tabs>
              <w:adjustRightInd w:val="0"/>
              <w:snapToGrid w:val="0"/>
              <w:spacing w:before="145" w:beforeLines="50" w:line="360" w:lineRule="auto"/>
              <w:jc w:val="center"/>
              <w:rPr>
                <w:rFonts w:ascii="宋体" w:hAnsi="宋体" w:eastAsia="宋体" w:cs="宋体"/>
                <w:sz w:val="22"/>
                <w:highlight w:val="none"/>
              </w:rPr>
            </w:pPr>
          </w:p>
        </w:tc>
      </w:tr>
      <w:tr w14:paraId="6ACE1340">
        <w:tblPrEx>
          <w:tblCellMar>
            <w:top w:w="0" w:type="dxa"/>
            <w:left w:w="108" w:type="dxa"/>
            <w:bottom w:w="0" w:type="dxa"/>
            <w:right w:w="108" w:type="dxa"/>
          </w:tblCellMar>
        </w:tblPrEx>
        <w:trPr>
          <w:trHeight w:val="618"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14:paraId="67892C77">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2</w:t>
            </w:r>
          </w:p>
        </w:tc>
        <w:tc>
          <w:tcPr>
            <w:tcW w:w="935" w:type="dxa"/>
            <w:tcBorders>
              <w:top w:val="single" w:color="auto" w:sz="4" w:space="0"/>
              <w:left w:val="single" w:color="auto" w:sz="4" w:space="0"/>
              <w:bottom w:val="single" w:color="auto" w:sz="4" w:space="0"/>
              <w:right w:val="single" w:color="auto" w:sz="4" w:space="0"/>
            </w:tcBorders>
            <w:vAlign w:val="top"/>
          </w:tcPr>
          <w:p w14:paraId="3E0EE63D">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817" w:type="dxa"/>
            <w:tcBorders>
              <w:top w:val="single" w:color="auto" w:sz="4" w:space="0"/>
              <w:left w:val="single" w:color="auto" w:sz="4" w:space="0"/>
              <w:bottom w:val="single" w:color="auto" w:sz="4" w:space="0"/>
              <w:right w:val="single" w:color="auto" w:sz="4" w:space="0"/>
            </w:tcBorders>
            <w:vAlign w:val="top"/>
          </w:tcPr>
          <w:p w14:paraId="3E064B46">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top"/>
          </w:tcPr>
          <w:p w14:paraId="35CA03C4">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594" w:type="dxa"/>
            <w:tcBorders>
              <w:top w:val="single" w:color="auto" w:sz="4" w:space="0"/>
              <w:left w:val="single" w:color="auto" w:sz="4" w:space="0"/>
              <w:bottom w:val="single" w:color="auto" w:sz="4" w:space="0"/>
              <w:right w:val="single" w:color="auto" w:sz="4" w:space="0"/>
            </w:tcBorders>
            <w:vAlign w:val="top"/>
          </w:tcPr>
          <w:p w14:paraId="44BD8E96">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1841" w:type="dxa"/>
            <w:tcBorders>
              <w:top w:val="single" w:color="auto" w:sz="4" w:space="0"/>
              <w:left w:val="single" w:color="auto" w:sz="4" w:space="0"/>
              <w:bottom w:val="single" w:color="auto" w:sz="4" w:space="0"/>
              <w:right w:val="single" w:color="auto" w:sz="4" w:space="0"/>
            </w:tcBorders>
            <w:vAlign w:val="top"/>
          </w:tcPr>
          <w:p w14:paraId="31BA434D">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top"/>
          </w:tcPr>
          <w:p w14:paraId="28A94F2A">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top"/>
          </w:tcPr>
          <w:p w14:paraId="603106DA">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3" w:type="dxa"/>
            <w:tcBorders>
              <w:top w:val="single" w:color="auto" w:sz="4" w:space="0"/>
              <w:left w:val="single" w:color="auto" w:sz="4" w:space="0"/>
              <w:bottom w:val="single" w:color="auto" w:sz="4" w:space="0"/>
              <w:right w:val="single" w:color="auto" w:sz="4" w:space="0"/>
            </w:tcBorders>
            <w:vAlign w:val="top"/>
          </w:tcPr>
          <w:p w14:paraId="3B81C139">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80" w:type="dxa"/>
            <w:tcBorders>
              <w:top w:val="single" w:color="auto" w:sz="4" w:space="0"/>
              <w:left w:val="single" w:color="auto" w:sz="4" w:space="0"/>
              <w:bottom w:val="single" w:color="auto" w:sz="4" w:space="0"/>
              <w:right w:val="single" w:color="auto" w:sz="4" w:space="0"/>
            </w:tcBorders>
            <w:vAlign w:val="top"/>
          </w:tcPr>
          <w:p w14:paraId="0E45D6AB">
            <w:pPr>
              <w:tabs>
                <w:tab w:val="left" w:pos="1337"/>
              </w:tabs>
              <w:adjustRightInd w:val="0"/>
              <w:snapToGrid w:val="0"/>
              <w:spacing w:before="145" w:beforeLines="50" w:line="360" w:lineRule="auto"/>
              <w:jc w:val="center"/>
              <w:rPr>
                <w:rFonts w:ascii="宋体" w:hAnsi="宋体" w:eastAsia="宋体" w:cs="宋体"/>
                <w:sz w:val="22"/>
                <w:highlight w:val="none"/>
              </w:rPr>
            </w:pPr>
          </w:p>
        </w:tc>
      </w:tr>
      <w:tr w14:paraId="2CDA2648">
        <w:tblPrEx>
          <w:tblCellMar>
            <w:top w:w="0" w:type="dxa"/>
            <w:left w:w="108" w:type="dxa"/>
            <w:bottom w:w="0" w:type="dxa"/>
            <w:right w:w="108" w:type="dxa"/>
          </w:tblCellMar>
        </w:tblPrEx>
        <w:trPr>
          <w:trHeight w:val="618"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14:paraId="546F14BD">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3</w:t>
            </w:r>
          </w:p>
        </w:tc>
        <w:tc>
          <w:tcPr>
            <w:tcW w:w="935" w:type="dxa"/>
            <w:tcBorders>
              <w:top w:val="single" w:color="auto" w:sz="4" w:space="0"/>
              <w:left w:val="single" w:color="auto" w:sz="4" w:space="0"/>
              <w:bottom w:val="single" w:color="auto" w:sz="4" w:space="0"/>
              <w:right w:val="single" w:color="auto" w:sz="4" w:space="0"/>
            </w:tcBorders>
            <w:vAlign w:val="top"/>
          </w:tcPr>
          <w:p w14:paraId="22F24376">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817" w:type="dxa"/>
            <w:tcBorders>
              <w:top w:val="single" w:color="auto" w:sz="4" w:space="0"/>
              <w:left w:val="single" w:color="auto" w:sz="4" w:space="0"/>
              <w:bottom w:val="single" w:color="auto" w:sz="4" w:space="0"/>
              <w:right w:val="single" w:color="auto" w:sz="4" w:space="0"/>
            </w:tcBorders>
            <w:vAlign w:val="top"/>
          </w:tcPr>
          <w:p w14:paraId="78129788">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top"/>
          </w:tcPr>
          <w:p w14:paraId="27ED372A">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594" w:type="dxa"/>
            <w:tcBorders>
              <w:top w:val="single" w:color="auto" w:sz="4" w:space="0"/>
              <w:left w:val="single" w:color="auto" w:sz="4" w:space="0"/>
              <w:bottom w:val="single" w:color="auto" w:sz="4" w:space="0"/>
              <w:right w:val="single" w:color="auto" w:sz="4" w:space="0"/>
            </w:tcBorders>
            <w:vAlign w:val="top"/>
          </w:tcPr>
          <w:p w14:paraId="503E10EA">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1841" w:type="dxa"/>
            <w:tcBorders>
              <w:top w:val="single" w:color="auto" w:sz="4" w:space="0"/>
              <w:left w:val="single" w:color="auto" w:sz="4" w:space="0"/>
              <w:bottom w:val="single" w:color="auto" w:sz="4" w:space="0"/>
              <w:right w:val="single" w:color="auto" w:sz="4" w:space="0"/>
            </w:tcBorders>
            <w:vAlign w:val="top"/>
          </w:tcPr>
          <w:p w14:paraId="4EEFB6F6">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top"/>
          </w:tcPr>
          <w:p w14:paraId="54C4CB72">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top"/>
          </w:tcPr>
          <w:p w14:paraId="0D886958">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3" w:type="dxa"/>
            <w:tcBorders>
              <w:top w:val="single" w:color="auto" w:sz="4" w:space="0"/>
              <w:left w:val="single" w:color="auto" w:sz="4" w:space="0"/>
              <w:bottom w:val="single" w:color="auto" w:sz="4" w:space="0"/>
              <w:right w:val="single" w:color="auto" w:sz="4" w:space="0"/>
            </w:tcBorders>
            <w:vAlign w:val="top"/>
          </w:tcPr>
          <w:p w14:paraId="6B0AE8DE">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80" w:type="dxa"/>
            <w:tcBorders>
              <w:top w:val="single" w:color="auto" w:sz="4" w:space="0"/>
              <w:left w:val="single" w:color="auto" w:sz="4" w:space="0"/>
              <w:bottom w:val="single" w:color="auto" w:sz="4" w:space="0"/>
              <w:right w:val="single" w:color="auto" w:sz="4" w:space="0"/>
            </w:tcBorders>
            <w:vAlign w:val="top"/>
          </w:tcPr>
          <w:p w14:paraId="391C19FE">
            <w:pPr>
              <w:tabs>
                <w:tab w:val="left" w:pos="1337"/>
              </w:tabs>
              <w:adjustRightInd w:val="0"/>
              <w:snapToGrid w:val="0"/>
              <w:spacing w:before="145" w:beforeLines="50" w:line="360" w:lineRule="auto"/>
              <w:jc w:val="center"/>
              <w:rPr>
                <w:rFonts w:ascii="宋体" w:hAnsi="宋体" w:eastAsia="宋体" w:cs="宋体"/>
                <w:sz w:val="22"/>
                <w:highlight w:val="none"/>
              </w:rPr>
            </w:pPr>
          </w:p>
        </w:tc>
      </w:tr>
      <w:tr w14:paraId="27EA8E69">
        <w:tblPrEx>
          <w:tblCellMar>
            <w:top w:w="0" w:type="dxa"/>
            <w:left w:w="108" w:type="dxa"/>
            <w:bottom w:w="0" w:type="dxa"/>
            <w:right w:w="108" w:type="dxa"/>
          </w:tblCellMar>
        </w:tblPrEx>
        <w:trPr>
          <w:trHeight w:val="618" w:hRule="atLeast"/>
          <w:jc w:val="center"/>
        </w:trPr>
        <w:tc>
          <w:tcPr>
            <w:tcW w:w="496" w:type="dxa"/>
            <w:tcBorders>
              <w:top w:val="single" w:color="auto" w:sz="4" w:space="0"/>
              <w:left w:val="single" w:color="auto" w:sz="4" w:space="0"/>
              <w:bottom w:val="single" w:color="auto" w:sz="4" w:space="0"/>
              <w:right w:val="single" w:color="auto" w:sz="4" w:space="0"/>
            </w:tcBorders>
            <w:vAlign w:val="top"/>
          </w:tcPr>
          <w:p w14:paraId="408B1746">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w:t>
            </w:r>
          </w:p>
        </w:tc>
        <w:tc>
          <w:tcPr>
            <w:tcW w:w="935" w:type="dxa"/>
            <w:tcBorders>
              <w:top w:val="single" w:color="auto" w:sz="4" w:space="0"/>
              <w:left w:val="single" w:color="auto" w:sz="4" w:space="0"/>
              <w:bottom w:val="single" w:color="auto" w:sz="4" w:space="0"/>
              <w:right w:val="single" w:color="auto" w:sz="4" w:space="0"/>
            </w:tcBorders>
            <w:vAlign w:val="top"/>
          </w:tcPr>
          <w:p w14:paraId="19DE63FD">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817" w:type="dxa"/>
            <w:tcBorders>
              <w:top w:val="single" w:color="auto" w:sz="4" w:space="0"/>
              <w:left w:val="single" w:color="auto" w:sz="4" w:space="0"/>
              <w:bottom w:val="single" w:color="auto" w:sz="4" w:space="0"/>
              <w:right w:val="single" w:color="auto" w:sz="4" w:space="0"/>
            </w:tcBorders>
            <w:vAlign w:val="top"/>
          </w:tcPr>
          <w:p w14:paraId="31AD19B9">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top"/>
          </w:tcPr>
          <w:p w14:paraId="2888BE9D">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594" w:type="dxa"/>
            <w:tcBorders>
              <w:top w:val="single" w:color="auto" w:sz="4" w:space="0"/>
              <w:left w:val="single" w:color="auto" w:sz="4" w:space="0"/>
              <w:bottom w:val="single" w:color="auto" w:sz="4" w:space="0"/>
              <w:right w:val="single" w:color="auto" w:sz="4" w:space="0"/>
            </w:tcBorders>
            <w:vAlign w:val="top"/>
          </w:tcPr>
          <w:p w14:paraId="675A0815">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1841" w:type="dxa"/>
            <w:tcBorders>
              <w:top w:val="single" w:color="auto" w:sz="4" w:space="0"/>
              <w:left w:val="single" w:color="auto" w:sz="4" w:space="0"/>
              <w:bottom w:val="single" w:color="auto" w:sz="4" w:space="0"/>
              <w:right w:val="single" w:color="auto" w:sz="4" w:space="0"/>
            </w:tcBorders>
            <w:vAlign w:val="top"/>
          </w:tcPr>
          <w:p w14:paraId="685D1B83">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top"/>
          </w:tcPr>
          <w:p w14:paraId="27759B9E">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4" w:type="dxa"/>
            <w:tcBorders>
              <w:top w:val="single" w:color="auto" w:sz="4" w:space="0"/>
              <w:left w:val="single" w:color="auto" w:sz="4" w:space="0"/>
              <w:bottom w:val="single" w:color="auto" w:sz="4" w:space="0"/>
              <w:right w:val="single" w:color="auto" w:sz="4" w:space="0"/>
            </w:tcBorders>
            <w:vAlign w:val="top"/>
          </w:tcPr>
          <w:p w14:paraId="1539994C">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63" w:type="dxa"/>
            <w:tcBorders>
              <w:top w:val="single" w:color="auto" w:sz="4" w:space="0"/>
              <w:left w:val="single" w:color="auto" w:sz="4" w:space="0"/>
              <w:bottom w:val="single" w:color="auto" w:sz="4" w:space="0"/>
              <w:right w:val="single" w:color="auto" w:sz="4" w:space="0"/>
            </w:tcBorders>
            <w:vAlign w:val="top"/>
          </w:tcPr>
          <w:p w14:paraId="78ED3D0F">
            <w:pPr>
              <w:tabs>
                <w:tab w:val="left" w:pos="1337"/>
              </w:tabs>
              <w:adjustRightInd w:val="0"/>
              <w:snapToGrid w:val="0"/>
              <w:spacing w:before="145" w:beforeLines="50" w:line="360" w:lineRule="auto"/>
              <w:jc w:val="center"/>
              <w:rPr>
                <w:rFonts w:ascii="宋体" w:hAnsi="宋体" w:eastAsia="宋体" w:cs="宋体"/>
                <w:sz w:val="22"/>
                <w:highlight w:val="none"/>
              </w:rPr>
            </w:pPr>
          </w:p>
        </w:tc>
        <w:tc>
          <w:tcPr>
            <w:tcW w:w="780" w:type="dxa"/>
            <w:tcBorders>
              <w:top w:val="single" w:color="auto" w:sz="4" w:space="0"/>
              <w:left w:val="single" w:color="auto" w:sz="4" w:space="0"/>
              <w:bottom w:val="single" w:color="auto" w:sz="4" w:space="0"/>
              <w:right w:val="single" w:color="auto" w:sz="4" w:space="0"/>
            </w:tcBorders>
            <w:vAlign w:val="top"/>
          </w:tcPr>
          <w:p w14:paraId="337F8FA2">
            <w:pPr>
              <w:tabs>
                <w:tab w:val="left" w:pos="1337"/>
              </w:tabs>
              <w:adjustRightInd w:val="0"/>
              <w:snapToGrid w:val="0"/>
              <w:spacing w:before="145" w:beforeLines="50" w:line="360" w:lineRule="auto"/>
              <w:jc w:val="center"/>
              <w:rPr>
                <w:rFonts w:ascii="宋体" w:hAnsi="宋体" w:eastAsia="宋体" w:cs="宋体"/>
                <w:sz w:val="22"/>
                <w:highlight w:val="none"/>
              </w:rPr>
            </w:pPr>
          </w:p>
        </w:tc>
      </w:tr>
      <w:tr w14:paraId="35E4C9F9">
        <w:tblPrEx>
          <w:tblCellMar>
            <w:top w:w="0" w:type="dxa"/>
            <w:left w:w="108" w:type="dxa"/>
            <w:bottom w:w="0" w:type="dxa"/>
            <w:right w:w="108" w:type="dxa"/>
          </w:tblCellMar>
        </w:tblPrEx>
        <w:trPr>
          <w:trHeight w:val="618" w:hRule="atLeast"/>
          <w:jc w:val="center"/>
        </w:trPr>
        <w:tc>
          <w:tcPr>
            <w:tcW w:w="9074" w:type="dxa"/>
            <w:gridSpan w:val="9"/>
            <w:tcBorders>
              <w:top w:val="single" w:color="auto" w:sz="4" w:space="0"/>
              <w:left w:val="single" w:color="auto" w:sz="4" w:space="0"/>
              <w:bottom w:val="single" w:color="auto" w:sz="4" w:space="0"/>
              <w:right w:val="single" w:color="auto" w:sz="4" w:space="0"/>
            </w:tcBorders>
            <w:vAlign w:val="center"/>
          </w:tcPr>
          <w:p w14:paraId="344CEE1F">
            <w:pPr>
              <w:tabs>
                <w:tab w:val="left" w:pos="1337"/>
              </w:tabs>
              <w:adjustRightInd w:val="0"/>
              <w:snapToGrid w:val="0"/>
              <w:spacing w:before="145" w:beforeLines="50" w:line="360" w:lineRule="auto"/>
              <w:jc w:val="center"/>
              <w:rPr>
                <w:rFonts w:ascii="宋体" w:hAnsi="宋体" w:eastAsia="宋体" w:cs="宋体"/>
                <w:sz w:val="22"/>
                <w:highlight w:val="none"/>
              </w:rPr>
            </w:pPr>
            <w:r>
              <w:rPr>
                <w:rFonts w:ascii="宋体" w:hAnsi="宋体" w:eastAsia="宋体" w:cs="宋体"/>
                <w:sz w:val="22"/>
                <w:highlight w:val="none"/>
              </w:rPr>
              <w:t>合计</w:t>
            </w:r>
          </w:p>
        </w:tc>
        <w:tc>
          <w:tcPr>
            <w:tcW w:w="780" w:type="dxa"/>
            <w:tcBorders>
              <w:top w:val="single" w:color="auto" w:sz="4" w:space="0"/>
              <w:left w:val="single" w:color="auto" w:sz="4" w:space="0"/>
              <w:bottom w:val="single" w:color="auto" w:sz="4" w:space="0"/>
              <w:right w:val="single" w:color="auto" w:sz="4" w:space="0"/>
            </w:tcBorders>
            <w:vAlign w:val="top"/>
          </w:tcPr>
          <w:p w14:paraId="628EAB79">
            <w:pPr>
              <w:tabs>
                <w:tab w:val="left" w:pos="1337"/>
              </w:tabs>
              <w:adjustRightInd w:val="0"/>
              <w:snapToGrid w:val="0"/>
              <w:spacing w:before="145" w:beforeLines="50" w:line="360" w:lineRule="auto"/>
              <w:jc w:val="center"/>
              <w:rPr>
                <w:rFonts w:ascii="宋体" w:hAnsi="宋体" w:eastAsia="宋体" w:cs="宋体"/>
                <w:sz w:val="22"/>
                <w:highlight w:val="none"/>
              </w:rPr>
            </w:pPr>
          </w:p>
        </w:tc>
      </w:tr>
    </w:tbl>
    <w:p w14:paraId="14BFE46D">
      <w:pPr>
        <w:adjustRightInd w:val="0"/>
        <w:snapToGrid w:val="0"/>
        <w:spacing w:before="145" w:beforeLines="50" w:line="360" w:lineRule="auto"/>
        <w:ind w:right="-20"/>
        <w:rPr>
          <w:rFonts w:hint="eastAsia" w:ascii="宋体" w:hAnsi="宋体" w:cs="宋体"/>
          <w:spacing w:val="1"/>
          <w:position w:val="-1"/>
          <w:sz w:val="22"/>
          <w:highlight w:val="none"/>
        </w:rPr>
      </w:pPr>
      <w:r>
        <w:rPr>
          <w:rFonts w:hint="eastAsia" w:ascii="宋体" w:hAnsi="宋体" w:cs="宋体"/>
          <w:sz w:val="22"/>
          <w:highlight w:val="none"/>
        </w:rPr>
        <w:t>说明：</w:t>
      </w:r>
      <w:r>
        <w:rPr>
          <w:rFonts w:hint="eastAsia" w:ascii="宋体" w:hAnsi="宋体" w:cs="宋体"/>
          <w:spacing w:val="1"/>
          <w:position w:val="-1"/>
          <w:sz w:val="22"/>
          <w:highlight w:val="none"/>
        </w:rPr>
        <w:t>1、节能产品根据财政部、国家发展改革委最新公布的节能产品政府采购清单确定。</w:t>
      </w:r>
    </w:p>
    <w:p w14:paraId="179D047C">
      <w:pPr>
        <w:adjustRightInd w:val="0"/>
        <w:snapToGrid w:val="0"/>
        <w:spacing w:before="145" w:beforeLines="50" w:line="360" w:lineRule="auto"/>
        <w:ind w:right="-20"/>
        <w:rPr>
          <w:rFonts w:hint="eastAsia" w:ascii="宋体" w:hAnsi="宋体" w:cs="宋体"/>
          <w:spacing w:val="1"/>
          <w:position w:val="-1"/>
          <w:sz w:val="22"/>
          <w:highlight w:val="none"/>
        </w:rPr>
      </w:pPr>
      <w:r>
        <w:rPr>
          <w:rFonts w:hint="eastAsia" w:ascii="宋体" w:hAnsi="宋体" w:cs="宋体"/>
          <w:spacing w:val="1"/>
          <w:position w:val="-1"/>
          <w:sz w:val="22"/>
          <w:highlight w:val="none"/>
        </w:rPr>
        <w:t xml:space="preserve">      2、如所报产品为节能产品（强制采购产品除外），必须按规定格式逐项填写，否则评审时不予加分。</w:t>
      </w:r>
    </w:p>
    <w:p w14:paraId="51A1276C">
      <w:pPr>
        <w:adjustRightInd w:val="0"/>
        <w:snapToGrid w:val="0"/>
        <w:spacing w:before="145" w:beforeLines="50" w:line="360" w:lineRule="auto"/>
        <w:ind w:right="-20"/>
        <w:rPr>
          <w:rFonts w:hint="eastAsia" w:ascii="宋体" w:hAnsi="宋体" w:cs="宋体"/>
          <w:spacing w:val="1"/>
          <w:position w:val="-1"/>
          <w:sz w:val="22"/>
          <w:highlight w:val="none"/>
        </w:rPr>
      </w:pPr>
      <w:r>
        <w:rPr>
          <w:rFonts w:hint="eastAsia" w:ascii="宋体" w:hAnsi="宋体" w:cs="宋体"/>
          <w:spacing w:val="1"/>
          <w:position w:val="-1"/>
          <w:sz w:val="22"/>
          <w:highlight w:val="none"/>
        </w:rPr>
        <w:t xml:space="preserve">      3、后附中国节能产品认证证书复印件、最新一期节能产品政府采购网清单网页截图；</w:t>
      </w:r>
    </w:p>
    <w:p w14:paraId="27C9B735">
      <w:pPr>
        <w:adjustRightInd w:val="0"/>
        <w:snapToGrid w:val="0"/>
        <w:spacing w:before="145" w:beforeLines="50" w:line="360" w:lineRule="auto"/>
        <w:ind w:right="-20"/>
        <w:rPr>
          <w:rFonts w:hint="eastAsia" w:ascii="宋体" w:hAnsi="宋体" w:cs="宋体"/>
          <w:spacing w:val="1"/>
          <w:position w:val="-1"/>
          <w:sz w:val="22"/>
          <w:highlight w:val="none"/>
        </w:rPr>
      </w:pPr>
    </w:p>
    <w:p w14:paraId="26DB8FCB">
      <w:pPr>
        <w:spacing w:line="360" w:lineRule="auto"/>
        <w:ind w:left="218" w:leftChars="104"/>
        <w:outlineLvl w:val="9"/>
        <w:rPr>
          <w:rFonts w:hint="eastAsia" w:ascii="宋体" w:hAnsi="宋体" w:cs="宋体"/>
          <w:szCs w:val="21"/>
          <w:highlight w:val="none"/>
        </w:rPr>
      </w:pPr>
      <w:r>
        <w:rPr>
          <w:rFonts w:hint="eastAsia" w:ascii="宋体" w:hAnsi="宋体" w:cs="宋体"/>
          <w:sz w:val="22"/>
          <w:highlight w:val="none"/>
        </w:rPr>
        <w:t xml:space="preserve">                                                                                                </w:t>
      </w:r>
      <w:bookmarkStart w:id="380" w:name="_Toc8075"/>
      <w:bookmarkStart w:id="381" w:name="_Toc12173"/>
      <w:bookmarkStart w:id="382" w:name="_Toc31850"/>
      <w:bookmarkStart w:id="383" w:name="_Toc5040"/>
      <w:bookmarkStart w:id="384" w:name="_Toc31198"/>
      <w:r>
        <w:rPr>
          <w:rFonts w:hint="eastAsia" w:ascii="宋体" w:hAnsi="宋体" w:cs="宋体"/>
          <w:szCs w:val="21"/>
          <w:highlight w:val="none"/>
          <w:lang w:eastAsia="zh-CN"/>
        </w:rPr>
        <w:t>供应商</w:t>
      </w:r>
      <w:r>
        <w:rPr>
          <w:rFonts w:hint="eastAsia" w:ascii="宋体" w:hAnsi="宋体" w:cs="宋体"/>
          <w:szCs w:val="21"/>
          <w:highlight w:val="none"/>
        </w:rPr>
        <w:t>名称（盖章）：</w:t>
      </w:r>
      <w:bookmarkEnd w:id="380"/>
      <w:bookmarkEnd w:id="381"/>
      <w:bookmarkEnd w:id="382"/>
      <w:bookmarkEnd w:id="383"/>
      <w:bookmarkEnd w:id="384"/>
      <w:r>
        <w:rPr>
          <w:rFonts w:hint="eastAsia" w:ascii="宋体" w:hAnsi="宋体" w:cs="宋体"/>
          <w:szCs w:val="21"/>
          <w:highlight w:val="none"/>
        </w:rPr>
        <w:t xml:space="preserve"> </w:t>
      </w:r>
    </w:p>
    <w:p w14:paraId="573E7D10">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 xml:space="preserve">      </w:t>
      </w:r>
    </w:p>
    <w:p w14:paraId="046C2EBE">
      <w:pPr>
        <w:autoSpaceDE w:val="0"/>
        <w:autoSpaceDN w:val="0"/>
        <w:spacing w:line="360" w:lineRule="auto"/>
        <w:ind w:firstLine="210" w:firstLineChars="100"/>
        <w:outlineLvl w:val="9"/>
        <w:rPr>
          <w:rFonts w:hint="eastAsia" w:ascii="宋体" w:hAnsi="宋体" w:cs="宋体"/>
          <w:szCs w:val="21"/>
          <w:highlight w:val="none"/>
          <w:lang w:val="zh-CN"/>
        </w:rPr>
      </w:pPr>
      <w:bookmarkStart w:id="385" w:name="_Toc26479"/>
      <w:bookmarkStart w:id="386" w:name="_Toc25882"/>
      <w:bookmarkStart w:id="387" w:name="_Toc22751"/>
      <w:bookmarkStart w:id="388" w:name="_Toc14521"/>
      <w:bookmarkStart w:id="389" w:name="_Toc15615"/>
      <w:r>
        <w:rPr>
          <w:rFonts w:hint="eastAsia" w:ascii="宋体" w:hAnsi="宋体" w:cs="宋体"/>
          <w:szCs w:val="21"/>
          <w:highlight w:val="none"/>
          <w:lang w:val="zh-CN"/>
        </w:rPr>
        <w:t>法定代表人或其授权代表</w:t>
      </w:r>
      <w:r>
        <w:rPr>
          <w:rFonts w:hint="eastAsia" w:ascii="宋体" w:hAnsi="宋体" w:cs="宋体"/>
          <w:szCs w:val="21"/>
          <w:highlight w:val="none"/>
        </w:rPr>
        <w:t>（签字或盖章）</w:t>
      </w:r>
      <w:r>
        <w:rPr>
          <w:rFonts w:hint="eastAsia" w:ascii="宋体" w:hAnsi="宋体" w:cs="宋体"/>
          <w:szCs w:val="21"/>
          <w:highlight w:val="none"/>
          <w:lang w:val="zh-CN"/>
        </w:rPr>
        <w:t>：</w:t>
      </w:r>
      <w:bookmarkEnd w:id="385"/>
      <w:bookmarkEnd w:id="386"/>
      <w:bookmarkEnd w:id="387"/>
      <w:bookmarkEnd w:id="388"/>
      <w:bookmarkEnd w:id="389"/>
      <w:r>
        <w:rPr>
          <w:rFonts w:hint="eastAsia" w:ascii="宋体" w:hAnsi="宋体" w:cs="宋体"/>
          <w:szCs w:val="21"/>
          <w:highlight w:val="none"/>
          <w:lang w:val="zh-CN"/>
        </w:rPr>
        <w:t xml:space="preserve">   </w:t>
      </w:r>
    </w:p>
    <w:p w14:paraId="2722E8F8">
      <w:pPr>
        <w:pStyle w:val="75"/>
        <w:rPr>
          <w:rFonts w:hint="eastAsia" w:ascii="宋体" w:hAnsi="宋体" w:cs="宋体"/>
          <w:highlight w:val="none"/>
          <w:lang w:val="zh-CN"/>
        </w:rPr>
      </w:pPr>
    </w:p>
    <w:p w14:paraId="26592303">
      <w:pPr>
        <w:autoSpaceDE w:val="0"/>
        <w:autoSpaceDN w:val="0"/>
        <w:spacing w:line="360" w:lineRule="auto"/>
        <w:ind w:firstLine="210" w:firstLineChars="100"/>
        <w:outlineLvl w:val="9"/>
        <w:rPr>
          <w:rFonts w:hint="eastAsia" w:ascii="宋体" w:hAnsi="宋体" w:cs="宋体"/>
          <w:b/>
          <w:position w:val="-2"/>
          <w:highlight w:val="none"/>
        </w:rPr>
      </w:pPr>
      <w:bookmarkStart w:id="390" w:name="_Toc7161"/>
      <w:bookmarkStart w:id="391" w:name="_Toc20460"/>
      <w:bookmarkStart w:id="392" w:name="_Toc18238"/>
      <w:bookmarkStart w:id="393" w:name="_Toc11088"/>
      <w:bookmarkStart w:id="394" w:name="_Toc7266"/>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bookmarkEnd w:id="390"/>
      <w:bookmarkEnd w:id="391"/>
      <w:bookmarkEnd w:id="392"/>
      <w:bookmarkEnd w:id="393"/>
      <w:bookmarkEnd w:id="394"/>
      <w:r>
        <w:rPr>
          <w:rFonts w:hint="eastAsia" w:ascii="宋体" w:hAnsi="宋体" w:cs="宋体"/>
          <w:szCs w:val="21"/>
          <w:highlight w:val="none"/>
        </w:rPr>
        <w:t xml:space="preserve"> </w:t>
      </w:r>
    </w:p>
    <w:p w14:paraId="2C6B3671">
      <w:pPr>
        <w:pageBreakBefore w:val="0"/>
        <w:kinsoku/>
        <w:overflowPunct/>
        <w:topLinePunct w:val="0"/>
        <w:bidi w:val="0"/>
        <w:spacing w:after="10" w:line="360" w:lineRule="auto"/>
        <w:ind w:left="0" w:leftChars="0" w:right="0" w:rightChars="0" w:firstLine="480" w:firstLineChars="200"/>
        <w:outlineLvl w:val="9"/>
        <w:rPr>
          <w:rFonts w:hint="eastAsia" w:ascii="宋体" w:hAnsi="宋体" w:cs="宋体"/>
          <w:b w:val="0"/>
          <w:sz w:val="24"/>
          <w:szCs w:val="21"/>
          <w:highlight w:val="none"/>
          <w:lang w:eastAsia="zh-CN"/>
        </w:rPr>
      </w:pPr>
    </w:p>
    <w:bookmarkEnd w:id="355"/>
    <w:bookmarkEnd w:id="356"/>
    <w:bookmarkEnd w:id="357"/>
    <w:bookmarkEnd w:id="358"/>
    <w:bookmarkEnd w:id="359"/>
    <w:p w14:paraId="3CB97FBD">
      <w:pPr>
        <w:pStyle w:val="75"/>
        <w:pageBreakBefore w:val="0"/>
        <w:kinsoku/>
        <w:overflowPunct/>
        <w:topLinePunct w:val="0"/>
        <w:bidi w:val="0"/>
        <w:spacing w:after="10" w:line="360" w:lineRule="auto"/>
        <w:ind w:left="0" w:leftChars="0" w:right="0" w:rightChars="0" w:firstLine="0" w:firstLineChars="0"/>
        <w:rPr>
          <w:rFonts w:hint="eastAsia" w:ascii="宋体" w:hAnsi="宋体" w:eastAsia="宋体" w:cs="宋体"/>
          <w:highlight w:val="none"/>
        </w:rPr>
      </w:pPr>
    </w:p>
    <w:sectPr>
      <w:headerReference r:id="rId6" w:type="default"/>
      <w:pgSz w:w="11907" w:h="16840"/>
      <w:pgMar w:top="1701" w:right="1417" w:bottom="1701" w:left="1417" w:header="851" w:footer="794" w:gutter="0"/>
      <w:pgNumType w:fmt="decimal"/>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86BE">
    <w:pPr>
      <w:pStyle w:val="49"/>
      <w:bidi w:val="0"/>
      <w:rPr>
        <w:rFonts w:hint="default"/>
        <w:lang w:val="en-US" w:eastAsia="zh-CN"/>
      </w:rPr>
    </w:pPr>
    <w:r>
      <w:rPr>
        <w:rFonts w:hint="eastAsia"/>
        <w:lang w:val="en-US" w:eastAsia="zh-CN"/>
      </w:rPr>
      <w:t>山东华平项目管理有限公司</w:t>
    </w:r>
    <w:r>
      <w:rPr>
        <w:rFonts w:hint="eastAsia"/>
        <w:lang w:val="en-US" w:eastAsia="zh-CN"/>
      </w:rPr>
      <w:tab/>
    </w:r>
    <w:r>
      <w:rPr>
        <w:rFonts w:hint="eastAsia"/>
        <w:lang w:val="en-US" w:eastAsia="zh-CN"/>
      </w:rPr>
      <w:t xml:space="preserve">                                                          17852007052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76058">
    <w:pPr>
      <w:pStyle w:val="49"/>
      <w:bidi w:val="0"/>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51C06">
                          <w:pPr>
                            <w:pStyle w:val="49"/>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251C06">
                    <w:pPr>
                      <w:pStyle w:val="4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rFonts w:hint="eastAsia"/>
        <w:lang w:val="en-US" w:eastAsia="zh-CN"/>
      </w:rPr>
      <w:t>山东华平项目管理有限公司</w:t>
    </w:r>
    <w:r>
      <w:rPr>
        <w:rFonts w:hint="eastAsia"/>
        <w:lang w:val="en-US" w:eastAsia="zh-CN"/>
      </w:rPr>
      <w:tab/>
    </w:r>
    <w:r>
      <w:rPr>
        <w:rFonts w:hint="eastAsia"/>
        <w:lang w:val="en-US" w:eastAsia="zh-CN"/>
      </w:rPr>
      <w:t xml:space="preserve">                                                          17852007052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F7BF">
    <w:pPr>
      <w:pStyle w:val="51"/>
      <w:pBdr>
        <w:bottom w:val="thinThickSmallGap" w:color="auto" w:sz="12" w:space="1"/>
      </w:pBdr>
      <w:jc w:val="both"/>
      <w:rPr>
        <w:rFonts w:hint="eastAsia" w:ascii="仿宋" w:hAnsi="仿宋" w:eastAsia="仿宋" w:cs="仿宋"/>
        <w:b w:val="0"/>
        <w:bCs w:val="0"/>
        <w:sz w:val="18"/>
        <w:szCs w:val="22"/>
        <w:lang w:eastAsia="zh-CN"/>
      </w:rPr>
    </w:pPr>
    <w:r>
      <w:rPr>
        <w:rFonts w:hint="eastAsia" w:ascii="仿宋" w:hAnsi="仿宋" w:eastAsia="仿宋" w:cs="仿宋"/>
        <w:b w:val="0"/>
        <w:bCs w:val="0"/>
        <w:sz w:val="18"/>
        <w:szCs w:val="22"/>
        <w:lang w:eastAsia="zh-CN"/>
      </w:rPr>
      <w:t>菏泽市立医院IVF双人工作站项目</w:t>
    </w:r>
    <w:r>
      <w:rPr>
        <w:rFonts w:hint="eastAsia" w:ascii="仿宋" w:hAnsi="仿宋" w:eastAsia="仿宋" w:cs="仿宋"/>
        <w:b w:val="0"/>
        <w:bCs w:val="0"/>
        <w:sz w:val="18"/>
        <w:szCs w:val="22"/>
      </w:rPr>
      <w:t xml:space="preserve"> </w:t>
    </w:r>
    <w:r>
      <w:rPr>
        <w:rFonts w:ascii="仿宋" w:hAnsi="仿宋" w:eastAsia="仿宋" w:cs="仿宋"/>
        <w:b w:val="0"/>
        <w:bCs w:val="0"/>
        <w:sz w:val="18"/>
        <w:szCs w:val="22"/>
      </w:rPr>
      <w:t xml:space="preserve">   </w:t>
    </w:r>
    <w:r>
      <w:rPr>
        <w:rFonts w:hint="eastAsia" w:ascii="仿宋" w:hAnsi="仿宋" w:eastAsia="仿宋" w:cs="仿宋"/>
        <w:b w:val="0"/>
        <w:bCs w:val="0"/>
        <w:sz w:val="18"/>
        <w:szCs w:val="22"/>
        <w:lang w:val="en-US" w:eastAsia="zh-CN"/>
      </w:rPr>
      <w:t xml:space="preserve">                         </w:t>
    </w:r>
    <w:r>
      <w:rPr>
        <w:rFonts w:ascii="仿宋" w:hAnsi="仿宋" w:eastAsia="仿宋" w:cs="仿宋"/>
        <w:b w:val="0"/>
        <w:bCs w:val="0"/>
        <w:sz w:val="18"/>
        <w:szCs w:val="22"/>
      </w:rPr>
      <w:t xml:space="preserve"> </w:t>
    </w:r>
    <w:r>
      <w:rPr>
        <w:rFonts w:hint="eastAsia" w:ascii="仿宋" w:hAnsi="仿宋" w:eastAsia="仿宋" w:cs="仿宋"/>
        <w:b w:val="0"/>
        <w:bCs w:val="0"/>
        <w:sz w:val="18"/>
        <w:szCs w:val="22"/>
        <w:lang w:eastAsia="zh-CN"/>
      </w:rPr>
      <w:t>项目编号：SDGP371700000202502000167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052D">
    <w:pPr>
      <w:pStyle w:val="51"/>
      <w:pBdr>
        <w:bottom w:val="thinThickSmallGap" w:color="auto" w:sz="12" w:space="1"/>
      </w:pBdr>
      <w:jc w:val="both"/>
      <w:rPr>
        <w:rFonts w:hint="eastAsia" w:ascii="仿宋" w:hAnsi="仿宋" w:eastAsia="仿宋" w:cs="仿宋"/>
        <w:b w:val="0"/>
        <w:bCs w:val="0"/>
        <w:sz w:val="18"/>
        <w:szCs w:val="22"/>
        <w:lang w:eastAsia="zh-CN"/>
      </w:rPr>
    </w:pPr>
    <w:r>
      <w:rPr>
        <w:rFonts w:hint="eastAsia" w:ascii="仿宋" w:hAnsi="仿宋" w:eastAsia="仿宋" w:cs="仿宋"/>
        <w:b w:val="0"/>
        <w:bCs w:val="0"/>
        <w:sz w:val="18"/>
        <w:szCs w:val="22"/>
        <w:lang w:eastAsia="zh-CN"/>
      </w:rPr>
      <w:t>菏泽市立医院IVF双人工作站项目</w:t>
    </w:r>
    <w:r>
      <w:rPr>
        <w:rFonts w:hint="eastAsia" w:ascii="仿宋" w:hAnsi="仿宋" w:eastAsia="仿宋" w:cs="仿宋"/>
        <w:b w:val="0"/>
        <w:bCs w:val="0"/>
        <w:sz w:val="18"/>
        <w:szCs w:val="22"/>
      </w:rPr>
      <w:t xml:space="preserve"> </w:t>
    </w:r>
    <w:r>
      <w:rPr>
        <w:rFonts w:ascii="仿宋" w:hAnsi="仿宋" w:eastAsia="仿宋" w:cs="仿宋"/>
        <w:b w:val="0"/>
        <w:bCs w:val="0"/>
        <w:sz w:val="18"/>
        <w:szCs w:val="22"/>
      </w:rPr>
      <w:t xml:space="preserve">   </w:t>
    </w:r>
    <w:r>
      <w:rPr>
        <w:rFonts w:hint="eastAsia" w:ascii="仿宋" w:hAnsi="仿宋" w:eastAsia="仿宋" w:cs="仿宋"/>
        <w:b w:val="0"/>
        <w:bCs w:val="0"/>
        <w:sz w:val="18"/>
        <w:szCs w:val="22"/>
        <w:lang w:val="en-US" w:eastAsia="zh-CN"/>
      </w:rPr>
      <w:t xml:space="preserve">                  </w:t>
    </w:r>
    <w:r>
      <w:rPr>
        <w:rFonts w:ascii="仿宋" w:hAnsi="仿宋" w:eastAsia="仿宋" w:cs="仿宋"/>
        <w:b w:val="0"/>
        <w:bCs w:val="0"/>
        <w:sz w:val="18"/>
        <w:szCs w:val="22"/>
      </w:rPr>
      <w:t xml:space="preserve"> </w:t>
    </w:r>
    <w:r>
      <w:rPr>
        <w:rFonts w:hint="eastAsia" w:ascii="仿宋" w:hAnsi="仿宋" w:eastAsia="仿宋" w:cs="仿宋"/>
        <w:b w:val="0"/>
        <w:bCs w:val="0"/>
        <w:sz w:val="18"/>
        <w:szCs w:val="22"/>
        <w:lang w:val="en-US" w:eastAsia="zh-CN"/>
      </w:rPr>
      <w:t xml:space="preserve">       </w:t>
    </w:r>
    <w:r>
      <w:rPr>
        <w:rFonts w:hint="eastAsia" w:ascii="仿宋" w:hAnsi="仿宋" w:eastAsia="仿宋" w:cs="仿宋"/>
        <w:b w:val="0"/>
        <w:bCs w:val="0"/>
        <w:sz w:val="18"/>
        <w:szCs w:val="22"/>
        <w:lang w:eastAsia="zh-CN"/>
      </w:rPr>
      <w:t>项目编号：SDGP371700000202502000167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FCF03"/>
    <w:multiLevelType w:val="singleLevel"/>
    <w:tmpl w:val="8E9FCF03"/>
    <w:lvl w:ilvl="0" w:tentative="0">
      <w:start w:val="1"/>
      <w:numFmt w:val="chineseCounting"/>
      <w:suff w:val="space"/>
      <w:lvlText w:val="第%1章"/>
      <w:lvlJc w:val="left"/>
      <w:rPr>
        <w:rFonts w:hint="eastAsia"/>
      </w:rPr>
    </w:lvl>
  </w:abstractNum>
  <w:abstractNum w:abstractNumId="1">
    <w:nsid w:val="224CA07E"/>
    <w:multiLevelType w:val="multilevel"/>
    <w:tmpl w:val="224CA07E"/>
    <w:lvl w:ilvl="0" w:tentative="0">
      <w:start w:val="1"/>
      <w:numFmt w:val="decimal"/>
      <w:suff w:val="nothing"/>
      <w:lvlText w:val="%1"/>
      <w:lvlJc w:val="left"/>
      <w:pPr>
        <w:ind w:left="420" w:hanging="420"/>
      </w:pPr>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229F5DE5"/>
    <w:multiLevelType w:val="multilevel"/>
    <w:tmpl w:val="229F5DE5"/>
    <w:lvl w:ilvl="0" w:tentative="0">
      <w:start w:val="3"/>
      <w:numFmt w:val="decimal"/>
      <w:pStyle w:val="43"/>
      <w:lvlText w:val="%1．"/>
      <w:lvlJc w:val="left"/>
      <w:pPr>
        <w:tabs>
          <w:tab w:val="left" w:pos="2140"/>
        </w:tabs>
        <w:ind w:left="2140" w:hanging="360"/>
      </w:pPr>
      <w:rPr>
        <w:rFonts w:hint="default" w:cs="Times New Roman"/>
      </w:rPr>
    </w:lvl>
    <w:lvl w:ilvl="1" w:tentative="0">
      <w:start w:val="1"/>
      <w:numFmt w:val="lowerLetter"/>
      <w:pStyle w:val="231"/>
      <w:lvlText w:val="%2)"/>
      <w:lvlJc w:val="left"/>
      <w:pPr>
        <w:tabs>
          <w:tab w:val="left" w:pos="2620"/>
        </w:tabs>
        <w:ind w:left="2620" w:hanging="420"/>
      </w:pPr>
      <w:rPr>
        <w:rFonts w:cs="Times New Roman"/>
      </w:rPr>
    </w:lvl>
    <w:lvl w:ilvl="2" w:tentative="0">
      <w:start w:val="1"/>
      <w:numFmt w:val="lowerRoman"/>
      <w:pStyle w:val="209"/>
      <w:lvlText w:val="%3."/>
      <w:lvlJc w:val="right"/>
      <w:pPr>
        <w:tabs>
          <w:tab w:val="left" w:pos="3040"/>
        </w:tabs>
        <w:ind w:left="3040" w:hanging="420"/>
      </w:pPr>
      <w:rPr>
        <w:rFonts w:cs="Times New Roman"/>
      </w:rPr>
    </w:lvl>
    <w:lvl w:ilvl="3" w:tentative="0">
      <w:start w:val="1"/>
      <w:numFmt w:val="decimal"/>
      <w:pStyle w:val="163"/>
      <w:lvlText w:val="%4."/>
      <w:lvlJc w:val="left"/>
      <w:pPr>
        <w:tabs>
          <w:tab w:val="left" w:pos="3460"/>
        </w:tabs>
        <w:ind w:left="3460" w:hanging="420"/>
      </w:pPr>
      <w:rPr>
        <w:rFonts w:cs="Times New Roman"/>
      </w:rPr>
    </w:lvl>
    <w:lvl w:ilvl="4" w:tentative="0">
      <w:start w:val="1"/>
      <w:numFmt w:val="lowerLetter"/>
      <w:pStyle w:val="162"/>
      <w:lvlText w:val="%5)"/>
      <w:lvlJc w:val="left"/>
      <w:pPr>
        <w:tabs>
          <w:tab w:val="left" w:pos="3880"/>
        </w:tabs>
        <w:ind w:left="3880" w:hanging="420"/>
      </w:pPr>
      <w:rPr>
        <w:rFonts w:cs="Times New Roman"/>
      </w:rPr>
    </w:lvl>
    <w:lvl w:ilvl="5" w:tentative="0">
      <w:start w:val="1"/>
      <w:numFmt w:val="lowerRoman"/>
      <w:pStyle w:val="198"/>
      <w:lvlText w:val="%6."/>
      <w:lvlJc w:val="right"/>
      <w:pPr>
        <w:tabs>
          <w:tab w:val="left" w:pos="4300"/>
        </w:tabs>
        <w:ind w:left="4300" w:hanging="420"/>
      </w:pPr>
      <w:rPr>
        <w:rFonts w:cs="Times New Roman"/>
      </w:rPr>
    </w:lvl>
    <w:lvl w:ilvl="6" w:tentative="0">
      <w:start w:val="1"/>
      <w:numFmt w:val="decimal"/>
      <w:lvlText w:val="%7."/>
      <w:lvlJc w:val="left"/>
      <w:pPr>
        <w:tabs>
          <w:tab w:val="left" w:pos="4720"/>
        </w:tabs>
        <w:ind w:left="4720" w:hanging="420"/>
      </w:pPr>
      <w:rPr>
        <w:rFonts w:cs="Times New Roman"/>
      </w:rPr>
    </w:lvl>
    <w:lvl w:ilvl="7" w:tentative="0">
      <w:start w:val="1"/>
      <w:numFmt w:val="lowerLetter"/>
      <w:lvlText w:val="%8)"/>
      <w:lvlJc w:val="left"/>
      <w:pPr>
        <w:tabs>
          <w:tab w:val="left" w:pos="5140"/>
        </w:tabs>
        <w:ind w:left="5140" w:hanging="420"/>
      </w:pPr>
      <w:rPr>
        <w:rFonts w:cs="Times New Roman"/>
      </w:rPr>
    </w:lvl>
    <w:lvl w:ilvl="8" w:tentative="0">
      <w:start w:val="1"/>
      <w:numFmt w:val="lowerRoman"/>
      <w:lvlText w:val="%9."/>
      <w:lvlJc w:val="right"/>
      <w:pPr>
        <w:tabs>
          <w:tab w:val="left" w:pos="5560"/>
        </w:tabs>
        <w:ind w:left="5560" w:hanging="420"/>
      </w:pPr>
      <w:rPr>
        <w:rFonts w:cs="Times New Roman"/>
      </w:rPr>
    </w:lvl>
  </w:abstractNum>
  <w:abstractNum w:abstractNumId="3">
    <w:nsid w:val="52A1F9F1"/>
    <w:multiLevelType w:val="singleLevel"/>
    <w:tmpl w:val="52A1F9F1"/>
    <w:lvl w:ilvl="0" w:tentative="0">
      <w:start w:val="1"/>
      <w:numFmt w:val="decimalEnclosedCircleChinese"/>
      <w:suff w:val="nothing"/>
      <w:lvlText w:val="%1　"/>
      <w:lvlJc w:val="left"/>
      <w:pPr>
        <w:ind w:left="0" w:firstLine="400"/>
      </w:pPr>
      <w:rPr>
        <w:rFonts w:hint="eastAsia"/>
      </w:rPr>
    </w:lvl>
  </w:abstractNum>
  <w:abstractNum w:abstractNumId="4">
    <w:nsid w:val="6BBABEF3"/>
    <w:multiLevelType w:val="singleLevel"/>
    <w:tmpl w:val="6BBABEF3"/>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documentProtection w:enforcement="0"/>
  <w:defaultTabStop w:val="420"/>
  <w:hyphenationZone w:val="360"/>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MmU4N2FmZjA0OGVmMGQ1Nzg3MDNlNzNlNWVlODAifQ=="/>
  </w:docVars>
  <w:rsids>
    <w:rsidRoot w:val="00000000"/>
    <w:rsid w:val="023843DB"/>
    <w:rsid w:val="0350150C"/>
    <w:rsid w:val="03A413DA"/>
    <w:rsid w:val="071A1B85"/>
    <w:rsid w:val="08D04A4E"/>
    <w:rsid w:val="0A305ACE"/>
    <w:rsid w:val="0BEC33E4"/>
    <w:rsid w:val="0C28597F"/>
    <w:rsid w:val="0D913562"/>
    <w:rsid w:val="0DB17A04"/>
    <w:rsid w:val="0E647048"/>
    <w:rsid w:val="0F7654B2"/>
    <w:rsid w:val="104B25FC"/>
    <w:rsid w:val="12B4551D"/>
    <w:rsid w:val="130B3F24"/>
    <w:rsid w:val="13124A23"/>
    <w:rsid w:val="13EF5EE3"/>
    <w:rsid w:val="143436D7"/>
    <w:rsid w:val="1736589B"/>
    <w:rsid w:val="199155F1"/>
    <w:rsid w:val="1A1D4914"/>
    <w:rsid w:val="1A6448FC"/>
    <w:rsid w:val="1BF131A5"/>
    <w:rsid w:val="1D1F1166"/>
    <w:rsid w:val="1D316AD3"/>
    <w:rsid w:val="1DE76F49"/>
    <w:rsid w:val="206250D9"/>
    <w:rsid w:val="216B497A"/>
    <w:rsid w:val="226A69DF"/>
    <w:rsid w:val="273F48DE"/>
    <w:rsid w:val="275B2D9A"/>
    <w:rsid w:val="280B61C0"/>
    <w:rsid w:val="284843FC"/>
    <w:rsid w:val="2A0851D6"/>
    <w:rsid w:val="2B4A5CBE"/>
    <w:rsid w:val="2C5D2F8E"/>
    <w:rsid w:val="303541AF"/>
    <w:rsid w:val="31C60A5A"/>
    <w:rsid w:val="34054F8D"/>
    <w:rsid w:val="342441B1"/>
    <w:rsid w:val="357B11D9"/>
    <w:rsid w:val="35D77409"/>
    <w:rsid w:val="36CA7001"/>
    <w:rsid w:val="38820484"/>
    <w:rsid w:val="38F628E8"/>
    <w:rsid w:val="3B294BCB"/>
    <w:rsid w:val="3B516ED3"/>
    <w:rsid w:val="3B84690C"/>
    <w:rsid w:val="3C0572CE"/>
    <w:rsid w:val="3C077389"/>
    <w:rsid w:val="3D934113"/>
    <w:rsid w:val="3EAE2B7E"/>
    <w:rsid w:val="3FD167EB"/>
    <w:rsid w:val="419D4D3C"/>
    <w:rsid w:val="42CF4F6A"/>
    <w:rsid w:val="43E07965"/>
    <w:rsid w:val="46AC31BB"/>
    <w:rsid w:val="476C68F7"/>
    <w:rsid w:val="48327EF0"/>
    <w:rsid w:val="499F0DB5"/>
    <w:rsid w:val="4A4B40FC"/>
    <w:rsid w:val="4A8E3303"/>
    <w:rsid w:val="4AF23624"/>
    <w:rsid w:val="4C234A18"/>
    <w:rsid w:val="4DEF766B"/>
    <w:rsid w:val="4E1B3980"/>
    <w:rsid w:val="4E6640BC"/>
    <w:rsid w:val="50B213CE"/>
    <w:rsid w:val="52650414"/>
    <w:rsid w:val="53FB28D9"/>
    <w:rsid w:val="55F45FE4"/>
    <w:rsid w:val="56B3779D"/>
    <w:rsid w:val="56B96345"/>
    <w:rsid w:val="585039A6"/>
    <w:rsid w:val="58935F89"/>
    <w:rsid w:val="5A2C0443"/>
    <w:rsid w:val="5A354629"/>
    <w:rsid w:val="5A661CF7"/>
    <w:rsid w:val="5AA61A39"/>
    <w:rsid w:val="5AF26F96"/>
    <w:rsid w:val="5AF301F7"/>
    <w:rsid w:val="5C180C7F"/>
    <w:rsid w:val="5C356B68"/>
    <w:rsid w:val="5D1D4073"/>
    <w:rsid w:val="5E802B0B"/>
    <w:rsid w:val="5FE61094"/>
    <w:rsid w:val="631877B6"/>
    <w:rsid w:val="64B05712"/>
    <w:rsid w:val="68AB2B5E"/>
    <w:rsid w:val="6A300197"/>
    <w:rsid w:val="6AC527E3"/>
    <w:rsid w:val="6B3A5263"/>
    <w:rsid w:val="6BCC3AFB"/>
    <w:rsid w:val="6C0070FA"/>
    <w:rsid w:val="6C1F3B14"/>
    <w:rsid w:val="6DF654AA"/>
    <w:rsid w:val="6E233EB8"/>
    <w:rsid w:val="6EB7026A"/>
    <w:rsid w:val="70EE3C7B"/>
    <w:rsid w:val="76796366"/>
    <w:rsid w:val="77E7338F"/>
    <w:rsid w:val="79776ADA"/>
    <w:rsid w:val="797D7F1B"/>
    <w:rsid w:val="7AB0396E"/>
    <w:rsid w:val="7F0445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0" w:semiHidden="0"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semiHidden="0"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0"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7"/>
    <w:qFormat/>
    <w:uiPriority w:val="99"/>
    <w:pPr>
      <w:keepNext/>
      <w:keepLines/>
      <w:spacing w:before="340" w:after="330" w:line="578" w:lineRule="auto"/>
      <w:outlineLvl w:val="0"/>
    </w:pPr>
    <w:rPr>
      <w:b/>
      <w:kern w:val="44"/>
      <w:sz w:val="44"/>
      <w:szCs w:val="20"/>
    </w:rPr>
  </w:style>
  <w:style w:type="paragraph" w:styleId="3">
    <w:name w:val="heading 2"/>
    <w:basedOn w:val="1"/>
    <w:next w:val="1"/>
    <w:link w:val="288"/>
    <w:qFormat/>
    <w:uiPriority w:val="99"/>
    <w:pPr>
      <w:keepNext/>
      <w:keepLines/>
      <w:spacing w:before="260" w:after="260" w:line="416" w:lineRule="auto"/>
      <w:outlineLvl w:val="1"/>
    </w:pPr>
    <w:rPr>
      <w:rFonts w:ascii="Arial" w:hAnsi="Arial" w:eastAsia="黑体"/>
      <w:b/>
      <w:kern w:val="0"/>
      <w:sz w:val="32"/>
      <w:szCs w:val="20"/>
    </w:rPr>
  </w:style>
  <w:style w:type="paragraph" w:styleId="4">
    <w:name w:val="heading 3"/>
    <w:basedOn w:val="1"/>
    <w:next w:val="1"/>
    <w:link w:val="283"/>
    <w:qFormat/>
    <w:uiPriority w:val="99"/>
    <w:pPr>
      <w:keepNext/>
      <w:keepLines/>
      <w:spacing w:before="260" w:after="260" w:line="416" w:lineRule="auto"/>
      <w:outlineLvl w:val="2"/>
    </w:pPr>
    <w:rPr>
      <w:b/>
      <w:kern w:val="0"/>
      <w:sz w:val="32"/>
      <w:szCs w:val="20"/>
    </w:rPr>
  </w:style>
  <w:style w:type="paragraph" w:styleId="5">
    <w:name w:val="heading 4"/>
    <w:basedOn w:val="1"/>
    <w:next w:val="1"/>
    <w:link w:val="271"/>
    <w:qFormat/>
    <w:uiPriority w:val="99"/>
    <w:pPr>
      <w:keepNext/>
      <w:keepLines/>
      <w:spacing w:before="280" w:after="290" w:line="376" w:lineRule="auto"/>
      <w:outlineLvl w:val="3"/>
    </w:pPr>
    <w:rPr>
      <w:rFonts w:ascii="Arial" w:hAnsi="Arial" w:eastAsia="黑体"/>
      <w:b/>
      <w:kern w:val="0"/>
      <w:sz w:val="28"/>
      <w:szCs w:val="20"/>
    </w:rPr>
  </w:style>
  <w:style w:type="paragraph" w:styleId="6">
    <w:name w:val="heading 5"/>
    <w:basedOn w:val="1"/>
    <w:next w:val="1"/>
    <w:link w:val="257"/>
    <w:qFormat/>
    <w:uiPriority w:val="99"/>
    <w:pPr>
      <w:keepNext/>
      <w:keepLines/>
      <w:spacing w:before="280" w:after="290" w:line="376" w:lineRule="auto"/>
      <w:outlineLvl w:val="4"/>
    </w:pPr>
    <w:rPr>
      <w:b/>
      <w:kern w:val="0"/>
      <w:sz w:val="28"/>
      <w:szCs w:val="20"/>
    </w:rPr>
  </w:style>
  <w:style w:type="paragraph" w:styleId="7">
    <w:name w:val="heading 6"/>
    <w:basedOn w:val="1"/>
    <w:next w:val="1"/>
    <w:link w:val="298"/>
    <w:qFormat/>
    <w:uiPriority w:val="99"/>
    <w:pPr>
      <w:keepNext/>
      <w:keepLines/>
      <w:spacing w:before="240" w:after="64" w:line="320" w:lineRule="auto"/>
      <w:outlineLvl w:val="5"/>
    </w:pPr>
    <w:rPr>
      <w:rFonts w:ascii="Arial" w:hAnsi="Arial" w:eastAsia="黑体"/>
      <w:b/>
      <w:kern w:val="0"/>
      <w:sz w:val="20"/>
      <w:szCs w:val="20"/>
    </w:rPr>
  </w:style>
  <w:style w:type="paragraph" w:styleId="8">
    <w:name w:val="heading 7"/>
    <w:basedOn w:val="1"/>
    <w:next w:val="1"/>
    <w:link w:val="275"/>
    <w:qFormat/>
    <w:uiPriority w:val="99"/>
    <w:pPr>
      <w:keepNext/>
      <w:keepLines/>
      <w:spacing w:before="240" w:after="64" w:line="320" w:lineRule="auto"/>
      <w:jc w:val="left"/>
      <w:outlineLvl w:val="6"/>
    </w:pPr>
    <w:rPr>
      <w:b/>
      <w:kern w:val="0"/>
      <w:sz w:val="24"/>
      <w:szCs w:val="20"/>
    </w:rPr>
  </w:style>
  <w:style w:type="paragraph" w:styleId="9">
    <w:name w:val="heading 8"/>
    <w:basedOn w:val="1"/>
    <w:next w:val="1"/>
    <w:link w:val="295"/>
    <w:qFormat/>
    <w:uiPriority w:val="99"/>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10">
    <w:name w:val="heading 9"/>
    <w:basedOn w:val="1"/>
    <w:next w:val="1"/>
    <w:link w:val="300"/>
    <w:qFormat/>
    <w:uiPriority w:val="99"/>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121">
    <w:name w:val="Default Paragraph Font"/>
    <w:link w:val="122"/>
    <w:unhideWhenUsed/>
    <w:qFormat/>
    <w:uiPriority w:val="1"/>
  </w:style>
  <w:style w:type="table" w:default="1" w:styleId="76">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semiHidden/>
    <w:qFormat/>
    <w:uiPriority w:val="99"/>
    <w:pPr>
      <w:ind w:left="1260"/>
      <w:jc w:val="left"/>
    </w:pPr>
    <w:rPr>
      <w:sz w:val="18"/>
      <w:szCs w:val="18"/>
    </w:rPr>
  </w:style>
  <w:style w:type="paragraph" w:styleId="13">
    <w:name w:val="List Number 2"/>
    <w:basedOn w:val="1"/>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4">
    <w:name w:val="table of authorities"/>
    <w:basedOn w:val="1"/>
    <w:next w:val="1"/>
    <w:semiHidden/>
    <w:qFormat/>
    <w:uiPriority w:val="99"/>
    <w:pPr>
      <w:spacing w:after="200" w:line="276" w:lineRule="auto"/>
      <w:ind w:left="420" w:leftChars="200"/>
      <w:jc w:val="left"/>
    </w:pPr>
    <w:rPr>
      <w:rFonts w:ascii="Calibri" w:hAnsi="Calibri"/>
      <w:kern w:val="0"/>
      <w:sz w:val="22"/>
      <w:szCs w:val="22"/>
      <w:lang w:eastAsia="en-US"/>
    </w:rPr>
  </w:style>
  <w:style w:type="paragraph" w:styleId="15">
    <w:name w:val="Note Heading"/>
    <w:basedOn w:val="1"/>
    <w:next w:val="1"/>
    <w:link w:val="255"/>
    <w:semiHidden/>
    <w:qFormat/>
    <w:uiPriority w:val="99"/>
    <w:pPr>
      <w:spacing w:after="200" w:line="276" w:lineRule="auto"/>
      <w:jc w:val="center"/>
    </w:pPr>
    <w:rPr>
      <w:kern w:val="0"/>
      <w:sz w:val="24"/>
      <w:szCs w:val="20"/>
    </w:rPr>
  </w:style>
  <w:style w:type="paragraph" w:styleId="16">
    <w:name w:val="List Bullet 4"/>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7">
    <w:name w:val="E-mail Signature"/>
    <w:basedOn w:val="1"/>
    <w:link w:val="256"/>
    <w:semiHidden/>
    <w:qFormat/>
    <w:uiPriority w:val="99"/>
    <w:pPr>
      <w:spacing w:after="200" w:line="276" w:lineRule="auto"/>
      <w:jc w:val="left"/>
    </w:pPr>
    <w:rPr>
      <w:kern w:val="0"/>
      <w:sz w:val="24"/>
      <w:szCs w:val="20"/>
    </w:rPr>
  </w:style>
  <w:style w:type="paragraph" w:styleId="18">
    <w:name w:val="List Number"/>
    <w:basedOn w:val="1"/>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19">
    <w:name w:val="Normal Indent"/>
    <w:basedOn w:val="1"/>
    <w:link w:val="265"/>
    <w:qFormat/>
    <w:uiPriority w:val="99"/>
    <w:pPr>
      <w:ind w:firstLine="420" w:firstLineChars="200"/>
    </w:pPr>
    <w:rPr>
      <w:kern w:val="0"/>
      <w:szCs w:val="20"/>
    </w:rPr>
  </w:style>
  <w:style w:type="paragraph" w:styleId="20">
    <w:name w:val="caption"/>
    <w:basedOn w:val="1"/>
    <w:next w:val="1"/>
    <w:qFormat/>
    <w:uiPriority w:val="99"/>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3">
    <w:name w:val="Document Map"/>
    <w:basedOn w:val="1"/>
    <w:link w:val="251"/>
    <w:semiHidden/>
    <w:qFormat/>
    <w:uiPriority w:val="99"/>
    <w:pPr>
      <w:shd w:val="clear" w:color="auto" w:fill="000080"/>
    </w:pPr>
    <w:rPr>
      <w:kern w:val="0"/>
      <w:sz w:val="2"/>
      <w:szCs w:val="20"/>
    </w:rPr>
  </w:style>
  <w:style w:type="paragraph" w:styleId="24">
    <w:name w:val="toa heading"/>
    <w:basedOn w:val="1"/>
    <w:next w:val="1"/>
    <w:semiHidden/>
    <w:qFormat/>
    <w:uiPriority w:val="99"/>
    <w:pPr>
      <w:spacing w:before="120"/>
    </w:pPr>
    <w:rPr>
      <w:rFonts w:ascii="Arial" w:hAnsi="Arial"/>
      <w:sz w:val="24"/>
      <w:szCs w:val="20"/>
    </w:rPr>
  </w:style>
  <w:style w:type="paragraph" w:styleId="25">
    <w:name w:val="annotation text"/>
    <w:basedOn w:val="1"/>
    <w:link w:val="264"/>
    <w:qFormat/>
    <w:uiPriority w:val="99"/>
    <w:pPr>
      <w:spacing w:after="200" w:line="276" w:lineRule="auto"/>
      <w:jc w:val="left"/>
    </w:pPr>
    <w:rPr>
      <w:kern w:val="0"/>
      <w:sz w:val="24"/>
      <w:szCs w:val="20"/>
    </w:rPr>
  </w:style>
  <w:style w:type="paragraph" w:styleId="26">
    <w:name w:val="Salutation"/>
    <w:basedOn w:val="1"/>
    <w:next w:val="1"/>
    <w:link w:val="239"/>
    <w:semiHidden/>
    <w:qFormat/>
    <w:uiPriority w:val="99"/>
    <w:pPr>
      <w:spacing w:after="200" w:line="276" w:lineRule="auto"/>
      <w:jc w:val="left"/>
    </w:pPr>
    <w:rPr>
      <w:kern w:val="0"/>
      <w:sz w:val="24"/>
      <w:szCs w:val="20"/>
    </w:rPr>
  </w:style>
  <w:style w:type="paragraph" w:styleId="27">
    <w:name w:val="Body Text 3"/>
    <w:basedOn w:val="1"/>
    <w:link w:val="289"/>
    <w:qFormat/>
    <w:uiPriority w:val="99"/>
    <w:rPr>
      <w:kern w:val="0"/>
      <w:sz w:val="16"/>
      <w:szCs w:val="20"/>
    </w:rPr>
  </w:style>
  <w:style w:type="paragraph" w:styleId="28">
    <w:name w:val="Closing"/>
    <w:basedOn w:val="1"/>
    <w:link w:val="276"/>
    <w:semiHidden/>
    <w:qFormat/>
    <w:uiPriority w:val="99"/>
    <w:pPr>
      <w:spacing w:after="200" w:line="276" w:lineRule="auto"/>
      <w:ind w:left="100" w:leftChars="2100"/>
      <w:jc w:val="left"/>
    </w:pPr>
    <w:rPr>
      <w:kern w:val="0"/>
      <w:sz w:val="24"/>
      <w:szCs w:val="20"/>
    </w:rPr>
  </w:style>
  <w:style w:type="paragraph" w:styleId="29">
    <w:name w:val="List Bullet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0">
    <w:name w:val="Body Text"/>
    <w:basedOn w:val="1"/>
    <w:next w:val="1"/>
    <w:link w:val="269"/>
    <w:qFormat/>
    <w:uiPriority w:val="99"/>
    <w:pPr>
      <w:spacing w:after="120"/>
    </w:pPr>
    <w:rPr>
      <w:kern w:val="0"/>
      <w:sz w:val="24"/>
      <w:szCs w:val="20"/>
    </w:rPr>
  </w:style>
  <w:style w:type="paragraph" w:styleId="31">
    <w:name w:val="Body Text Indent"/>
    <w:basedOn w:val="1"/>
    <w:next w:val="1"/>
    <w:link w:val="292"/>
    <w:qFormat/>
    <w:uiPriority w:val="99"/>
    <w:pPr>
      <w:spacing w:line="500" w:lineRule="exact"/>
      <w:ind w:left="1588" w:leftChars="832" w:firstLine="433" w:firstLineChars="196"/>
    </w:pPr>
    <w:rPr>
      <w:kern w:val="0"/>
      <w:sz w:val="24"/>
      <w:szCs w:val="2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3">
    <w:name w:val="List 2"/>
    <w:basedOn w:val="1"/>
    <w:qFormat/>
    <w:uiPriority w:val="99"/>
    <w:pPr>
      <w:ind w:left="100" w:leftChars="200" w:hanging="200" w:hangingChars="200"/>
    </w:pPr>
  </w:style>
  <w:style w:type="paragraph" w:styleId="34">
    <w:name w:val="List Continue"/>
    <w:basedOn w:val="1"/>
    <w:qFormat/>
    <w:uiPriority w:val="99"/>
    <w:pPr>
      <w:spacing w:after="120"/>
      <w:ind w:left="420" w:leftChars="200"/>
    </w:pPr>
  </w:style>
  <w:style w:type="paragraph" w:styleId="35">
    <w:name w:val="Block Text"/>
    <w:basedOn w:val="1"/>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6">
    <w:name w:val="List Bullet 2"/>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7">
    <w:name w:val="HTML Address"/>
    <w:basedOn w:val="1"/>
    <w:link w:val="282"/>
    <w:semiHidden/>
    <w:qFormat/>
    <w:uiPriority w:val="99"/>
    <w:pPr>
      <w:spacing w:after="200" w:line="276" w:lineRule="auto"/>
      <w:jc w:val="left"/>
    </w:pPr>
    <w:rPr>
      <w:i/>
      <w:kern w:val="0"/>
      <w:sz w:val="24"/>
      <w:szCs w:val="20"/>
    </w:rPr>
  </w:style>
  <w:style w:type="paragraph" w:styleId="38">
    <w:name w:val="index 4"/>
    <w:basedOn w:val="1"/>
    <w:next w:val="1"/>
    <w:qFormat/>
    <w:locked/>
    <w:uiPriority w:val="0"/>
    <w:pPr>
      <w:ind w:left="428" w:firstLine="140"/>
    </w:pPr>
    <w:rPr>
      <w:rFonts w:eastAsia="华文仿宋"/>
      <w:sz w:val="28"/>
    </w:rPr>
  </w:style>
  <w:style w:type="paragraph" w:styleId="39">
    <w:name w:val="toc 5"/>
    <w:basedOn w:val="1"/>
    <w:next w:val="1"/>
    <w:semiHidden/>
    <w:qFormat/>
    <w:uiPriority w:val="99"/>
    <w:pPr>
      <w:ind w:left="840"/>
      <w:jc w:val="left"/>
    </w:pPr>
    <w:rPr>
      <w:sz w:val="18"/>
      <w:szCs w:val="18"/>
    </w:rPr>
  </w:style>
  <w:style w:type="paragraph" w:styleId="40">
    <w:name w:val="toc 3"/>
    <w:basedOn w:val="1"/>
    <w:next w:val="1"/>
    <w:qFormat/>
    <w:uiPriority w:val="39"/>
    <w:pPr>
      <w:ind w:left="420"/>
      <w:jc w:val="left"/>
    </w:pPr>
    <w:rPr>
      <w:i/>
      <w:iCs/>
      <w:sz w:val="20"/>
      <w:szCs w:val="20"/>
    </w:rPr>
  </w:style>
  <w:style w:type="paragraph" w:styleId="41">
    <w:name w:val="Plain Text"/>
    <w:basedOn w:val="1"/>
    <w:next w:val="1"/>
    <w:link w:val="301"/>
    <w:qFormat/>
    <w:uiPriority w:val="0"/>
    <w:rPr>
      <w:rFonts w:ascii="宋体" w:hAnsi="Courier New"/>
      <w:kern w:val="0"/>
      <w:szCs w:val="20"/>
    </w:rPr>
  </w:style>
  <w:style w:type="paragraph" w:styleId="42">
    <w:name w:val="List Bullet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3">
    <w:name w:val="List Number 4"/>
    <w:basedOn w:val="1"/>
    <w:semiHidden/>
    <w:qFormat/>
    <w:uiPriority w:val="99"/>
    <w:pPr>
      <w:numPr>
        <w:ilvl w:val="0"/>
        <w:numId w:val="1"/>
      </w:numPr>
      <w:tabs>
        <w:tab w:val="left" w:pos="360"/>
      </w:tabs>
      <w:spacing w:after="200" w:line="276" w:lineRule="auto"/>
      <w:jc w:val="left"/>
    </w:pPr>
    <w:rPr>
      <w:rFonts w:ascii="Calibri" w:hAnsi="Calibri"/>
      <w:kern w:val="0"/>
      <w:sz w:val="22"/>
      <w:szCs w:val="22"/>
      <w:lang w:eastAsia="en-US"/>
    </w:rPr>
  </w:style>
  <w:style w:type="paragraph" w:styleId="44">
    <w:name w:val="toc 8"/>
    <w:basedOn w:val="1"/>
    <w:next w:val="1"/>
    <w:semiHidden/>
    <w:qFormat/>
    <w:uiPriority w:val="99"/>
    <w:pPr>
      <w:ind w:left="1470"/>
      <w:jc w:val="left"/>
    </w:pPr>
    <w:rPr>
      <w:sz w:val="18"/>
      <w:szCs w:val="18"/>
    </w:rPr>
  </w:style>
  <w:style w:type="paragraph" w:styleId="45">
    <w:name w:val="Date"/>
    <w:basedOn w:val="1"/>
    <w:next w:val="1"/>
    <w:link w:val="284"/>
    <w:qFormat/>
    <w:uiPriority w:val="99"/>
    <w:pPr>
      <w:ind w:left="100" w:leftChars="2500"/>
    </w:pPr>
    <w:rPr>
      <w:kern w:val="0"/>
      <w:sz w:val="24"/>
      <w:szCs w:val="20"/>
    </w:rPr>
  </w:style>
  <w:style w:type="paragraph" w:styleId="46">
    <w:name w:val="Body Text Indent 2"/>
    <w:basedOn w:val="1"/>
    <w:link w:val="294"/>
    <w:qFormat/>
    <w:uiPriority w:val="99"/>
    <w:pPr>
      <w:spacing w:line="500" w:lineRule="exact"/>
      <w:ind w:firstLine="442" w:firstLineChars="200"/>
    </w:pPr>
    <w:rPr>
      <w:kern w:val="0"/>
      <w:sz w:val="24"/>
      <w:szCs w:val="20"/>
    </w:rPr>
  </w:style>
  <w:style w:type="paragraph" w:styleId="47">
    <w:name w:val="List Continue 5"/>
    <w:basedOn w:val="1"/>
    <w:semiHidden/>
    <w:qFormat/>
    <w:uiPriority w:val="99"/>
    <w:pPr>
      <w:spacing w:after="120" w:line="276" w:lineRule="auto"/>
      <w:ind w:left="2100" w:leftChars="1000"/>
      <w:jc w:val="left"/>
    </w:pPr>
    <w:rPr>
      <w:rFonts w:ascii="Calibri" w:hAnsi="Calibri"/>
      <w:kern w:val="0"/>
      <w:sz w:val="22"/>
      <w:szCs w:val="22"/>
      <w:lang w:eastAsia="en-US"/>
    </w:rPr>
  </w:style>
  <w:style w:type="paragraph" w:styleId="48">
    <w:name w:val="Balloon Text"/>
    <w:basedOn w:val="1"/>
    <w:link w:val="277"/>
    <w:qFormat/>
    <w:uiPriority w:val="99"/>
    <w:rPr>
      <w:kern w:val="0"/>
      <w:sz w:val="2"/>
      <w:szCs w:val="20"/>
    </w:rPr>
  </w:style>
  <w:style w:type="paragraph" w:styleId="49">
    <w:name w:val="footer"/>
    <w:basedOn w:val="1"/>
    <w:link w:val="293"/>
    <w:qFormat/>
    <w:uiPriority w:val="99"/>
    <w:pPr>
      <w:pBdr>
        <w:top w:val="single" w:color="auto" w:sz="4" w:space="1"/>
        <w:left w:val="none" w:color="auto" w:sz="0" w:space="4"/>
        <w:bottom w:val="none" w:color="auto" w:sz="0" w:space="1"/>
        <w:right w:val="none" w:color="auto" w:sz="0" w:space="4"/>
      </w:pBdr>
      <w:tabs>
        <w:tab w:val="center" w:pos="4153"/>
        <w:tab w:val="right" w:pos="8306"/>
      </w:tabs>
      <w:snapToGrid w:val="0"/>
      <w:jc w:val="left"/>
    </w:pPr>
    <w:rPr>
      <w:rFonts w:ascii="Calibri" w:hAnsi="Calibri" w:eastAsia="宋体"/>
      <w:kern w:val="0"/>
      <w:sz w:val="18"/>
      <w:szCs w:val="20"/>
    </w:rPr>
  </w:style>
  <w:style w:type="paragraph" w:styleId="50">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261"/>
    <w:qFormat/>
    <w:uiPriority w:val="99"/>
    <w:pPr>
      <w:pBdr>
        <w:bottom w:val="single" w:color="auto" w:sz="6" w:space="1"/>
      </w:pBdr>
      <w:tabs>
        <w:tab w:val="center" w:pos="4153"/>
        <w:tab w:val="right" w:pos="8306"/>
      </w:tabs>
      <w:snapToGrid w:val="0"/>
      <w:jc w:val="center"/>
    </w:pPr>
    <w:rPr>
      <w:kern w:val="0"/>
      <w:sz w:val="18"/>
      <w:szCs w:val="20"/>
    </w:rPr>
  </w:style>
  <w:style w:type="paragraph" w:styleId="52">
    <w:name w:val="Signature"/>
    <w:basedOn w:val="1"/>
    <w:link w:val="290"/>
    <w:qFormat/>
    <w:uiPriority w:val="99"/>
    <w:pPr>
      <w:ind w:left="100" w:leftChars="2100"/>
    </w:pPr>
    <w:rPr>
      <w:kern w:val="0"/>
      <w:sz w:val="24"/>
      <w:szCs w:val="20"/>
    </w:rPr>
  </w:style>
  <w:style w:type="paragraph" w:styleId="53">
    <w:name w:val="toc 1"/>
    <w:basedOn w:val="1"/>
    <w:next w:val="1"/>
    <w:qFormat/>
    <w:uiPriority w:val="39"/>
    <w:pPr>
      <w:spacing w:before="120" w:after="120"/>
      <w:jc w:val="left"/>
    </w:pPr>
    <w:rPr>
      <w:b/>
      <w:bCs/>
      <w:caps/>
      <w:sz w:val="20"/>
      <w:szCs w:val="20"/>
    </w:rPr>
  </w:style>
  <w:style w:type="paragraph" w:styleId="54">
    <w:name w:val="List Continue 4"/>
    <w:basedOn w:val="1"/>
    <w:qFormat/>
    <w:uiPriority w:val="99"/>
    <w:pPr>
      <w:spacing w:after="120"/>
      <w:ind w:left="1680" w:leftChars="800"/>
    </w:pPr>
  </w:style>
  <w:style w:type="paragraph" w:styleId="55">
    <w:name w:val="toc 4"/>
    <w:basedOn w:val="1"/>
    <w:next w:val="1"/>
    <w:semiHidden/>
    <w:qFormat/>
    <w:uiPriority w:val="99"/>
    <w:pPr>
      <w:ind w:left="630"/>
      <w:jc w:val="left"/>
    </w:pPr>
    <w:rPr>
      <w:sz w:val="18"/>
      <w:szCs w:val="18"/>
    </w:rPr>
  </w:style>
  <w:style w:type="paragraph" w:styleId="56">
    <w:name w:val="Subtitle"/>
    <w:basedOn w:val="1"/>
    <w:link w:val="278"/>
    <w:qFormat/>
    <w:uiPriority w:val="99"/>
    <w:pPr>
      <w:spacing w:before="240" w:after="60" w:line="312" w:lineRule="auto"/>
      <w:jc w:val="center"/>
      <w:outlineLvl w:val="1"/>
    </w:pPr>
    <w:rPr>
      <w:rFonts w:ascii="Cambria" w:hAnsi="Cambria"/>
      <w:b/>
      <w:kern w:val="28"/>
      <w:sz w:val="32"/>
      <w:szCs w:val="20"/>
    </w:rPr>
  </w:style>
  <w:style w:type="paragraph" w:styleId="57">
    <w:name w:val="List Number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qFormat/>
    <w:uiPriority w:val="99"/>
    <w:pPr>
      <w:ind w:left="200" w:hanging="200" w:hangingChars="200"/>
    </w:pPr>
  </w:style>
  <w:style w:type="paragraph" w:styleId="59">
    <w:name w:val="toc 6"/>
    <w:basedOn w:val="1"/>
    <w:next w:val="1"/>
    <w:qFormat/>
    <w:uiPriority w:val="0"/>
    <w:pPr>
      <w:ind w:left="1000" w:leftChars="1000"/>
    </w:pPr>
  </w:style>
  <w:style w:type="paragraph" w:styleId="60">
    <w:name w:val="List 5"/>
    <w:basedOn w:val="1"/>
    <w:qFormat/>
    <w:uiPriority w:val="99"/>
    <w:pPr>
      <w:ind w:left="100" w:leftChars="800" w:hanging="200" w:hangingChars="200"/>
    </w:pPr>
  </w:style>
  <w:style w:type="paragraph" w:styleId="61">
    <w:name w:val="Body Text Indent 3"/>
    <w:basedOn w:val="1"/>
    <w:link w:val="244"/>
    <w:qFormat/>
    <w:uiPriority w:val="99"/>
    <w:pPr>
      <w:tabs>
        <w:tab w:val="left" w:pos="1134"/>
        <w:tab w:val="left" w:pos="5481"/>
        <w:tab w:val="left" w:pos="5859"/>
      </w:tabs>
      <w:spacing w:line="500" w:lineRule="exact"/>
      <w:ind w:firstLine="8275" w:firstLineChars="1200"/>
    </w:pPr>
    <w:rPr>
      <w:kern w:val="0"/>
      <w:sz w:val="16"/>
      <w:szCs w:val="20"/>
    </w:rPr>
  </w:style>
  <w:style w:type="paragraph" w:styleId="62">
    <w:name w:val="toc 2"/>
    <w:basedOn w:val="1"/>
    <w:next w:val="1"/>
    <w:qFormat/>
    <w:uiPriority w:val="39"/>
    <w:pPr>
      <w:tabs>
        <w:tab w:val="right" w:leader="dot" w:pos="8597"/>
      </w:tabs>
      <w:spacing w:line="360" w:lineRule="auto"/>
      <w:ind w:left="210"/>
      <w:jc w:val="left"/>
    </w:pPr>
    <w:rPr>
      <w:smallCaps/>
      <w:sz w:val="20"/>
      <w:szCs w:val="20"/>
    </w:rPr>
  </w:style>
  <w:style w:type="paragraph" w:styleId="63">
    <w:name w:val="toc 9"/>
    <w:basedOn w:val="1"/>
    <w:next w:val="1"/>
    <w:semiHidden/>
    <w:qFormat/>
    <w:uiPriority w:val="99"/>
    <w:pPr>
      <w:ind w:left="1680"/>
      <w:jc w:val="left"/>
    </w:pPr>
    <w:rPr>
      <w:sz w:val="18"/>
      <w:szCs w:val="18"/>
    </w:rPr>
  </w:style>
  <w:style w:type="paragraph" w:styleId="64">
    <w:name w:val="Body Text 2"/>
    <w:basedOn w:val="1"/>
    <w:link w:val="241"/>
    <w:qFormat/>
    <w:uiPriority w:val="99"/>
    <w:rPr>
      <w:kern w:val="0"/>
      <w:sz w:val="24"/>
      <w:szCs w:val="2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272"/>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68">
    <w:name w:val="HTML Preformatted"/>
    <w:basedOn w:val="1"/>
    <w:link w:val="237"/>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0">
    <w:name w:val="List Continue 3"/>
    <w:basedOn w:val="1"/>
    <w:qFormat/>
    <w:uiPriority w:val="99"/>
    <w:pPr>
      <w:spacing w:after="120"/>
      <w:ind w:left="1260" w:leftChars="600"/>
    </w:pPr>
  </w:style>
  <w:style w:type="paragraph" w:styleId="71">
    <w:name w:val="index 1"/>
    <w:basedOn w:val="1"/>
    <w:next w:val="1"/>
    <w:qFormat/>
    <w:locked/>
    <w:uiPriority w:val="0"/>
    <w:pPr>
      <w:widowControl w:val="0"/>
      <w:spacing w:line="360" w:lineRule="auto"/>
    </w:pPr>
    <w:rPr>
      <w:rFonts w:ascii="仿宋_GB2312" w:eastAsia="仿宋_GB2312"/>
      <w:szCs w:val="21"/>
    </w:rPr>
  </w:style>
  <w:style w:type="paragraph" w:styleId="72">
    <w:name w:val="Title"/>
    <w:basedOn w:val="1"/>
    <w:next w:val="41"/>
    <w:link w:val="235"/>
    <w:qFormat/>
    <w:uiPriority w:val="99"/>
    <w:pPr>
      <w:spacing w:before="240" w:after="60" w:line="276" w:lineRule="auto"/>
      <w:jc w:val="center"/>
      <w:outlineLvl w:val="0"/>
    </w:pPr>
    <w:rPr>
      <w:rFonts w:ascii="Cambria" w:hAnsi="Cambria"/>
      <w:b/>
      <w:kern w:val="0"/>
      <w:sz w:val="32"/>
      <w:szCs w:val="20"/>
    </w:rPr>
  </w:style>
  <w:style w:type="paragraph" w:styleId="73">
    <w:name w:val="annotation subject"/>
    <w:basedOn w:val="25"/>
    <w:next w:val="25"/>
    <w:link w:val="287"/>
    <w:semiHidden/>
    <w:qFormat/>
    <w:uiPriority w:val="99"/>
    <w:pPr>
      <w:spacing w:after="0" w:line="240" w:lineRule="auto"/>
    </w:pPr>
    <w:rPr>
      <w:rFonts w:ascii="Calibri" w:hAnsi="Calibri"/>
      <w:b/>
      <w:lang w:val="en-US" w:eastAsia="en-US"/>
    </w:rPr>
  </w:style>
  <w:style w:type="paragraph" w:styleId="74">
    <w:name w:val="Body Text First Indent"/>
    <w:basedOn w:val="30"/>
    <w:next w:val="1"/>
    <w:link w:val="296"/>
    <w:qFormat/>
    <w:uiPriority w:val="99"/>
    <w:pPr>
      <w:spacing w:line="400" w:lineRule="exact"/>
      <w:ind w:firstLine="200" w:firstLineChars="200"/>
    </w:pPr>
  </w:style>
  <w:style w:type="paragraph" w:styleId="75">
    <w:name w:val="Body Text First Indent 2"/>
    <w:basedOn w:val="31"/>
    <w:next w:val="74"/>
    <w:link w:val="250"/>
    <w:semiHidden/>
    <w:qFormat/>
    <w:uiPriority w:val="99"/>
    <w:pPr>
      <w:spacing w:after="120" w:line="276" w:lineRule="auto"/>
      <w:ind w:left="420" w:leftChars="200" w:firstLine="420" w:firstLineChars="200"/>
      <w:jc w:val="left"/>
    </w:pPr>
    <w:rPr>
      <w:szCs w:val="24"/>
    </w:rPr>
  </w:style>
  <w:style w:type="table" w:styleId="77">
    <w:name w:val="Table Grid"/>
    <w:basedOn w:val="76"/>
    <w:qFormat/>
    <w:uiPriority w:val="0"/>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99"/>
    <w:pPr>
      <w:widowControl w:val="0"/>
      <w:spacing w:after="200" w:line="276" w:lineRule="auto"/>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rPr>
    <w:tblPr>
      <w:tblBorders>
        <w:bottom w:val="single" w:color="000000" w:sz="12" w:space="0"/>
      </w:tblBorders>
    </w:tblPr>
    <w:tcPr>
      <w:shd w:val="pct20" w:color="FFFF00" w:fill="FFFFFF"/>
    </w:tcPr>
    <w:tblStylePr w:type="firstRow">
      <w:rPr>
        <w:rFonts w:cs="Times New Roman"/>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rPr>
    <w:tblPr>
      <w:tblBorders>
        <w:top w:val="single" w:color="008000" w:sz="12" w:space="0"/>
        <w:bottom w:val="single" w:color="008000" w:sz="12" w:space="0"/>
      </w:tblBorders>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ascii="Calibri" w:hAnsi="Calibri"/>
    </w:rP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ascii="Calibri" w:hAnsi="Calibri"/>
    </w:rPr>
    <w:tblPr>
      <w:tblStyleRowBandSize w:val="1"/>
    </w:tblPr>
    <w:tblStylePr w:type="firstRow">
      <w:rPr>
        <w:rFonts w:cs="Times New Roman"/>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single" w:color="000000" w:sz="12" w:space="0"/>
          <w:bottom w:val="nil"/>
          <w:right w:val="nil"/>
          <w:insideH w:val="nil"/>
          <w:insideV w:val="nil"/>
          <w:tl2br w:val="nil"/>
          <w:tr2bl w:val="nil"/>
        </w:tcBorders>
      </w:tcPr>
    </w:tblStylePr>
    <w:tblStylePr w:type="band1Horz">
      <w:rPr>
        <w:rFonts w:cs="Times New Roman"/>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rPr>
    <w:tblPr>
      <w:tblBorders>
        <w:left w:val="single" w:color="000000" w:sz="6" w:space="0"/>
        <w:right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rPr>
    <w:tblPr/>
    <w:tcPr>
      <w:shd w:val="solid" w:color="C0C0C0" w:fill="FFFFFF"/>
    </w:tcPr>
    <w:tblStylePr w:type="firstRow">
      <w:rPr>
        <w:rFonts w:cs="Times New Roman"/>
        <w:b/>
        <w:bCs/>
        <w:color w:val="800080"/>
      </w:rPr>
      <w:tblPr/>
      <w:tcPr>
        <w:tcBorders>
          <w:top w:val="nil"/>
          <w:left w:val="nil"/>
          <w:bottom w:val="single" w:color="808080" w:sz="6" w:space="0"/>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single" w:color="FFFFFF" w:sz="6" w:space="0"/>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rPr>
    <w:tblPr>
      <w:tblStyleRowBandSize w:val="1"/>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rPr>
    <w:tblPr>
      <w:tblStyleRowBandSize w:val="1"/>
      <w:tblStyleColBandSize w:val="1"/>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rPr>
    <w:tblPr>
      <w:tblBorders>
        <w:bottom w:val="single" w:color="808080" w:sz="12" w:space="0"/>
      </w:tblBorders>
    </w:tblPr>
    <w:tblStylePr w:type="firstRow">
      <w:rPr>
        <w:rFonts w:cs="Times New Roman"/>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rPr>
    <w:tblPr>
      <w:tblBorders>
        <w:insideH w:val="single" w:color="FFFFFF" w:sz="18" w:space="0"/>
        <w:insideV w:val="single" w:color="FFFFFF" w:sz="18"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b/>
      <w:bCs/>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top w:val="nil"/>
          <w:left w:val="nil"/>
          <w:bottom w:val="single" w:color="808080" w:sz="6" w:space="0"/>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9">
    <w:name w:val="Table Grid 1"/>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rPr>
    <w:tblPr>
      <w:tblBorders>
        <w:insideH w:val="single" w:color="000000" w:sz="6" w:space="0"/>
        <w:insideV w:val="single" w:color="000000" w:sz="6" w:space="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22">
    <w:name w:val="_Style 44"/>
    <w:basedOn w:val="23"/>
    <w:link w:val="121"/>
    <w:qFormat/>
    <w:uiPriority w:val="0"/>
  </w:style>
  <w:style w:type="character" w:styleId="123">
    <w:name w:val="Strong"/>
    <w:qFormat/>
    <w:uiPriority w:val="99"/>
    <w:rPr>
      <w:rFonts w:cs="Times New Roman"/>
      <w:b/>
    </w:rPr>
  </w:style>
  <w:style w:type="character" w:styleId="124">
    <w:name w:val="page number"/>
    <w:qFormat/>
    <w:uiPriority w:val="0"/>
    <w:rPr>
      <w:rFonts w:cs="Times New Roman"/>
    </w:rPr>
  </w:style>
  <w:style w:type="character" w:styleId="125">
    <w:name w:val="FollowedHyperlink"/>
    <w:unhideWhenUsed/>
    <w:qFormat/>
    <w:locked/>
    <w:uiPriority w:val="99"/>
    <w:rPr>
      <w:color w:val="000000"/>
      <w:u w:val="none"/>
    </w:rPr>
  </w:style>
  <w:style w:type="character" w:styleId="126">
    <w:name w:val="Emphasis"/>
    <w:qFormat/>
    <w:uiPriority w:val="99"/>
    <w:rPr>
      <w:rFonts w:cs="Times New Roman"/>
      <w:color w:val="CC0000"/>
    </w:rPr>
  </w:style>
  <w:style w:type="character" w:styleId="127">
    <w:name w:val="line number"/>
    <w:qFormat/>
    <w:uiPriority w:val="99"/>
    <w:rPr>
      <w:rFonts w:cs="Times New Roman"/>
    </w:rPr>
  </w:style>
  <w:style w:type="character" w:styleId="128">
    <w:name w:val="HTML Definition"/>
    <w:semiHidden/>
    <w:qFormat/>
    <w:uiPriority w:val="99"/>
    <w:rPr>
      <w:rFonts w:cs="Times New Roman"/>
      <w:i/>
    </w:rPr>
  </w:style>
  <w:style w:type="character" w:styleId="129">
    <w:name w:val="HTML Typewriter"/>
    <w:semiHidden/>
    <w:qFormat/>
    <w:uiPriority w:val="99"/>
    <w:rPr>
      <w:rFonts w:ascii="Courier New" w:hAnsi="Courier New" w:cs="Times New Roman"/>
      <w:sz w:val="20"/>
    </w:rPr>
  </w:style>
  <w:style w:type="character" w:styleId="130">
    <w:name w:val="HTML Acronym"/>
    <w:semiHidden/>
    <w:qFormat/>
    <w:uiPriority w:val="99"/>
    <w:rPr>
      <w:rFonts w:cs="Times New Roman"/>
    </w:rPr>
  </w:style>
  <w:style w:type="character" w:styleId="131">
    <w:name w:val="HTML Variable"/>
    <w:semiHidden/>
    <w:qFormat/>
    <w:uiPriority w:val="99"/>
    <w:rPr>
      <w:rFonts w:cs="Times New Roman"/>
      <w:i/>
    </w:rPr>
  </w:style>
  <w:style w:type="character" w:styleId="132">
    <w:name w:val="Hyperlink"/>
    <w:basedOn w:val="121"/>
    <w:qFormat/>
    <w:uiPriority w:val="99"/>
    <w:rPr>
      <w:rFonts w:cs="Times New Roman"/>
      <w:color w:val="1F4F88"/>
      <w:u w:val="none"/>
    </w:rPr>
  </w:style>
  <w:style w:type="character" w:styleId="133">
    <w:name w:val="HTML Code"/>
    <w:semiHidden/>
    <w:qFormat/>
    <w:uiPriority w:val="99"/>
    <w:rPr>
      <w:rFonts w:ascii="Courier New" w:hAnsi="Courier New" w:cs="Times New Roman"/>
      <w:sz w:val="20"/>
    </w:rPr>
  </w:style>
  <w:style w:type="character" w:styleId="134">
    <w:name w:val="annotation reference"/>
    <w:qFormat/>
    <w:uiPriority w:val="99"/>
    <w:rPr>
      <w:rFonts w:cs="Times New Roman"/>
      <w:sz w:val="21"/>
    </w:rPr>
  </w:style>
  <w:style w:type="character" w:styleId="135">
    <w:name w:val="HTML Cite"/>
    <w:semiHidden/>
    <w:qFormat/>
    <w:uiPriority w:val="99"/>
    <w:rPr>
      <w:rFonts w:cs="Times New Roman"/>
      <w:i/>
    </w:rPr>
  </w:style>
  <w:style w:type="character" w:styleId="136">
    <w:name w:val="HTML Keyboard"/>
    <w:semiHidden/>
    <w:qFormat/>
    <w:uiPriority w:val="99"/>
    <w:rPr>
      <w:rFonts w:ascii="Courier New" w:hAnsi="Courier New" w:cs="Times New Roman"/>
      <w:sz w:val="20"/>
    </w:rPr>
  </w:style>
  <w:style w:type="character" w:styleId="137">
    <w:name w:val="HTML Sample"/>
    <w:semiHidden/>
    <w:qFormat/>
    <w:uiPriority w:val="99"/>
    <w:rPr>
      <w:rFonts w:ascii="Courier New" w:hAnsi="Courier New" w:cs="Times New Roman"/>
    </w:rPr>
  </w:style>
  <w:style w:type="paragraph" w:customStyle="1" w:styleId="138">
    <w:name w:val="正文格式"/>
    <w:basedOn w:val="1"/>
    <w:qFormat/>
    <w:uiPriority w:val="0"/>
    <w:pPr>
      <w:widowControl/>
      <w:adjustRightInd w:val="0"/>
      <w:spacing w:line="400" w:lineRule="atLeast"/>
      <w:ind w:firstLine="482"/>
      <w:textAlignment w:val="baseline"/>
    </w:pPr>
    <w:rPr>
      <w:kern w:val="0"/>
      <w:sz w:val="24"/>
    </w:rPr>
  </w:style>
  <w:style w:type="paragraph" w:customStyle="1" w:styleId="139">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140">
    <w:name w:val="toc 61"/>
    <w:next w:val="1"/>
    <w:qFormat/>
    <w:uiPriority w:val="0"/>
    <w:pPr>
      <w:widowControl/>
      <w:wordWrap w:val="0"/>
      <w:autoSpaceDE/>
      <w:autoSpaceDN/>
      <w:spacing w:before="0" w:after="0" w:line="240" w:lineRule="auto"/>
      <w:ind w:left="2125" w:firstLine="0"/>
      <w:jc w:val="both"/>
    </w:pPr>
    <w:rPr>
      <w:rFonts w:ascii="Calibri" w:hAnsi="Calibri" w:eastAsia="宋体" w:cs="Times New Roman"/>
      <w:sz w:val="21"/>
    </w:rPr>
  </w:style>
  <w:style w:type="paragraph" w:customStyle="1" w:styleId="141">
    <w:name w:val="表题"/>
    <w:basedOn w:val="41"/>
    <w:qFormat/>
    <w:uiPriority w:val="99"/>
    <w:pPr>
      <w:adjustRightInd w:val="0"/>
      <w:spacing w:line="480" w:lineRule="auto"/>
      <w:jc w:val="center"/>
    </w:pPr>
    <w:rPr>
      <w:rFonts w:ascii="Times New Roman" w:hAnsi="Times New Roman" w:eastAsia="黑体"/>
      <w:sz w:val="18"/>
    </w:rPr>
  </w:style>
  <w:style w:type="paragraph" w:customStyle="1" w:styleId="142">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43">
    <w:name w:val="示例"/>
    <w:qFormat/>
    <w:uiPriority w:val="99"/>
    <w:pPr>
      <w:jc w:val="both"/>
    </w:pPr>
    <w:rPr>
      <w:rFonts w:ascii="宋体" w:hAnsi="Times New Roman" w:eastAsia="宋体" w:cs="Times New Roman"/>
      <w:sz w:val="18"/>
      <w:lang w:val="en-US" w:eastAsia="zh-CN" w:bidi="ar-SA"/>
    </w:rPr>
  </w:style>
  <w:style w:type="paragraph" w:customStyle="1" w:styleId="144">
    <w:name w:val="111111"/>
    <w:basedOn w:val="72"/>
    <w:qFormat/>
    <w:uiPriority w:val="99"/>
    <w:pPr>
      <w:jc w:val="both"/>
    </w:pPr>
  </w:style>
  <w:style w:type="paragraph" w:customStyle="1" w:styleId="145">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6">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47">
    <w:name w:val="Char"/>
    <w:basedOn w:val="1"/>
    <w:qFormat/>
    <w:uiPriority w:val="99"/>
    <w:pPr>
      <w:tabs>
        <w:tab w:val="left" w:pos="708"/>
      </w:tabs>
      <w:ind w:firstLine="420"/>
    </w:pPr>
    <w:rPr>
      <w:rFonts w:ascii="仿宋_GB2312" w:eastAsia="仿宋_GB2312"/>
      <w:sz w:val="24"/>
    </w:rPr>
  </w:style>
  <w:style w:type="paragraph" w:customStyle="1" w:styleId="148">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1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15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51">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52">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3">
    <w:name w:val="样式4"/>
    <w:basedOn w:val="154"/>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154">
    <w:name w:val="样式2"/>
    <w:basedOn w:val="6"/>
    <w:qFormat/>
    <w:uiPriority w:val="99"/>
    <w:pPr>
      <w:autoSpaceDE w:val="0"/>
      <w:autoSpaceDN w:val="0"/>
      <w:adjustRightInd w:val="0"/>
      <w:spacing w:before="240" w:after="240" w:line="500" w:lineRule="exact"/>
      <w:ind w:firstLine="204" w:firstLineChars="204"/>
      <w:jc w:val="left"/>
    </w:pPr>
    <w:rPr>
      <w:rFonts w:ascii="宋体" w:hAnsi="宋体"/>
      <w:sz w:val="24"/>
    </w:rPr>
  </w:style>
  <w:style w:type="paragraph" w:customStyle="1" w:styleId="15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56">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7">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58">
    <w:name w:val="PP 行"/>
    <w:basedOn w:val="52"/>
    <w:qFormat/>
    <w:uiPriority w:val="99"/>
  </w:style>
  <w:style w:type="paragraph" w:customStyle="1" w:styleId="15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160">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161">
    <w:name w:val="默认段落字体 Para Char Char Char Char Char Char Char Char Char Char Char Char Char Char Char1 Char Char Char Char"/>
    <w:basedOn w:val="23"/>
    <w:qFormat/>
    <w:uiPriority w:val="99"/>
    <w:pPr>
      <w:adjustRightInd w:val="0"/>
      <w:spacing w:line="436" w:lineRule="exact"/>
      <w:ind w:left="357"/>
      <w:jc w:val="left"/>
      <w:outlineLvl w:val="3"/>
    </w:pPr>
    <w:rPr>
      <w:rFonts w:ascii="仿宋_GB2312" w:eastAsia="仿宋_GB2312"/>
      <w:sz w:val="24"/>
    </w:rPr>
  </w:style>
  <w:style w:type="paragraph" w:customStyle="1" w:styleId="162">
    <w:name w:val="表格标注（绿盟科技）"/>
    <w:basedOn w:val="163"/>
    <w:next w:val="1"/>
    <w:semiHidden/>
    <w:qFormat/>
    <w:uiPriority w:val="99"/>
    <w:pPr>
      <w:numPr>
        <w:ilvl w:val="4"/>
      </w:numPr>
      <w:tabs>
        <w:tab w:val="left" w:pos="780"/>
        <w:tab w:val="left" w:pos="1620"/>
        <w:tab w:val="left" w:pos="1680"/>
        <w:tab w:val="left" w:pos="3460"/>
      </w:tabs>
      <w:ind w:left="1620" w:hanging="360"/>
    </w:pPr>
  </w:style>
  <w:style w:type="paragraph" w:customStyle="1" w:styleId="163">
    <w:name w:val="插图标注（绿盟科技）"/>
    <w:next w:val="1"/>
    <w:semiHidden/>
    <w:qFormat/>
    <w:uiPriority w:val="99"/>
    <w:pPr>
      <w:numPr>
        <w:ilvl w:val="3"/>
        <w:numId w:val="1"/>
      </w:numPr>
      <w:tabs>
        <w:tab w:val="left" w:pos="1680"/>
        <w:tab w:val="clear" w:pos="3460"/>
      </w:tabs>
      <w:spacing w:after="156"/>
      <w:ind w:left="426" w:firstLine="0"/>
      <w:jc w:val="center"/>
    </w:pPr>
    <w:rPr>
      <w:rFonts w:ascii="Arial" w:hAnsi="Arial" w:eastAsia="宋体" w:cs="Arial"/>
      <w:sz w:val="21"/>
      <w:szCs w:val="21"/>
      <w:lang w:val="en-US" w:eastAsia="zh-CN" w:bidi="ar-SA"/>
    </w:rPr>
  </w:style>
  <w:style w:type="paragraph" w:customStyle="1" w:styleId="164">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1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6">
    <w:name w:val="列出段落11"/>
    <w:basedOn w:val="1"/>
    <w:semiHidden/>
    <w:qFormat/>
    <w:uiPriority w:val="99"/>
    <w:pPr>
      <w:ind w:firstLine="420" w:firstLineChars="200"/>
    </w:pPr>
    <w:rPr>
      <w:szCs w:val="20"/>
    </w:rPr>
  </w:style>
  <w:style w:type="paragraph" w:customStyle="1" w:styleId="167">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6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9">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170">
    <w:name w:val="明显引用1"/>
    <w:basedOn w:val="1"/>
    <w:next w:val="1"/>
    <w:link w:val="242"/>
    <w:qFormat/>
    <w:uiPriority w:val="99"/>
    <w:pPr>
      <w:widowControl/>
      <w:ind w:left="720" w:right="720"/>
      <w:jc w:val="left"/>
    </w:pPr>
    <w:rPr>
      <w:b/>
      <w:i/>
      <w:kern w:val="0"/>
      <w:sz w:val="24"/>
      <w:szCs w:val="20"/>
    </w:rPr>
  </w:style>
  <w:style w:type="paragraph" w:customStyle="1" w:styleId="171">
    <w:name w:val="图表文字"/>
    <w:qFormat/>
    <w:uiPriority w:val="99"/>
    <w:rPr>
      <w:rFonts w:ascii="Times New Roman" w:hAnsi="Times New Roman" w:eastAsia="宋体" w:cs="Times New Roman"/>
      <w:sz w:val="21"/>
      <w:szCs w:val="21"/>
      <w:lang w:val="en-US" w:eastAsia="zh-CN" w:bidi="ar-SA"/>
    </w:rPr>
  </w:style>
  <w:style w:type="paragraph" w:customStyle="1" w:styleId="172">
    <w:name w:val="style0"/>
    <w:basedOn w:val="1"/>
    <w:qFormat/>
    <w:uiPriority w:val="99"/>
    <w:pPr>
      <w:widowControl/>
      <w:spacing w:before="100" w:beforeAutospacing="1" w:after="100" w:afterAutospacing="1"/>
      <w:jc w:val="left"/>
    </w:pPr>
    <w:rPr>
      <w:rFonts w:ascii="宋体" w:hAnsi="宋体"/>
      <w:kern w:val="0"/>
      <w:sz w:val="24"/>
    </w:rPr>
  </w:style>
  <w:style w:type="paragraph" w:customStyle="1" w:styleId="173">
    <w:name w:val="样式1"/>
    <w:basedOn w:val="5"/>
    <w:qFormat/>
    <w:uiPriority w:val="99"/>
    <w:pPr>
      <w:autoSpaceDE w:val="0"/>
      <w:autoSpaceDN w:val="0"/>
      <w:adjustRightInd w:val="0"/>
      <w:spacing w:line="500" w:lineRule="exact"/>
      <w:ind w:firstLine="490" w:firstLineChars="204"/>
      <w:jc w:val="left"/>
    </w:pPr>
    <w:rPr>
      <w:rFonts w:ascii="宋体" w:hAnsi="宋体"/>
      <w:sz w:val="24"/>
    </w:rPr>
  </w:style>
  <w:style w:type="paragraph" w:customStyle="1" w:styleId="174">
    <w:name w:val="段"/>
    <w:link w:val="273"/>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7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78">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7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0">
    <w:name w:val="正文居中"/>
    <w:basedOn w:val="1"/>
    <w:next w:val="74"/>
    <w:qFormat/>
    <w:uiPriority w:val="99"/>
    <w:pPr>
      <w:jc w:val="center"/>
    </w:pPr>
    <w:rPr>
      <w:sz w:val="24"/>
      <w:szCs w:val="20"/>
    </w:rPr>
  </w:style>
  <w:style w:type="paragraph" w:customStyle="1" w:styleId="181">
    <w:name w:val="标题 4（绿盟科技）"/>
    <w:basedOn w:val="5"/>
    <w:next w:val="1"/>
    <w:semiHidden/>
    <w:qFormat/>
    <w:uiPriority w:val="99"/>
    <w:pPr>
      <w:widowControl/>
      <w:tabs>
        <w:tab w:val="left" w:pos="360"/>
      </w:tabs>
      <w:ind w:left="1447" w:hanging="1021"/>
      <w:jc w:val="left"/>
    </w:pPr>
  </w:style>
  <w:style w:type="paragraph" w:customStyle="1" w:styleId="182">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3">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184">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185">
    <w:name w:val="p0"/>
    <w:basedOn w:val="1"/>
    <w:semiHidden/>
    <w:qFormat/>
    <w:uiPriority w:val="99"/>
    <w:pPr>
      <w:widowControl/>
      <w:spacing w:after="200" w:line="273" w:lineRule="auto"/>
      <w:jc w:val="left"/>
    </w:pPr>
    <w:rPr>
      <w:rFonts w:ascii="Calibri" w:hAnsi="Calibri" w:cs="宋体"/>
      <w:kern w:val="0"/>
      <w:sz w:val="22"/>
      <w:szCs w:val="22"/>
    </w:rPr>
  </w:style>
  <w:style w:type="paragraph" w:customStyle="1" w:styleId="186">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87">
    <w:name w:val="标题 3（绿盟科技）"/>
    <w:basedOn w:val="4"/>
    <w:next w:val="1"/>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188">
    <w:name w:val="标题 1（绿盟科技）"/>
    <w:basedOn w:val="2"/>
    <w:next w:val="1"/>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189">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9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1">
    <w:name w:val="_Style 187"/>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192">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93">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94">
    <w:name w:val="Char Char Char Char"/>
    <w:basedOn w:val="1"/>
    <w:qFormat/>
    <w:uiPriority w:val="99"/>
    <w:rPr>
      <w:rFonts w:ascii="Tahoma" w:hAnsi="Tahoma"/>
      <w:sz w:val="24"/>
      <w:szCs w:val="20"/>
    </w:rPr>
  </w:style>
  <w:style w:type="paragraph" w:customStyle="1" w:styleId="195">
    <w:name w:val="简单回函地址"/>
    <w:basedOn w:val="1"/>
    <w:qFormat/>
    <w:uiPriority w:val="99"/>
  </w:style>
  <w:style w:type="paragraph" w:customStyle="1" w:styleId="19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7">
    <w:name w:val="正文2"/>
    <w:basedOn w:val="1"/>
    <w:semiHidden/>
    <w:qFormat/>
    <w:uiPriority w:val="99"/>
    <w:pPr>
      <w:spacing w:before="156" w:line="360" w:lineRule="auto"/>
      <w:ind w:firstLine="510" w:firstLineChars="200"/>
    </w:pPr>
    <w:rPr>
      <w:sz w:val="24"/>
      <w:szCs w:val="20"/>
    </w:rPr>
  </w:style>
  <w:style w:type="paragraph" w:customStyle="1" w:styleId="198">
    <w:name w:val="样式目录三"/>
    <w:basedOn w:val="40"/>
    <w:semiHidden/>
    <w:qFormat/>
    <w:uiPriority w:val="99"/>
    <w:pPr>
      <w:numPr>
        <w:ilvl w:val="5"/>
        <w:numId w:val="1"/>
      </w:numPr>
      <w:tabs>
        <w:tab w:val="left" w:pos="1320"/>
        <w:tab w:val="left" w:pos="2520"/>
        <w:tab w:val="right" w:leader="dot" w:pos="8597"/>
      </w:tabs>
      <w:spacing w:line="360" w:lineRule="auto"/>
      <w:ind w:left="0" w:firstLine="0"/>
      <w:outlineLvl w:val="2"/>
    </w:pPr>
    <w:rPr>
      <w:i w:val="0"/>
      <w:sz w:val="24"/>
    </w:rPr>
  </w:style>
  <w:style w:type="paragraph" w:customStyle="1" w:styleId="199">
    <w:name w:val="列出段落2"/>
    <w:basedOn w:val="1"/>
    <w:qFormat/>
    <w:uiPriority w:val="99"/>
    <w:pPr>
      <w:ind w:firstLine="420" w:firstLineChars="200"/>
    </w:pPr>
  </w:style>
  <w:style w:type="paragraph" w:customStyle="1" w:styleId="200">
    <w:name w:val="1"/>
    <w:basedOn w:val="1"/>
    <w:next w:val="30"/>
    <w:qFormat/>
    <w:uiPriority w:val="0"/>
    <w:pPr>
      <w:spacing w:after="120"/>
    </w:pPr>
    <w:rPr>
      <w:rFonts w:ascii="Times New Roman" w:hAnsi="Times New Roman" w:eastAsia="宋体" w:cs="Times New Roman"/>
      <w:szCs w:val="24"/>
    </w:rPr>
  </w:style>
  <w:style w:type="paragraph" w:customStyle="1" w:styleId="201">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2">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3">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05">
    <w:name w:val="t4_2"/>
    <w:basedOn w:val="1"/>
    <w:qFormat/>
    <w:uiPriority w:val="99"/>
    <w:pPr>
      <w:widowControl/>
      <w:tabs>
        <w:tab w:val="left" w:pos="360"/>
      </w:tabs>
      <w:spacing w:line="360" w:lineRule="auto"/>
      <w:ind w:left="420"/>
      <w:jc w:val="left"/>
    </w:pPr>
    <w:rPr>
      <w:b/>
    </w:rPr>
  </w:style>
  <w:style w:type="paragraph" w:customStyle="1" w:styleId="206">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09">
    <w:name w:val="标题 6（有编号）（绿盟科技）"/>
    <w:basedOn w:val="1"/>
    <w:next w:val="1"/>
    <w:semiHidden/>
    <w:qFormat/>
    <w:uiPriority w:val="99"/>
    <w:pPr>
      <w:keepNext/>
      <w:keepLines/>
      <w:numPr>
        <w:ilvl w:val="2"/>
        <w:numId w:val="1"/>
      </w:numPr>
      <w:tabs>
        <w:tab w:val="left" w:pos="1260"/>
      </w:tabs>
      <w:spacing w:line="319" w:lineRule="auto"/>
      <w:ind w:left="1673" w:hanging="1247"/>
      <w:jc w:val="left"/>
      <w:outlineLvl w:val="5"/>
    </w:pPr>
    <w:rPr>
      <w:rFonts w:ascii="Arial" w:hAnsi="Arial" w:eastAsia="黑体"/>
      <w:b/>
      <w:kern w:val="0"/>
    </w:rPr>
  </w:style>
  <w:style w:type="paragraph" w:customStyle="1" w:styleId="210">
    <w:name w:val="样式5"/>
    <w:basedOn w:val="1"/>
    <w:next w:val="40"/>
    <w:qFormat/>
    <w:uiPriority w:val="99"/>
    <w:pPr>
      <w:tabs>
        <w:tab w:val="left" w:pos="980"/>
      </w:tabs>
      <w:spacing w:line="360" w:lineRule="auto"/>
      <w:ind w:left="140" w:right="-20"/>
      <w:outlineLvl w:val="0"/>
    </w:pPr>
    <w:rPr>
      <w:b/>
      <w:bCs/>
      <w:kern w:val="0"/>
      <w:sz w:val="28"/>
      <w:szCs w:val="28"/>
    </w:rPr>
  </w:style>
  <w:style w:type="paragraph" w:customStyle="1" w:styleId="211">
    <w:name w:val="List Paragraph"/>
    <w:basedOn w:val="1"/>
    <w:next w:val="1"/>
    <w:qFormat/>
    <w:uiPriority w:val="99"/>
    <w:pPr>
      <w:ind w:firstLine="420" w:firstLineChars="200"/>
    </w:pPr>
  </w:style>
  <w:style w:type="paragraph" w:customStyle="1" w:styleId="212">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1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33"/>
    <w:basedOn w:val="172"/>
    <w:qFormat/>
    <w:uiPriority w:val="99"/>
    <w:pPr>
      <w:pBdr>
        <w:bottom w:val="single" w:color="auto" w:sz="4" w:space="0"/>
        <w:right w:val="single" w:color="auto" w:sz="4" w:space="0"/>
      </w:pBdr>
      <w:jc w:val="center"/>
    </w:pPr>
    <w:rPr>
      <w:sz w:val="20"/>
      <w:szCs w:val="20"/>
    </w:rPr>
  </w:style>
  <w:style w:type="paragraph" w:customStyle="1" w:styleId="215">
    <w:name w:val="正文（缩进）"/>
    <w:basedOn w:val="1"/>
    <w:link w:val="297"/>
    <w:semiHidden/>
    <w:qFormat/>
    <w:uiPriority w:val="99"/>
    <w:pPr>
      <w:spacing w:beforeLines="50" w:afterLines="50" w:line="360" w:lineRule="auto"/>
      <w:ind w:firstLine="480" w:firstLineChars="200"/>
    </w:pPr>
    <w:rPr>
      <w:kern w:val="0"/>
      <w:sz w:val="24"/>
      <w:szCs w:val="20"/>
    </w:rPr>
  </w:style>
  <w:style w:type="paragraph" w:customStyle="1" w:styleId="216">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7">
    <w:name w:val="xl43"/>
    <w:basedOn w:val="172"/>
    <w:qFormat/>
    <w:uiPriority w:val="99"/>
    <w:pPr>
      <w:pBdr>
        <w:bottom w:val="single" w:color="auto" w:sz="4" w:space="0"/>
        <w:right w:val="single" w:color="auto" w:sz="4" w:space="0"/>
      </w:pBdr>
      <w:jc w:val="center"/>
    </w:pPr>
    <w:rPr>
      <w:sz w:val="21"/>
      <w:szCs w:val="21"/>
    </w:rPr>
  </w:style>
  <w:style w:type="paragraph" w:customStyle="1" w:styleId="218">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9">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2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21">
    <w:name w:val="Char Char Char"/>
    <w:basedOn w:val="1"/>
    <w:qFormat/>
    <w:uiPriority w:val="99"/>
    <w:rPr>
      <w:rFonts w:ascii="宋体" w:hAnsi="宋体"/>
      <w:b/>
      <w:sz w:val="28"/>
      <w:szCs w:val="28"/>
    </w:rPr>
  </w:style>
  <w:style w:type="paragraph" w:customStyle="1" w:styleId="22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3">
    <w:name w:val="列出段落1"/>
    <w:basedOn w:val="1"/>
    <w:link w:val="248"/>
    <w:qFormat/>
    <w:uiPriority w:val="99"/>
    <w:pPr>
      <w:spacing w:line="360" w:lineRule="auto"/>
      <w:ind w:firstLine="480" w:firstLineChars="200"/>
    </w:pPr>
    <w:rPr>
      <w:color w:val="262626"/>
      <w:kern w:val="0"/>
      <w:sz w:val="20"/>
      <w:szCs w:val="20"/>
    </w:rPr>
  </w:style>
  <w:style w:type="paragraph" w:customStyle="1" w:styleId="224">
    <w:name w:val="List Paragraph1"/>
    <w:basedOn w:val="1"/>
    <w:qFormat/>
    <w:uiPriority w:val="99"/>
    <w:pPr>
      <w:ind w:firstLine="420" w:firstLineChars="200"/>
    </w:pPr>
  </w:style>
  <w:style w:type="paragraph" w:customStyle="1" w:styleId="225">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26">
    <w:name w:val="Char Char 字元 字元 字元 Char Char Char Char"/>
    <w:basedOn w:val="1"/>
    <w:qFormat/>
    <w:uiPriority w:val="99"/>
    <w:pPr>
      <w:adjustRightInd w:val="0"/>
      <w:spacing w:line="360" w:lineRule="auto"/>
    </w:pPr>
    <w:rPr>
      <w:kern w:val="0"/>
      <w:sz w:val="24"/>
      <w:szCs w:val="20"/>
    </w:rPr>
  </w:style>
  <w:style w:type="paragraph" w:customStyle="1" w:styleId="227">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8">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29">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30">
    <w:name w:val="五级无标题条"/>
    <w:basedOn w:val="1"/>
    <w:qFormat/>
    <w:uiPriority w:val="99"/>
    <w:pPr>
      <w:tabs>
        <w:tab w:val="left" w:pos="840"/>
      </w:tabs>
      <w:ind w:left="840" w:hanging="630"/>
    </w:pPr>
    <w:rPr>
      <w:szCs w:val="20"/>
    </w:rPr>
  </w:style>
  <w:style w:type="paragraph" w:customStyle="1" w:styleId="231">
    <w:name w:val="标题 2（绿盟科技）"/>
    <w:basedOn w:val="3"/>
    <w:next w:val="1"/>
    <w:semiHidden/>
    <w:qFormat/>
    <w:uiPriority w:val="99"/>
    <w:pPr>
      <w:numPr>
        <w:ilvl w:val="1"/>
        <w:numId w:val="1"/>
      </w:numPr>
      <w:tabs>
        <w:tab w:val="left" w:pos="840"/>
        <w:tab w:val="left" w:pos="1440"/>
      </w:tabs>
      <w:spacing w:line="415" w:lineRule="auto"/>
      <w:jc w:val="left"/>
    </w:pPr>
  </w:style>
  <w:style w:type="paragraph" w:customStyle="1" w:styleId="23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33">
    <w:name w:val="首行缩进"/>
    <w:basedOn w:val="1"/>
    <w:next w:val="1"/>
    <w:qFormat/>
    <w:uiPriority w:val="0"/>
    <w:pPr>
      <w:spacing w:line="360" w:lineRule="auto"/>
      <w:ind w:firstLine="480" w:firstLineChars="200"/>
    </w:pPr>
    <w:rPr>
      <w:rFonts w:ascii="宋体" w:hAnsi="宋体" w:cs="宋体"/>
      <w:kern w:val="0"/>
      <w:sz w:val="24"/>
    </w:rPr>
  </w:style>
  <w:style w:type="paragraph" w:customStyle="1" w:styleId="234">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235">
    <w:name w:val="标题 字符"/>
    <w:link w:val="72"/>
    <w:qFormat/>
    <w:locked/>
    <w:uiPriority w:val="99"/>
    <w:rPr>
      <w:rFonts w:ascii="Cambria" w:hAnsi="Cambria" w:cs="Times New Roman"/>
      <w:b/>
      <w:sz w:val="32"/>
    </w:rPr>
  </w:style>
  <w:style w:type="character" w:customStyle="1" w:styleId="236">
    <w:name w:val="blue2"/>
    <w:qFormat/>
    <w:uiPriority w:val="0"/>
    <w:rPr>
      <w:shd w:val="clear" w:color="auto" w:fill="53A7FF"/>
    </w:rPr>
  </w:style>
  <w:style w:type="character" w:customStyle="1" w:styleId="237">
    <w:name w:val="HTML 预设格式 字符"/>
    <w:link w:val="68"/>
    <w:semiHidden/>
    <w:qFormat/>
    <w:locked/>
    <w:uiPriority w:val="99"/>
    <w:rPr>
      <w:rFonts w:ascii="Courier New" w:hAnsi="Courier New" w:cs="Times New Roman"/>
      <w:sz w:val="20"/>
    </w:rPr>
  </w:style>
  <w:style w:type="character" w:customStyle="1" w:styleId="238">
    <w:name w:val="标题 1 字符"/>
    <w:link w:val="2"/>
    <w:qFormat/>
    <w:locked/>
    <w:uiPriority w:val="99"/>
    <w:rPr>
      <w:rFonts w:eastAsia="宋体" w:cs="Times New Roman"/>
      <w:b/>
      <w:kern w:val="44"/>
      <w:sz w:val="44"/>
    </w:rPr>
  </w:style>
  <w:style w:type="character" w:customStyle="1" w:styleId="239">
    <w:name w:val="称呼 字符"/>
    <w:link w:val="26"/>
    <w:semiHidden/>
    <w:qFormat/>
    <w:locked/>
    <w:uiPriority w:val="99"/>
    <w:rPr>
      <w:rFonts w:cs="Times New Roman"/>
      <w:sz w:val="24"/>
    </w:rPr>
  </w:style>
  <w:style w:type="character" w:customStyle="1" w:styleId="240">
    <w:name w:val="Footer Char"/>
    <w:semiHidden/>
    <w:qFormat/>
    <w:locked/>
    <w:uiPriority w:val="99"/>
    <w:rPr>
      <w:rFonts w:eastAsia="宋体" w:cs="Times New Roman"/>
      <w:sz w:val="18"/>
    </w:rPr>
  </w:style>
  <w:style w:type="character" w:customStyle="1" w:styleId="241">
    <w:name w:val="正文文本 2 字符"/>
    <w:link w:val="64"/>
    <w:semiHidden/>
    <w:qFormat/>
    <w:locked/>
    <w:uiPriority w:val="99"/>
    <w:rPr>
      <w:rFonts w:cs="Times New Roman"/>
      <w:sz w:val="24"/>
    </w:rPr>
  </w:style>
  <w:style w:type="character" w:customStyle="1" w:styleId="242">
    <w:name w:val="明显引用 Char"/>
    <w:link w:val="170"/>
    <w:qFormat/>
    <w:locked/>
    <w:uiPriority w:val="99"/>
    <w:rPr>
      <w:b/>
      <w:i/>
      <w:sz w:val="24"/>
    </w:rPr>
  </w:style>
  <w:style w:type="character" w:customStyle="1" w:styleId="243">
    <w:name w:val="hover38"/>
    <w:qFormat/>
    <w:uiPriority w:val="99"/>
    <w:rPr>
      <w:color w:val="FF6600"/>
      <w:u w:val="single"/>
    </w:rPr>
  </w:style>
  <w:style w:type="character" w:customStyle="1" w:styleId="244">
    <w:name w:val="正文文本缩进 3 字符"/>
    <w:link w:val="61"/>
    <w:semiHidden/>
    <w:qFormat/>
    <w:locked/>
    <w:uiPriority w:val="99"/>
    <w:rPr>
      <w:rFonts w:cs="Times New Roman"/>
      <w:sz w:val="16"/>
    </w:rPr>
  </w:style>
  <w:style w:type="character" w:customStyle="1" w:styleId="245">
    <w:name w:val="param-name1"/>
    <w:qFormat/>
    <w:uiPriority w:val="99"/>
    <w:rPr>
      <w:b/>
    </w:rPr>
  </w:style>
  <w:style w:type="character" w:customStyle="1" w:styleId="246">
    <w:name w:val="apple-converted-space"/>
    <w:qFormat/>
    <w:uiPriority w:val="99"/>
  </w:style>
  <w:style w:type="character" w:customStyle="1" w:styleId="247">
    <w:name w:val="标题 1 Char"/>
    <w:link w:val="2"/>
    <w:qFormat/>
    <w:uiPriority w:val="99"/>
    <w:rPr>
      <w:rFonts w:eastAsia="宋体"/>
      <w:b/>
      <w:kern w:val="44"/>
      <w:sz w:val="44"/>
      <w:lang w:val="en-US" w:eastAsia="zh-CN"/>
    </w:rPr>
  </w:style>
  <w:style w:type="character" w:customStyle="1" w:styleId="248">
    <w:name w:val="List Paragraph Char"/>
    <w:link w:val="223"/>
    <w:qFormat/>
    <w:locked/>
    <w:uiPriority w:val="99"/>
    <w:rPr>
      <w:rFonts w:eastAsia="宋体"/>
      <w:color w:val="262626"/>
    </w:rPr>
  </w:style>
  <w:style w:type="character" w:customStyle="1" w:styleId="249">
    <w:name w:val="Char Char3"/>
    <w:qFormat/>
    <w:uiPriority w:val="99"/>
    <w:rPr>
      <w:rFonts w:ascii="Calibri" w:hAnsi="Calibri" w:eastAsia="宋体"/>
      <w:sz w:val="22"/>
      <w:lang w:eastAsia="en-US"/>
    </w:rPr>
  </w:style>
  <w:style w:type="character" w:customStyle="1" w:styleId="250">
    <w:name w:val="正文文本首行缩进 2 字符"/>
    <w:link w:val="75"/>
    <w:semiHidden/>
    <w:qFormat/>
    <w:locked/>
    <w:uiPriority w:val="99"/>
    <w:rPr>
      <w:rFonts w:cs="Times New Roman"/>
      <w:sz w:val="24"/>
      <w:szCs w:val="24"/>
    </w:rPr>
  </w:style>
  <w:style w:type="character" w:customStyle="1" w:styleId="251">
    <w:name w:val="文档结构图 字符"/>
    <w:link w:val="23"/>
    <w:semiHidden/>
    <w:qFormat/>
    <w:locked/>
    <w:uiPriority w:val="99"/>
    <w:rPr>
      <w:sz w:val="2"/>
    </w:rPr>
  </w:style>
  <w:style w:type="character" w:customStyle="1" w:styleId="252">
    <w:name w:val="Document Map Char"/>
    <w:semiHidden/>
    <w:qFormat/>
    <w:locked/>
    <w:uiPriority w:val="99"/>
    <w:rPr>
      <w:rFonts w:eastAsia="宋体" w:cs="Times New Roman"/>
      <w:sz w:val="21"/>
    </w:rPr>
  </w:style>
  <w:style w:type="character" w:customStyle="1" w:styleId="253">
    <w:name w:val="hover39"/>
    <w:qFormat/>
    <w:uiPriority w:val="99"/>
    <w:rPr>
      <w:color w:val="FFFFFF"/>
      <w:shd w:val="clear" w:color="auto" w:fill="FF6600"/>
    </w:rPr>
  </w:style>
  <w:style w:type="character" w:customStyle="1" w:styleId="254">
    <w:name w:val="hover40"/>
    <w:qFormat/>
    <w:uiPriority w:val="99"/>
    <w:rPr>
      <w:color w:val="FF6600"/>
      <w:u w:val="single"/>
    </w:rPr>
  </w:style>
  <w:style w:type="character" w:customStyle="1" w:styleId="255">
    <w:name w:val="注释标题 字符"/>
    <w:link w:val="15"/>
    <w:semiHidden/>
    <w:qFormat/>
    <w:locked/>
    <w:uiPriority w:val="99"/>
    <w:rPr>
      <w:rFonts w:cs="Times New Roman"/>
      <w:sz w:val="24"/>
    </w:rPr>
  </w:style>
  <w:style w:type="character" w:customStyle="1" w:styleId="256">
    <w:name w:val="电子邮件签名 字符"/>
    <w:link w:val="17"/>
    <w:semiHidden/>
    <w:qFormat/>
    <w:locked/>
    <w:uiPriority w:val="99"/>
    <w:rPr>
      <w:rFonts w:cs="Times New Roman"/>
      <w:sz w:val="24"/>
    </w:rPr>
  </w:style>
  <w:style w:type="character" w:customStyle="1" w:styleId="257">
    <w:name w:val="标题 5 字符"/>
    <w:link w:val="6"/>
    <w:qFormat/>
    <w:locked/>
    <w:uiPriority w:val="99"/>
    <w:rPr>
      <w:rFonts w:eastAsia="宋体" w:cs="Times New Roman"/>
      <w:b/>
      <w:sz w:val="28"/>
    </w:rPr>
  </w:style>
  <w:style w:type="character" w:customStyle="1" w:styleId="258">
    <w:name w:val="Comment Text Char"/>
    <w:qFormat/>
    <w:locked/>
    <w:uiPriority w:val="99"/>
    <w:rPr>
      <w:rFonts w:ascii="Calibri" w:hAnsi="Calibri" w:eastAsia="宋体" w:cs="Times New Roman"/>
      <w:sz w:val="22"/>
      <w:lang w:val="en-US" w:eastAsia="en-US"/>
    </w:rPr>
  </w:style>
  <w:style w:type="character" w:customStyle="1" w:styleId="259">
    <w:name w:val="font01"/>
    <w:basedOn w:val="121"/>
    <w:qFormat/>
    <w:uiPriority w:val="99"/>
    <w:rPr>
      <w:rFonts w:ascii="宋体" w:hAnsi="宋体" w:eastAsia="宋体"/>
      <w:color w:val="000000"/>
      <w:sz w:val="21"/>
      <w:u w:val="none"/>
    </w:rPr>
  </w:style>
  <w:style w:type="character" w:customStyle="1" w:styleId="260">
    <w:name w:val="font21"/>
    <w:qFormat/>
    <w:uiPriority w:val="99"/>
    <w:rPr>
      <w:rFonts w:ascii="Times New Roman" w:hAnsi="Times New Roman"/>
      <w:color w:val="000000"/>
      <w:sz w:val="21"/>
      <w:u w:val="none"/>
    </w:rPr>
  </w:style>
  <w:style w:type="character" w:customStyle="1" w:styleId="261">
    <w:name w:val="页眉 字符"/>
    <w:link w:val="51"/>
    <w:semiHidden/>
    <w:qFormat/>
    <w:locked/>
    <w:uiPriority w:val="99"/>
    <w:rPr>
      <w:sz w:val="18"/>
    </w:rPr>
  </w:style>
  <w:style w:type="character" w:customStyle="1" w:styleId="262">
    <w:name w:val="Body Text Char"/>
    <w:qFormat/>
    <w:locked/>
    <w:uiPriority w:val="99"/>
    <w:rPr>
      <w:rFonts w:eastAsia="宋体" w:cs="Times New Roman"/>
      <w:sz w:val="21"/>
    </w:rPr>
  </w:style>
  <w:style w:type="character" w:customStyle="1" w:styleId="263">
    <w:name w:val="yellow"/>
    <w:qFormat/>
    <w:uiPriority w:val="0"/>
    <w:rPr>
      <w:shd w:val="clear" w:color="auto" w:fill="F58F00"/>
    </w:rPr>
  </w:style>
  <w:style w:type="character" w:customStyle="1" w:styleId="264">
    <w:name w:val="批注文字 字符"/>
    <w:link w:val="25"/>
    <w:qFormat/>
    <w:locked/>
    <w:uiPriority w:val="99"/>
    <w:rPr>
      <w:sz w:val="24"/>
    </w:rPr>
  </w:style>
  <w:style w:type="character" w:customStyle="1" w:styleId="265">
    <w:name w:val="正文缩进 字符"/>
    <w:link w:val="19"/>
    <w:qFormat/>
    <w:locked/>
    <w:uiPriority w:val="99"/>
    <w:rPr>
      <w:rFonts w:eastAsia="宋体"/>
      <w:sz w:val="21"/>
    </w:rPr>
  </w:style>
  <w:style w:type="character" w:customStyle="1" w:styleId="266">
    <w:name w:val="hover42"/>
    <w:qFormat/>
    <w:uiPriority w:val="99"/>
    <w:rPr>
      <w:color w:val="FFFFFF"/>
      <w:shd w:val="clear" w:color="auto" w:fill="FF6600"/>
    </w:rPr>
  </w:style>
  <w:style w:type="character" w:customStyle="1" w:styleId="267">
    <w:name w:val="blue"/>
    <w:qFormat/>
    <w:uiPriority w:val="0"/>
    <w:rPr>
      <w:shd w:val="clear" w:color="auto" w:fill="53A7FF"/>
    </w:rPr>
  </w:style>
  <w:style w:type="character" w:customStyle="1" w:styleId="268">
    <w:name w:val="hover44"/>
    <w:qFormat/>
    <w:uiPriority w:val="99"/>
    <w:rPr>
      <w:rFonts w:ascii="微软雅黑" w:hAnsi="微软雅黑" w:eastAsia="微软雅黑"/>
      <w:b/>
      <w:color w:val="FF6600"/>
      <w:sz w:val="22"/>
      <w:u w:val="single"/>
    </w:rPr>
  </w:style>
  <w:style w:type="character" w:customStyle="1" w:styleId="269">
    <w:name w:val="正文文本 字符"/>
    <w:link w:val="30"/>
    <w:semiHidden/>
    <w:qFormat/>
    <w:locked/>
    <w:uiPriority w:val="99"/>
    <w:rPr>
      <w:sz w:val="24"/>
    </w:rPr>
  </w:style>
  <w:style w:type="character" w:customStyle="1" w:styleId="270">
    <w:name w:val="hei14"/>
    <w:semiHidden/>
    <w:qFormat/>
    <w:uiPriority w:val="99"/>
  </w:style>
  <w:style w:type="character" w:customStyle="1" w:styleId="271">
    <w:name w:val="标题 4 字符"/>
    <w:link w:val="5"/>
    <w:qFormat/>
    <w:locked/>
    <w:uiPriority w:val="99"/>
    <w:rPr>
      <w:rFonts w:ascii="Arial" w:hAnsi="Arial" w:eastAsia="黑体" w:cs="Times New Roman"/>
      <w:b/>
      <w:sz w:val="28"/>
    </w:rPr>
  </w:style>
  <w:style w:type="character" w:customStyle="1" w:styleId="272">
    <w:name w:val="信息标题 字符"/>
    <w:link w:val="67"/>
    <w:semiHidden/>
    <w:qFormat/>
    <w:locked/>
    <w:uiPriority w:val="99"/>
    <w:rPr>
      <w:rFonts w:ascii="Cambria" w:hAnsi="Cambria" w:eastAsia="宋体" w:cs="Times New Roman"/>
      <w:sz w:val="24"/>
      <w:shd w:val="pct20" w:color="auto" w:fill="auto"/>
    </w:rPr>
  </w:style>
  <w:style w:type="character" w:customStyle="1" w:styleId="273">
    <w:name w:val="段 Char"/>
    <w:link w:val="174"/>
    <w:qFormat/>
    <w:locked/>
    <w:uiPriority w:val="99"/>
    <w:rPr>
      <w:rFonts w:ascii="宋体"/>
      <w:sz w:val="21"/>
      <w:lang w:val="en-US" w:eastAsia="zh-CN" w:bidi="ar-SA"/>
    </w:rPr>
  </w:style>
  <w:style w:type="character" w:customStyle="1" w:styleId="274">
    <w:name w:val="disabled"/>
    <w:qFormat/>
    <w:uiPriority w:val="0"/>
    <w:rPr>
      <w:color w:val="DDDDDD"/>
      <w:bdr w:val="single" w:color="EEEEEE" w:sz="6" w:space="0"/>
    </w:rPr>
  </w:style>
  <w:style w:type="character" w:customStyle="1" w:styleId="275">
    <w:name w:val="标题 7 字符"/>
    <w:link w:val="8"/>
    <w:semiHidden/>
    <w:qFormat/>
    <w:locked/>
    <w:uiPriority w:val="99"/>
    <w:rPr>
      <w:rFonts w:cs="Times New Roman"/>
      <w:b/>
      <w:sz w:val="24"/>
    </w:rPr>
  </w:style>
  <w:style w:type="character" w:customStyle="1" w:styleId="276">
    <w:name w:val="结束语 字符"/>
    <w:link w:val="28"/>
    <w:semiHidden/>
    <w:qFormat/>
    <w:locked/>
    <w:uiPriority w:val="99"/>
    <w:rPr>
      <w:rFonts w:cs="Times New Roman"/>
      <w:sz w:val="24"/>
    </w:rPr>
  </w:style>
  <w:style w:type="character" w:customStyle="1" w:styleId="277">
    <w:name w:val="批注框文本 字符"/>
    <w:link w:val="48"/>
    <w:semiHidden/>
    <w:qFormat/>
    <w:locked/>
    <w:uiPriority w:val="99"/>
    <w:rPr>
      <w:rFonts w:cs="Times New Roman"/>
      <w:sz w:val="2"/>
    </w:rPr>
  </w:style>
  <w:style w:type="character" w:customStyle="1" w:styleId="278">
    <w:name w:val="副标题 字符"/>
    <w:link w:val="56"/>
    <w:qFormat/>
    <w:locked/>
    <w:uiPriority w:val="99"/>
    <w:rPr>
      <w:rFonts w:ascii="Cambria" w:hAnsi="Cambria" w:cs="Times New Roman"/>
      <w:b/>
      <w:kern w:val="28"/>
      <w:sz w:val="32"/>
    </w:rPr>
  </w:style>
  <w:style w:type="character" w:customStyle="1" w:styleId="279">
    <w:name w:val="Header Char"/>
    <w:semiHidden/>
    <w:qFormat/>
    <w:locked/>
    <w:uiPriority w:val="99"/>
    <w:rPr>
      <w:rFonts w:eastAsia="宋体" w:cs="Times New Roman"/>
      <w:sz w:val="18"/>
    </w:rPr>
  </w:style>
  <w:style w:type="character" w:customStyle="1" w:styleId="280">
    <w:name w:val="red2"/>
    <w:qFormat/>
    <w:uiPriority w:val="0"/>
    <w:rPr>
      <w:shd w:val="clear" w:color="auto" w:fill="EA5954"/>
    </w:rPr>
  </w:style>
  <w:style w:type="character" w:customStyle="1" w:styleId="281">
    <w:name w:val="Body Text First Indent Char"/>
    <w:qFormat/>
    <w:locked/>
    <w:uiPriority w:val="99"/>
    <w:rPr>
      <w:rFonts w:ascii="宋体" w:hAnsi="宋体" w:eastAsia="宋体" w:cs="Times New Roman"/>
      <w:spacing w:val="20"/>
      <w:sz w:val="24"/>
    </w:rPr>
  </w:style>
  <w:style w:type="character" w:customStyle="1" w:styleId="282">
    <w:name w:val="HTML 地址 字符"/>
    <w:link w:val="37"/>
    <w:semiHidden/>
    <w:qFormat/>
    <w:locked/>
    <w:uiPriority w:val="99"/>
    <w:rPr>
      <w:rFonts w:cs="Times New Roman"/>
      <w:i/>
      <w:sz w:val="24"/>
    </w:rPr>
  </w:style>
  <w:style w:type="character" w:customStyle="1" w:styleId="283">
    <w:name w:val="标题 3 字符"/>
    <w:link w:val="4"/>
    <w:qFormat/>
    <w:locked/>
    <w:uiPriority w:val="99"/>
    <w:rPr>
      <w:rFonts w:eastAsia="宋体" w:cs="Times New Roman"/>
      <w:b/>
      <w:sz w:val="32"/>
    </w:rPr>
  </w:style>
  <w:style w:type="character" w:customStyle="1" w:styleId="284">
    <w:name w:val="日期 字符"/>
    <w:link w:val="45"/>
    <w:semiHidden/>
    <w:qFormat/>
    <w:locked/>
    <w:uiPriority w:val="99"/>
    <w:rPr>
      <w:rFonts w:cs="Times New Roman"/>
      <w:sz w:val="24"/>
    </w:rPr>
  </w:style>
  <w:style w:type="character" w:customStyle="1" w:styleId="285">
    <w:name w:val="green"/>
    <w:qFormat/>
    <w:uiPriority w:val="0"/>
    <w:rPr>
      <w:shd w:val="clear" w:color="auto" w:fill="71C033"/>
    </w:rPr>
  </w:style>
  <w:style w:type="character" w:customStyle="1" w:styleId="286">
    <w:name w:val="bds_more"/>
    <w:qFormat/>
    <w:uiPriority w:val="99"/>
    <w:rPr>
      <w:rFonts w:ascii="Arial" w:hAnsi="Arial"/>
    </w:rPr>
  </w:style>
  <w:style w:type="character" w:customStyle="1" w:styleId="287">
    <w:name w:val="批注主题 字符"/>
    <w:link w:val="73"/>
    <w:semiHidden/>
    <w:qFormat/>
    <w:locked/>
    <w:uiPriority w:val="99"/>
    <w:rPr>
      <w:rFonts w:ascii="Calibri" w:hAnsi="Calibri" w:eastAsia="宋体" w:cs="Times New Roman"/>
      <w:b/>
      <w:sz w:val="24"/>
      <w:lang w:val="en-US" w:eastAsia="en-US"/>
    </w:rPr>
  </w:style>
  <w:style w:type="character" w:customStyle="1" w:styleId="288">
    <w:name w:val="标题 2 字符"/>
    <w:link w:val="3"/>
    <w:qFormat/>
    <w:locked/>
    <w:uiPriority w:val="99"/>
    <w:rPr>
      <w:rFonts w:ascii="Arial" w:hAnsi="Arial" w:eastAsia="黑体" w:cs="Times New Roman"/>
      <w:b/>
      <w:sz w:val="32"/>
    </w:rPr>
  </w:style>
  <w:style w:type="character" w:customStyle="1" w:styleId="289">
    <w:name w:val="正文文本 3 字符"/>
    <w:link w:val="27"/>
    <w:semiHidden/>
    <w:qFormat/>
    <w:locked/>
    <w:uiPriority w:val="99"/>
    <w:rPr>
      <w:rFonts w:cs="Times New Roman"/>
      <w:sz w:val="16"/>
    </w:rPr>
  </w:style>
  <w:style w:type="character" w:customStyle="1" w:styleId="290">
    <w:name w:val="签名 字符"/>
    <w:link w:val="52"/>
    <w:semiHidden/>
    <w:qFormat/>
    <w:locked/>
    <w:uiPriority w:val="99"/>
    <w:rPr>
      <w:rFonts w:cs="Times New Roman"/>
      <w:sz w:val="24"/>
    </w:rPr>
  </w:style>
  <w:style w:type="character" w:customStyle="1" w:styleId="291">
    <w:name w:val="CharAttribute3"/>
    <w:qFormat/>
    <w:uiPriority w:val="0"/>
    <w:rPr>
      <w:rFonts w:ascii="宋体" w:hAnsi="宋体" w:eastAsia="宋体"/>
      <w:sz w:val="21"/>
    </w:rPr>
  </w:style>
  <w:style w:type="character" w:customStyle="1" w:styleId="292">
    <w:name w:val="正文文本缩进 字符"/>
    <w:link w:val="31"/>
    <w:semiHidden/>
    <w:qFormat/>
    <w:locked/>
    <w:uiPriority w:val="99"/>
    <w:rPr>
      <w:rFonts w:cs="Times New Roman"/>
      <w:sz w:val="24"/>
    </w:rPr>
  </w:style>
  <w:style w:type="character" w:customStyle="1" w:styleId="293">
    <w:name w:val="页脚 字符"/>
    <w:link w:val="49"/>
    <w:semiHidden/>
    <w:qFormat/>
    <w:locked/>
    <w:uiPriority w:val="99"/>
    <w:rPr>
      <w:rFonts w:ascii="Calibri" w:hAnsi="Calibri" w:eastAsia="宋体"/>
      <w:sz w:val="18"/>
    </w:rPr>
  </w:style>
  <w:style w:type="character" w:customStyle="1" w:styleId="294">
    <w:name w:val="正文文本缩进 2 字符"/>
    <w:link w:val="46"/>
    <w:semiHidden/>
    <w:qFormat/>
    <w:locked/>
    <w:uiPriority w:val="99"/>
    <w:rPr>
      <w:rFonts w:cs="Times New Roman"/>
      <w:sz w:val="24"/>
    </w:rPr>
  </w:style>
  <w:style w:type="character" w:customStyle="1" w:styleId="295">
    <w:name w:val="标题 8 字符"/>
    <w:link w:val="9"/>
    <w:semiHidden/>
    <w:qFormat/>
    <w:locked/>
    <w:uiPriority w:val="99"/>
    <w:rPr>
      <w:rFonts w:ascii="Cambria" w:hAnsi="Cambria" w:eastAsia="宋体" w:cs="Times New Roman"/>
      <w:sz w:val="24"/>
    </w:rPr>
  </w:style>
  <w:style w:type="character" w:customStyle="1" w:styleId="296">
    <w:name w:val="正文文本首行缩进 字符"/>
    <w:link w:val="74"/>
    <w:semiHidden/>
    <w:qFormat/>
    <w:locked/>
    <w:uiPriority w:val="99"/>
    <w:rPr>
      <w:rFonts w:eastAsia="宋体"/>
      <w:sz w:val="24"/>
    </w:rPr>
  </w:style>
  <w:style w:type="character" w:customStyle="1" w:styleId="297">
    <w:name w:val="正文（缩进） Char"/>
    <w:link w:val="215"/>
    <w:qFormat/>
    <w:locked/>
    <w:uiPriority w:val="99"/>
    <w:rPr>
      <w:rFonts w:eastAsia="宋体"/>
      <w:sz w:val="24"/>
    </w:rPr>
  </w:style>
  <w:style w:type="character" w:customStyle="1" w:styleId="298">
    <w:name w:val="标题 6 字符"/>
    <w:link w:val="7"/>
    <w:qFormat/>
    <w:locked/>
    <w:uiPriority w:val="99"/>
    <w:rPr>
      <w:rFonts w:ascii="Arial" w:hAnsi="Arial" w:eastAsia="黑体" w:cs="Times New Roman"/>
      <w:b/>
    </w:rPr>
  </w:style>
  <w:style w:type="character" w:customStyle="1" w:styleId="299">
    <w:name w:val="hover43"/>
    <w:qFormat/>
    <w:uiPriority w:val="99"/>
    <w:rPr>
      <w:color w:val="FF6600"/>
      <w:u w:val="single"/>
    </w:rPr>
  </w:style>
  <w:style w:type="character" w:customStyle="1" w:styleId="300">
    <w:name w:val="标题 9 字符"/>
    <w:link w:val="10"/>
    <w:semiHidden/>
    <w:qFormat/>
    <w:locked/>
    <w:uiPriority w:val="99"/>
    <w:rPr>
      <w:rFonts w:ascii="Cambria" w:hAnsi="Cambria" w:eastAsia="宋体" w:cs="Times New Roman"/>
      <w:sz w:val="21"/>
    </w:rPr>
  </w:style>
  <w:style w:type="character" w:customStyle="1" w:styleId="301">
    <w:name w:val="纯文本 字符"/>
    <w:link w:val="41"/>
    <w:semiHidden/>
    <w:qFormat/>
    <w:locked/>
    <w:uiPriority w:val="99"/>
    <w:rPr>
      <w:rFonts w:ascii="宋体" w:hAnsi="Courier New" w:cs="Times New Roman"/>
      <w:sz w:val="21"/>
    </w:rPr>
  </w:style>
  <w:style w:type="character" w:customStyle="1" w:styleId="302">
    <w:name w:val="访问过的超链接1"/>
    <w:semiHidden/>
    <w:qFormat/>
    <w:uiPriority w:val="99"/>
    <w:rPr>
      <w:color w:val="1F4F88"/>
      <w:u w:val="none"/>
    </w:rPr>
  </w:style>
  <w:style w:type="table" w:customStyle="1" w:styleId="303">
    <w:name w:val="网格型1"/>
    <w:qFormat/>
    <w:uiPriority w:val="9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4">
    <w:name w:val="WPSOffice手动目录 1"/>
    <w:qFormat/>
    <w:uiPriority w:val="0"/>
    <w:pPr>
      <w:ind w:leftChars="0"/>
    </w:pPr>
    <w:rPr>
      <w:rFonts w:ascii="Times New Roman" w:hAnsi="Times New Roman" w:eastAsia="宋体" w:cs="Times New Roman"/>
      <w:sz w:val="20"/>
      <w:szCs w:val="20"/>
    </w:rPr>
  </w:style>
  <w:style w:type="paragraph" w:customStyle="1" w:styleId="305">
    <w:name w:val="WPSOffice手动目录 2"/>
    <w:qFormat/>
    <w:uiPriority w:val="0"/>
    <w:pPr>
      <w:ind w:leftChars="200"/>
    </w:pPr>
    <w:rPr>
      <w:rFonts w:ascii="Times New Roman" w:hAnsi="Times New Roman" w:eastAsia="宋体" w:cs="Times New Roman"/>
      <w:sz w:val="20"/>
      <w:szCs w:val="20"/>
    </w:rPr>
  </w:style>
  <w:style w:type="character" w:customStyle="1" w:styleId="306">
    <w:name w:val="font31"/>
    <w:basedOn w:val="121"/>
    <w:qFormat/>
    <w:uiPriority w:val="0"/>
    <w:rPr>
      <w:rFonts w:hint="eastAsia" w:ascii="宋体" w:hAnsi="宋体" w:eastAsia="宋体" w:cs="宋体"/>
      <w:color w:val="000000"/>
      <w:sz w:val="48"/>
      <w:szCs w:val="48"/>
      <w:u w:val="none"/>
    </w:rPr>
  </w:style>
  <w:style w:type="paragraph" w:customStyle="1" w:styleId="307">
    <w:name w:val="Table Paragraph"/>
    <w:basedOn w:val="1"/>
    <w:qFormat/>
    <w:uiPriority w:val="1"/>
    <w:rPr>
      <w:rFonts w:ascii="宋体" w:hAnsi="宋体" w:eastAsia="宋体" w:cs="宋体"/>
      <w:lang w:val="zh-CN" w:eastAsia="zh-CN" w:bidi="zh-CN"/>
    </w:rPr>
  </w:style>
  <w:style w:type="table" w:customStyle="1" w:styleId="30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71</Pages>
  <Words>26927</Words>
  <Characters>28641</Characters>
  <Lines>242</Lines>
  <Paragraphs>68</Paragraphs>
  <TotalTime>0</TotalTime>
  <ScaleCrop>false</ScaleCrop>
  <LinksUpToDate>false</LinksUpToDate>
  <CharactersWithSpaces>30698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2019-05-13T09:31:00Z</dcterms:created>
  <dc:creator>USER</dc:creator>
  <cp:lastModifiedBy>番石榴</cp:lastModifiedBy>
  <cp:lastPrinted>2023-08-24T00:51:00Z</cp:lastPrinted>
  <dcterms:modified xsi:type="dcterms:W3CDTF">2025-08-28T10:15:58Z</dcterms:modified>
  <dc:title>招标文件目录</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2DB7F597FD78494090F54EF00856822B_13</vt:lpwstr>
  </property>
  <property fmtid="{D5CDD505-2E9C-101B-9397-08002B2CF9AE}" pid="4" name="KSOTemplateDocerSaveRecord">
    <vt:lpwstr>eyJoZGlkIjoiNGVhZThhNTkxNWFmZjExNTliYWJmNGNkYWJmYTdkNWUiLCJ1c2VySWQiOiIyNjc3NTY3NDgifQ==</vt:lpwstr>
  </property>
</Properties>
</file>