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080"/>
          <w:tab w:val="left" w:pos="7140"/>
        </w:tabs>
        <w:spacing w:line="360" w:lineRule="auto"/>
        <w:jc w:val="center"/>
        <w:rPr>
          <w:rFonts w:hint="eastAsia" w:ascii="仿宋" w:hAnsi="仿宋" w:eastAsia="仿宋" w:cs="仿宋"/>
          <w:b/>
          <w:bCs/>
          <w:color w:val="auto"/>
          <w:sz w:val="24"/>
          <w:highlight w:val="none"/>
          <w:shd w:val="clear" w:color="auto" w:fill="FFFFFF"/>
        </w:rPr>
      </w:pPr>
    </w:p>
    <w:p>
      <w:pPr>
        <w:pStyle w:val="27"/>
        <w:spacing w:before="156" w:beforeLines="50" w:after="156" w:afterLines="50" w:line="360" w:lineRule="auto"/>
        <w:rPr>
          <w:rFonts w:hint="eastAsia" w:ascii="仿宋" w:hAnsi="仿宋" w:eastAsia="仿宋" w:cs="仿宋"/>
          <w:b/>
          <w:bCs/>
          <w:color w:val="auto"/>
          <w:highlight w:val="none"/>
          <w:shd w:val="clear" w:color="auto" w:fill="FFFFFF"/>
        </w:rPr>
      </w:pPr>
    </w:p>
    <w:p>
      <w:pPr>
        <w:autoSpaceDE w:val="0"/>
        <w:autoSpaceDN w:val="0"/>
        <w:spacing w:before="156" w:beforeLines="50" w:after="156" w:afterLines="50" w:line="360" w:lineRule="auto"/>
        <w:jc w:val="center"/>
        <w:rPr>
          <w:rFonts w:hint="eastAsia" w:ascii="仿宋" w:hAnsi="仿宋" w:eastAsia="仿宋" w:cs="仿宋"/>
          <w:b/>
          <w:color w:val="auto"/>
          <w:sz w:val="44"/>
          <w:szCs w:val="44"/>
          <w:highlight w:val="none"/>
          <w:lang w:val="zh-CN"/>
        </w:rPr>
      </w:pPr>
      <w:r>
        <w:rPr>
          <w:rFonts w:hint="eastAsia" w:ascii="仿宋" w:hAnsi="仿宋" w:eastAsia="仿宋" w:cs="仿宋"/>
          <w:b/>
          <w:color w:val="auto"/>
          <w:sz w:val="44"/>
          <w:szCs w:val="44"/>
          <w:highlight w:val="none"/>
          <w:lang w:eastAsia="zh-CN"/>
        </w:rPr>
        <w:t>菏泽市立医院药物临床实验管理系统</w:t>
      </w:r>
      <w:r>
        <w:rPr>
          <w:rFonts w:hint="eastAsia" w:ascii="仿宋" w:hAnsi="仿宋" w:eastAsia="仿宋" w:cs="仿宋"/>
          <w:b/>
          <w:color w:val="auto"/>
          <w:sz w:val="44"/>
          <w:szCs w:val="44"/>
          <w:highlight w:val="none"/>
        </w:rPr>
        <w:t xml:space="preserve"> </w:t>
      </w:r>
    </w:p>
    <w:p>
      <w:pPr>
        <w:autoSpaceDE w:val="0"/>
        <w:autoSpaceDN w:val="0"/>
        <w:spacing w:before="156" w:beforeLines="50" w:after="156" w:afterLines="50" w:line="360" w:lineRule="auto"/>
        <w:jc w:val="center"/>
        <w:rPr>
          <w:rFonts w:hint="eastAsia" w:ascii="仿宋" w:hAnsi="仿宋" w:eastAsia="仿宋" w:cs="仿宋"/>
          <w:b/>
          <w:color w:val="auto"/>
          <w:sz w:val="44"/>
          <w:szCs w:val="44"/>
          <w:highlight w:val="none"/>
          <w:lang w:val="zh-CN"/>
        </w:rPr>
      </w:pPr>
    </w:p>
    <w:p>
      <w:pPr>
        <w:autoSpaceDE w:val="0"/>
        <w:autoSpaceDN w:val="0"/>
        <w:spacing w:before="156" w:beforeLines="50" w:after="156" w:afterLines="50" w:line="360" w:lineRule="auto"/>
        <w:jc w:val="center"/>
        <w:rPr>
          <w:rFonts w:hint="eastAsia" w:ascii="仿宋" w:hAnsi="仿宋" w:eastAsia="仿宋" w:cs="仿宋"/>
          <w:b/>
          <w:color w:val="auto"/>
          <w:sz w:val="44"/>
          <w:szCs w:val="44"/>
          <w:highlight w:val="none"/>
          <w:lang w:val="zh-CN"/>
        </w:rPr>
      </w:pPr>
    </w:p>
    <w:p>
      <w:pPr>
        <w:autoSpaceDE w:val="0"/>
        <w:autoSpaceDN w:val="0"/>
        <w:spacing w:before="156" w:beforeLines="50" w:after="156" w:afterLines="50" w:line="360" w:lineRule="auto"/>
        <w:jc w:val="center"/>
        <w:rPr>
          <w:rFonts w:hint="eastAsia" w:ascii="仿宋" w:hAnsi="仿宋" w:eastAsia="仿宋" w:cs="仿宋"/>
          <w:b/>
          <w:bCs/>
          <w:color w:val="auto"/>
          <w:sz w:val="44"/>
          <w:highlight w:val="none"/>
          <w:shd w:val="clear" w:color="auto" w:fill="FFFFFF"/>
        </w:rPr>
      </w:pPr>
      <w:r>
        <w:rPr>
          <w:rFonts w:hint="eastAsia" w:ascii="仿宋" w:hAnsi="仿宋" w:eastAsia="仿宋" w:cs="仿宋"/>
          <w:b/>
          <w:color w:val="auto"/>
          <w:sz w:val="44"/>
          <w:szCs w:val="44"/>
          <w:highlight w:val="none"/>
          <w:lang w:val="zh-CN"/>
        </w:rPr>
        <w:t>竞争性磋商文件</w:t>
      </w:r>
    </w:p>
    <w:p>
      <w:pPr>
        <w:tabs>
          <w:tab w:val="center" w:pos="1376"/>
        </w:tabs>
        <w:spacing w:line="360" w:lineRule="auto"/>
        <w:jc w:val="center"/>
        <w:rPr>
          <w:rFonts w:hint="eastAsia" w:ascii="仿宋" w:hAnsi="仿宋" w:eastAsia="仿宋" w:cs="仿宋"/>
          <w:b/>
          <w:bCs/>
          <w:color w:val="auto"/>
          <w:sz w:val="28"/>
          <w:highlight w:val="none"/>
          <w:shd w:val="clear" w:color="auto" w:fill="FFFFFF"/>
        </w:rPr>
      </w:pPr>
    </w:p>
    <w:p>
      <w:pPr>
        <w:tabs>
          <w:tab w:val="center" w:pos="1376"/>
        </w:tabs>
        <w:spacing w:line="360" w:lineRule="auto"/>
        <w:jc w:val="center"/>
        <w:rPr>
          <w:rFonts w:hint="eastAsia" w:ascii="仿宋" w:hAnsi="仿宋" w:eastAsia="仿宋" w:cs="仿宋"/>
          <w:b/>
          <w:bCs/>
          <w:color w:val="auto"/>
          <w:sz w:val="28"/>
          <w:highlight w:val="none"/>
          <w:shd w:val="clear" w:color="auto" w:fill="FFFFFF"/>
          <w:lang w:eastAsia="zh-CN"/>
        </w:rPr>
      </w:pPr>
      <w:r>
        <w:rPr>
          <w:rFonts w:hint="eastAsia" w:ascii="仿宋" w:hAnsi="仿宋" w:eastAsia="仿宋" w:cs="仿宋"/>
          <w:b/>
          <w:bCs/>
          <w:color w:val="auto"/>
          <w:sz w:val="28"/>
          <w:highlight w:val="none"/>
          <w:shd w:val="clear" w:color="auto" w:fill="FFFFFF"/>
        </w:rPr>
        <w:t>项目编号：</w:t>
      </w:r>
      <w:r>
        <w:rPr>
          <w:rFonts w:hint="eastAsia" w:ascii="仿宋" w:hAnsi="仿宋" w:eastAsia="仿宋" w:cs="仿宋"/>
          <w:b/>
          <w:bCs/>
          <w:color w:val="auto"/>
          <w:sz w:val="28"/>
          <w:highlight w:val="none"/>
          <w:shd w:val="clear" w:color="auto" w:fill="FFFFFF"/>
          <w:lang w:eastAsia="zh-CN"/>
        </w:rPr>
        <w:t>SDGP371700000202402000523</w:t>
      </w:r>
    </w:p>
    <w:p>
      <w:pPr>
        <w:autoSpaceDE w:val="0"/>
        <w:autoSpaceDN w:val="0"/>
        <w:adjustRightInd w:val="0"/>
        <w:spacing w:line="360" w:lineRule="auto"/>
        <w:rPr>
          <w:rFonts w:hint="eastAsia" w:ascii="仿宋" w:hAnsi="仿宋" w:eastAsia="仿宋" w:cs="仿宋"/>
          <w:b/>
          <w:bCs/>
          <w:color w:val="auto"/>
          <w:sz w:val="24"/>
          <w:highlight w:val="none"/>
        </w:rPr>
      </w:pPr>
    </w:p>
    <w:p>
      <w:pPr>
        <w:pStyle w:val="3"/>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58"/>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3"/>
        <w:rPr>
          <w:rFonts w:hint="eastAsia" w:ascii="仿宋" w:hAnsi="仿宋" w:eastAsia="仿宋" w:cs="仿宋"/>
          <w:color w:val="auto"/>
          <w:highlight w:val="none"/>
        </w:rPr>
      </w:pPr>
    </w:p>
    <w:p>
      <w:pPr>
        <w:rPr>
          <w:rFonts w:hint="eastAsia" w:ascii="仿宋" w:hAnsi="仿宋" w:eastAsia="仿宋" w:cs="仿宋"/>
          <w:color w:val="auto"/>
          <w:highlight w:val="none"/>
        </w:rPr>
      </w:pPr>
    </w:p>
    <w:p>
      <w:pPr>
        <w:autoSpaceDE w:val="0"/>
        <w:autoSpaceDN w:val="0"/>
        <w:adjustRightInd w:val="0"/>
        <w:spacing w:line="360" w:lineRule="auto"/>
        <w:ind w:left="840" w:leftChars="400" w:firstLine="723" w:firstLineChars="300"/>
        <w:rPr>
          <w:rFonts w:hint="eastAsia" w:ascii="仿宋" w:hAnsi="仿宋" w:eastAsia="仿宋" w:cs="仿宋"/>
          <w:b/>
          <w:bCs/>
          <w:color w:val="auto"/>
          <w:sz w:val="24"/>
          <w:highlight w:val="none"/>
        </w:rPr>
      </w:pPr>
    </w:p>
    <w:p>
      <w:pPr>
        <w:autoSpaceDE w:val="0"/>
        <w:autoSpaceDN w:val="0"/>
        <w:adjustRightInd w:val="0"/>
        <w:spacing w:line="360" w:lineRule="auto"/>
        <w:ind w:left="840" w:leftChars="400" w:firstLine="964" w:firstLineChars="400"/>
        <w:rPr>
          <w:rFonts w:hint="eastAsia" w:ascii="仿宋" w:hAnsi="仿宋" w:eastAsia="仿宋" w:cs="仿宋"/>
          <w:b/>
          <w:bCs/>
          <w:color w:val="auto"/>
          <w:sz w:val="28"/>
          <w:szCs w:val="28"/>
          <w:highlight w:val="none"/>
          <w:u w:val="single"/>
          <w:lang w:val="zh-CN"/>
        </w:rPr>
      </w:pP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8"/>
          <w:szCs w:val="28"/>
          <w:highlight w:val="none"/>
        </w:rPr>
        <w:t xml:space="preserve"> 采   购  </w:t>
      </w:r>
      <w:r>
        <w:rPr>
          <w:rFonts w:hint="eastAsia" w:ascii="仿宋" w:hAnsi="仿宋" w:eastAsia="仿宋" w:cs="仿宋"/>
          <w:b/>
          <w:bCs/>
          <w:color w:val="auto"/>
          <w:sz w:val="28"/>
          <w:szCs w:val="28"/>
          <w:highlight w:val="none"/>
          <w:lang w:val="zh-CN"/>
        </w:rPr>
        <w:t>人： 菏泽市立医院</w:t>
      </w:r>
    </w:p>
    <w:p>
      <w:pPr>
        <w:autoSpaceDE w:val="0"/>
        <w:autoSpaceDN w:val="0"/>
        <w:adjustRightInd w:val="0"/>
        <w:spacing w:line="360" w:lineRule="auto"/>
        <w:ind w:left="840" w:leftChars="400" w:firstLine="1124" w:firstLineChars="40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采购代理机构：</w:t>
      </w:r>
      <w:r>
        <w:rPr>
          <w:rFonts w:hint="eastAsia" w:ascii="仿宋" w:hAnsi="仿宋" w:eastAsia="仿宋" w:cs="仿宋"/>
          <w:b/>
          <w:bCs/>
          <w:color w:val="auto"/>
          <w:sz w:val="28"/>
          <w:szCs w:val="28"/>
          <w:highlight w:val="none"/>
        </w:rPr>
        <w:t>山东拓达项目管理有限公司</w:t>
      </w:r>
    </w:p>
    <w:p>
      <w:pPr>
        <w:spacing w:line="360" w:lineRule="auto"/>
        <w:ind w:firstLine="1968" w:firstLineChars="700"/>
        <w:rPr>
          <w:rFonts w:hint="eastAsia" w:ascii="仿宋" w:hAnsi="仿宋" w:eastAsia="仿宋" w:cs="仿宋"/>
          <w:b/>
          <w:color w:val="auto"/>
          <w:sz w:val="28"/>
          <w:szCs w:val="28"/>
          <w:highlight w:val="none"/>
        </w:rPr>
        <w:sectPr>
          <w:headerReference r:id="rId4" w:type="first"/>
          <w:footerReference r:id="rId6" w:type="first"/>
          <w:headerReference r:id="rId3" w:type="default"/>
          <w:footerReference r:id="rId5" w:type="default"/>
          <w:pgSz w:w="11906" w:h="16838"/>
          <w:pgMar w:top="1440" w:right="1080" w:bottom="1440" w:left="1080" w:header="851" w:footer="1040" w:gutter="0"/>
          <w:pgNumType w:fmt="decimal"/>
          <w:cols w:space="720" w:num="1"/>
          <w:docGrid w:type="lines" w:linePitch="312" w:charSpace="0"/>
        </w:sectPr>
      </w:pPr>
      <w:r>
        <w:rPr>
          <w:rFonts w:hint="eastAsia" w:ascii="仿宋" w:hAnsi="仿宋" w:eastAsia="仿宋" w:cs="仿宋"/>
          <w:b/>
          <w:color w:val="auto"/>
          <w:sz w:val="28"/>
          <w:szCs w:val="28"/>
          <w:highlight w:val="none"/>
        </w:rPr>
        <w:t>日        期：  二〇二</w:t>
      </w:r>
      <w:r>
        <w:rPr>
          <w:rFonts w:hint="eastAsia" w:ascii="仿宋" w:hAnsi="仿宋" w:eastAsia="仿宋" w:cs="仿宋"/>
          <w:b/>
          <w:color w:val="auto"/>
          <w:sz w:val="28"/>
          <w:szCs w:val="28"/>
          <w:highlight w:val="none"/>
          <w:lang w:eastAsia="zh-CN"/>
        </w:rPr>
        <w:t>五</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月</w:t>
      </w:r>
    </w:p>
    <w:p>
      <w:pPr>
        <w:widowControl/>
        <w:spacing w:line="360" w:lineRule="auto"/>
        <w:jc w:val="left"/>
        <w:rPr>
          <w:rFonts w:hint="eastAsia" w:ascii="仿宋" w:hAnsi="仿宋" w:eastAsia="仿宋" w:cs="仿宋"/>
          <w:color w:val="auto"/>
          <w:kern w:val="44"/>
          <w:sz w:val="24"/>
          <w:highlight w:val="none"/>
        </w:rPr>
      </w:pPr>
      <w:bookmarkStart w:id="0" w:name="_Toc2945"/>
    </w:p>
    <w:p>
      <w:pPr>
        <w:spacing w:line="480" w:lineRule="auto"/>
        <w:jc w:val="center"/>
        <w:rPr>
          <w:rFonts w:hint="eastAsia" w:ascii="仿宋" w:hAnsi="仿宋" w:eastAsia="仿宋" w:cs="仿宋"/>
          <w:color w:val="auto"/>
          <w:sz w:val="36"/>
          <w:szCs w:val="44"/>
          <w:highlight w:val="none"/>
        </w:rPr>
      </w:pPr>
      <w:r>
        <w:rPr>
          <w:rFonts w:hint="eastAsia" w:ascii="仿宋" w:hAnsi="仿宋" w:eastAsia="仿宋" w:cs="仿宋"/>
          <w:color w:val="auto"/>
          <w:sz w:val="36"/>
          <w:szCs w:val="44"/>
          <w:highlight w:val="none"/>
        </w:rPr>
        <w:t>目  录</w:t>
      </w:r>
    </w:p>
    <w:p>
      <w:pPr>
        <w:pStyle w:val="55"/>
        <w:tabs>
          <w:tab w:val="right" w:leader="dot" w:pos="9746"/>
        </w:tabs>
        <w:spacing w:line="600" w:lineRule="auto"/>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"1-1"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"_Toc7655"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第一章 竞争性磋商公告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_Toc7655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5"/>
        <w:tabs>
          <w:tab w:val="right" w:leader="dot" w:pos="9746"/>
        </w:tabs>
        <w:spacing w:line="600" w:lineRule="auto"/>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"_Toc6817"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第二章 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_Toc6817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5"/>
        <w:tabs>
          <w:tab w:val="right" w:leader="dot" w:pos="9746"/>
        </w:tabs>
        <w:spacing w:line="600" w:lineRule="auto"/>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"_Toc25630"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第三章 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_Toc25630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5"/>
        <w:tabs>
          <w:tab w:val="right" w:leader="dot" w:pos="9746"/>
        </w:tabs>
        <w:spacing w:line="600" w:lineRule="auto"/>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"_Toc14978"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第四章 合同书格式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_Toc14978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5"/>
        <w:tabs>
          <w:tab w:val="right" w:leader="dot" w:pos="9746"/>
        </w:tabs>
        <w:spacing w:line="600" w:lineRule="auto"/>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"_Toc13184" </w:instrText>
      </w:r>
      <w:r>
        <w:rPr>
          <w:rFonts w:hint="eastAsia" w:ascii="仿宋" w:hAnsi="仿宋" w:eastAsia="仿宋" w:cs="仿宋"/>
          <w:color w:val="auto"/>
          <w:highlight w:val="none"/>
        </w:rPr>
        <w:fldChar w:fldCharType="separate"/>
      </w:r>
      <w:r>
        <w:rPr>
          <w:rFonts w:hint="eastAsia" w:ascii="仿宋" w:hAnsi="仿宋" w:eastAsia="仿宋" w:cs="仿宋"/>
          <w:color w:val="auto"/>
          <w:kern w:val="2"/>
          <w:sz w:val="28"/>
          <w:szCs w:val="28"/>
          <w:highlight w:val="none"/>
        </w:rPr>
        <w:t xml:space="preserve">第五章 </w:t>
      </w:r>
      <w:r>
        <w:rPr>
          <w:rFonts w:hint="eastAsia" w:ascii="仿宋" w:hAnsi="仿宋" w:eastAsia="仿宋" w:cs="仿宋"/>
          <w:color w:val="auto"/>
          <w:kern w:val="2"/>
          <w:sz w:val="28"/>
          <w:szCs w:val="28"/>
          <w:highlight w:val="none"/>
          <w:lang w:eastAsia="zh-CN"/>
        </w:rPr>
        <w:t>技术</w:t>
      </w:r>
      <w:r>
        <w:rPr>
          <w:rFonts w:hint="eastAsia" w:ascii="仿宋" w:hAnsi="仿宋" w:eastAsia="仿宋" w:cs="仿宋"/>
          <w:color w:val="auto"/>
          <w:kern w:val="2"/>
          <w:sz w:val="28"/>
          <w:szCs w:val="28"/>
          <w:highlight w:val="none"/>
        </w:rPr>
        <w:t>标准及要求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_Toc13184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5"/>
        <w:tabs>
          <w:tab w:val="right" w:leader="dot" w:pos="9746"/>
        </w:tabs>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"_Toc1464"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第六章 响应文件格式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5"/>
        <w:tabs>
          <w:tab w:val="right" w:leader="dot" w:pos="9746"/>
        </w:tabs>
        <w:spacing w:line="480" w:lineRule="auto"/>
        <w:rPr>
          <w:rFonts w:hint="eastAsia" w:ascii="仿宋" w:hAnsi="仿宋" w:eastAsia="仿宋" w:cs="仿宋"/>
          <w:color w:val="auto"/>
          <w:sz w:val="24"/>
          <w:szCs w:val="24"/>
          <w:highlight w:val="none"/>
        </w:rPr>
      </w:pPr>
    </w:p>
    <w:p>
      <w:pPr>
        <w:widowControl/>
        <w:spacing w:line="360" w:lineRule="auto"/>
        <w:jc w:val="left"/>
        <w:rPr>
          <w:rFonts w:hint="eastAsia" w:ascii="仿宋" w:hAnsi="仿宋" w:eastAsia="仿宋" w:cs="仿宋"/>
          <w:color w:val="auto"/>
          <w:kern w:val="44"/>
          <w:sz w:val="24"/>
          <w:highlight w:val="none"/>
        </w:rPr>
      </w:pPr>
      <w:r>
        <w:rPr>
          <w:rFonts w:hint="eastAsia" w:ascii="仿宋" w:hAnsi="仿宋" w:eastAsia="仿宋" w:cs="仿宋"/>
          <w:color w:val="auto"/>
          <w:sz w:val="24"/>
          <w:highlight w:val="none"/>
        </w:rPr>
        <w:fldChar w:fldCharType="end"/>
      </w:r>
    </w:p>
    <w:p>
      <w:pPr>
        <w:pStyle w:val="47"/>
        <w:spacing w:before="0" w:line="360" w:lineRule="auto"/>
        <w:rPr>
          <w:rFonts w:hint="eastAsia" w:ascii="仿宋" w:hAnsi="仿宋" w:eastAsia="仿宋" w:cs="仿宋"/>
          <w:b w:val="0"/>
          <w:bCs w:val="0"/>
          <w:color w:val="auto"/>
          <w:kern w:val="44"/>
          <w:sz w:val="24"/>
          <w:szCs w:val="24"/>
          <w:highlight w:val="none"/>
        </w:rPr>
      </w:pPr>
    </w:p>
    <w:p>
      <w:pPr>
        <w:widowControl/>
        <w:spacing w:line="360" w:lineRule="auto"/>
        <w:jc w:val="left"/>
        <w:rPr>
          <w:rFonts w:hint="eastAsia" w:ascii="仿宋" w:hAnsi="仿宋" w:eastAsia="仿宋" w:cs="仿宋"/>
          <w:b/>
          <w:bCs/>
          <w:color w:val="auto"/>
          <w:kern w:val="44"/>
          <w:sz w:val="24"/>
          <w:highlight w:val="none"/>
        </w:rPr>
      </w:pPr>
    </w:p>
    <w:bookmarkEnd w:id="0"/>
    <w:p>
      <w:pPr>
        <w:pStyle w:val="2"/>
        <w:numPr>
          <w:ilvl w:val="0"/>
          <w:numId w:val="1"/>
        </w:numPr>
        <w:rPr>
          <w:rFonts w:hint="eastAsia" w:ascii="仿宋" w:hAnsi="仿宋" w:eastAsia="仿宋" w:cs="仿宋"/>
          <w:color w:val="auto"/>
          <w:highlight w:val="none"/>
        </w:rPr>
        <w:sectPr>
          <w:headerReference r:id="rId7" w:type="default"/>
          <w:footerReference r:id="rId8" w:type="default"/>
          <w:pgSz w:w="11906" w:h="16838"/>
          <w:pgMar w:top="1440" w:right="1080" w:bottom="1440" w:left="1080" w:header="1020" w:footer="992" w:gutter="0"/>
          <w:pgNumType w:fmt="decimal"/>
          <w:cols w:space="720" w:num="1"/>
          <w:docGrid w:type="lines" w:linePitch="312" w:charSpace="0"/>
        </w:sectPr>
      </w:pPr>
    </w:p>
    <w:p>
      <w:pPr>
        <w:pStyle w:val="2"/>
        <w:numPr>
          <w:ilvl w:val="0"/>
          <w:numId w:val="1"/>
        </w:numPr>
        <w:spacing w:before="156" w:beforeLines="50" w:after="156" w:afterLines="50"/>
        <w:rPr>
          <w:rFonts w:hint="eastAsia" w:ascii="仿宋" w:hAnsi="仿宋" w:eastAsia="仿宋" w:cs="仿宋"/>
          <w:color w:val="auto"/>
          <w:highlight w:val="none"/>
        </w:rPr>
      </w:pPr>
      <w:bookmarkStart w:id="1" w:name="_Toc4869"/>
      <w:bookmarkStart w:id="2" w:name="_Toc7655"/>
      <w:bookmarkStart w:id="3" w:name="_Toc16347"/>
      <w:bookmarkStart w:id="4" w:name="_Toc6701"/>
      <w:bookmarkStart w:id="5" w:name="_Toc16676"/>
      <w:bookmarkStart w:id="6" w:name="_Toc30571"/>
      <w:bookmarkStart w:id="7" w:name="_Toc16024"/>
      <w:bookmarkStart w:id="8" w:name="_Toc8726"/>
      <w:bookmarkStart w:id="9" w:name="_Toc13233"/>
      <w:bookmarkStart w:id="10" w:name="_Toc2216"/>
      <w:bookmarkStart w:id="11" w:name="_Toc11774"/>
      <w:bookmarkStart w:id="12" w:name="_Toc317190696"/>
      <w:r>
        <w:rPr>
          <w:rFonts w:hint="eastAsia" w:ascii="仿宋" w:hAnsi="仿宋" w:eastAsia="仿宋" w:cs="仿宋"/>
          <w:color w:val="auto"/>
          <w:sz w:val="30"/>
          <w:szCs w:val="30"/>
          <w:highlight w:val="none"/>
        </w:rPr>
        <w:t>竞争性磋商公告</w:t>
      </w:r>
      <w:bookmarkEnd w:id="1"/>
      <w:bookmarkEnd w:id="2"/>
      <w:bookmarkEnd w:id="3"/>
      <w:bookmarkEnd w:id="4"/>
      <w:bookmarkEnd w:id="5"/>
      <w:bookmarkEnd w:id="6"/>
      <w:bookmarkEnd w:id="7"/>
      <w:bookmarkEnd w:id="8"/>
      <w:bookmarkEnd w:id="9"/>
      <w:bookmarkEnd w:id="10"/>
    </w:p>
    <w:p>
      <w:pPr>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876" w:type="dxa"/>
          </w:tcPr>
          <w:p>
            <w:pPr>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菏泽市立医院药物临床实验管理系统</w:t>
            </w:r>
            <w:r>
              <w:rPr>
                <w:rFonts w:hint="eastAsia" w:ascii="仿宋" w:hAnsi="仿宋" w:eastAsia="仿宋" w:cs="仿宋"/>
                <w:color w:val="auto"/>
                <w:sz w:val="24"/>
                <w:highlight w:val="none"/>
              </w:rPr>
              <w:t>的潜在供应商请登录中国山东政府采购网、</w:t>
            </w:r>
            <w:r>
              <w:rPr>
                <w:rFonts w:hint="eastAsia" w:ascii="仿宋" w:hAnsi="仿宋" w:eastAsia="仿宋" w:cs="仿宋"/>
                <w:color w:val="auto"/>
                <w:sz w:val="24"/>
                <w:highlight w:val="none"/>
                <w:lang w:eastAsia="zh-CN"/>
              </w:rPr>
              <w:t>菏泽市公共资源（国有产权）交易中心、</w:t>
            </w:r>
            <w:r>
              <w:rPr>
                <w:rFonts w:hint="eastAsia" w:ascii="仿宋" w:hAnsi="仿宋" w:eastAsia="仿宋" w:cs="仿宋"/>
                <w:color w:val="auto"/>
                <w:sz w:val="24"/>
                <w:highlight w:val="none"/>
              </w:rPr>
              <w:t>《赢标电子招标采购交易平台（菏泽专区）》http://hz.fzbidding.com/网站自行下载采购文件，并于</w:t>
            </w:r>
            <w:r>
              <w:rPr>
                <w:rFonts w:hint="eastAsia" w:ascii="仿宋" w:hAnsi="仿宋" w:eastAsia="仿宋" w:cs="仿宋"/>
                <w:color w:val="auto"/>
                <w:sz w:val="24"/>
                <w:highlight w:val="none"/>
                <w:lang w:eastAsia="zh-CN"/>
              </w:rPr>
              <w:t>2025年2月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点</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分（北京时间）前递交提交响应文件。</w:t>
            </w:r>
          </w:p>
        </w:tc>
      </w:tr>
    </w:tbl>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一、项目基本情况：</w:t>
      </w:r>
      <w:r>
        <w:rPr>
          <w:rFonts w:hint="eastAsia" w:ascii="仿宋" w:hAnsi="仿宋" w:eastAsia="仿宋" w:cs="仿宋"/>
          <w:color w:val="auto"/>
          <w:sz w:val="24"/>
          <w:highlight w:val="none"/>
        </w:rPr>
        <w:tab/>
      </w:r>
    </w:p>
    <w:p>
      <w:pPr>
        <w:spacing w:line="360" w:lineRule="auto"/>
        <w:ind w:firstLine="410" w:firstLineChars="171"/>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SDGP371700000202402000523</w:t>
      </w:r>
    </w:p>
    <w:p>
      <w:pPr>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菏泽市立医院药物临床实验管理系统</w:t>
      </w:r>
      <w:r>
        <w:rPr>
          <w:rFonts w:hint="eastAsia" w:ascii="仿宋" w:hAnsi="仿宋" w:eastAsia="仿宋" w:cs="仿宋"/>
          <w:color w:val="auto"/>
          <w:sz w:val="24"/>
          <w:highlight w:val="none"/>
        </w:rPr>
        <w:tab/>
      </w:r>
    </w:p>
    <w:p>
      <w:pPr>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采购方式：竞争性磋商</w:t>
      </w:r>
      <w:r>
        <w:rPr>
          <w:rFonts w:hint="eastAsia" w:ascii="仿宋" w:hAnsi="仿宋" w:eastAsia="仿宋" w:cs="仿宋"/>
          <w:color w:val="auto"/>
          <w:sz w:val="24"/>
          <w:highlight w:val="none"/>
        </w:rPr>
        <w:tab/>
      </w:r>
    </w:p>
    <w:p>
      <w:pPr>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w:t>
      </w:r>
      <w:r>
        <w:rPr>
          <w:rFonts w:hint="eastAsia" w:ascii="仿宋" w:hAnsi="仿宋" w:eastAsia="仿宋" w:cs="仿宋"/>
          <w:color w:val="auto"/>
          <w:sz w:val="24"/>
          <w:highlight w:val="none"/>
          <w:lang w:val="en-US" w:eastAsia="zh-CN"/>
        </w:rPr>
        <w:t>100</w:t>
      </w:r>
      <w:r>
        <w:rPr>
          <w:rFonts w:hint="eastAsia" w:ascii="仿宋" w:hAnsi="仿宋" w:eastAsia="仿宋" w:cs="仿宋"/>
          <w:color w:val="auto"/>
          <w:sz w:val="24"/>
          <w:highlight w:val="none"/>
        </w:rPr>
        <w:t>.00万元</w:t>
      </w:r>
    </w:p>
    <w:p>
      <w:pPr>
        <w:spacing w:line="360" w:lineRule="auto"/>
        <w:ind w:firstLine="410" w:firstLineChars="171"/>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采购需求：</w:t>
      </w:r>
      <w:r>
        <w:rPr>
          <w:rFonts w:hint="eastAsia" w:ascii="仿宋" w:hAnsi="仿宋" w:eastAsia="仿宋" w:cs="仿宋"/>
          <w:color w:val="auto"/>
          <w:sz w:val="24"/>
          <w:highlight w:val="none"/>
          <w:lang w:val="en-US" w:eastAsia="zh-CN"/>
        </w:rPr>
        <w:t>本项目为</w:t>
      </w:r>
      <w:r>
        <w:rPr>
          <w:rFonts w:hint="eastAsia" w:ascii="仿宋" w:hAnsi="仿宋" w:eastAsia="仿宋" w:cs="仿宋"/>
          <w:color w:val="auto"/>
          <w:sz w:val="24"/>
          <w:highlight w:val="none"/>
          <w:lang w:eastAsia="zh-CN"/>
        </w:rPr>
        <w:t>菏泽市立医院</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药物临床</w:t>
      </w:r>
      <w:r>
        <w:rPr>
          <w:rFonts w:hint="eastAsia" w:ascii="仿宋" w:hAnsi="仿宋" w:eastAsia="仿宋" w:cs="仿宋"/>
          <w:color w:val="auto"/>
          <w:sz w:val="24"/>
          <w:highlight w:val="none"/>
          <w:lang w:val="en-US" w:eastAsia="zh-CN"/>
        </w:rPr>
        <w:t>试验</w:t>
      </w:r>
      <w:r>
        <w:rPr>
          <w:rFonts w:hint="eastAsia" w:ascii="仿宋" w:hAnsi="仿宋" w:eastAsia="仿宋" w:cs="仿宋"/>
          <w:color w:val="auto"/>
          <w:sz w:val="24"/>
          <w:highlight w:val="none"/>
          <w:lang w:eastAsia="zh-CN"/>
        </w:rPr>
        <w:t>管理系统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具体</w:t>
      </w:r>
      <w:r>
        <w:rPr>
          <w:rFonts w:hint="eastAsia" w:ascii="仿宋" w:hAnsi="仿宋" w:eastAsia="仿宋" w:cs="仿宋"/>
          <w:color w:val="auto"/>
          <w:sz w:val="24"/>
          <w:highlight w:val="none"/>
        </w:rPr>
        <w:t>内容详见竞争性磋商文件</w:t>
      </w:r>
      <w:r>
        <w:rPr>
          <w:rFonts w:hint="eastAsia" w:ascii="仿宋" w:hAnsi="仿宋" w:eastAsia="仿宋" w:cs="仿宋"/>
          <w:color w:val="auto"/>
          <w:sz w:val="24"/>
          <w:highlight w:val="none"/>
          <w:lang w:val="en-US" w:eastAsia="zh-CN"/>
        </w:rPr>
        <w:t>技术标准及要求</w:t>
      </w:r>
      <w:r>
        <w:rPr>
          <w:rFonts w:hint="eastAsia" w:ascii="仿宋" w:hAnsi="仿宋" w:eastAsia="仿宋" w:cs="仿宋"/>
          <w:color w:val="auto"/>
          <w:sz w:val="24"/>
          <w:highlight w:val="none"/>
          <w:lang w:eastAsia="zh-CN"/>
        </w:rPr>
        <w:t>。</w:t>
      </w:r>
    </w:p>
    <w:p>
      <w:pPr>
        <w:spacing w:line="360" w:lineRule="auto"/>
        <w:ind w:firstLine="410" w:firstLineChars="171"/>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合同履行</w:t>
      </w:r>
      <w:r>
        <w:rPr>
          <w:rFonts w:hint="eastAsia" w:ascii="仿宋" w:hAnsi="仿宋" w:eastAsia="仿宋" w:cs="仿宋"/>
          <w:color w:val="auto"/>
          <w:sz w:val="24"/>
          <w:highlight w:val="none"/>
        </w:rPr>
        <w:t>期限：</w:t>
      </w:r>
      <w:r>
        <w:rPr>
          <w:rFonts w:hint="eastAsia" w:ascii="仿宋" w:hAnsi="仿宋" w:eastAsia="仿宋" w:cs="仿宋"/>
          <w:color w:val="auto"/>
          <w:sz w:val="24"/>
          <w:highlight w:val="none"/>
          <w:lang w:val="en-US" w:eastAsia="zh-CN"/>
        </w:rPr>
        <w:t>合同签订后180日历天。</w:t>
      </w:r>
    </w:p>
    <w:p>
      <w:pPr>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本项目不接受联合体投标。</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二、申请人的资格要求：</w:t>
      </w:r>
      <w:r>
        <w:rPr>
          <w:rFonts w:hint="eastAsia" w:ascii="仿宋" w:hAnsi="仿宋" w:eastAsia="仿宋" w:cs="仿宋"/>
          <w:color w:val="auto"/>
          <w:sz w:val="24"/>
          <w:highlight w:val="none"/>
        </w:rPr>
        <w:tab/>
      </w:r>
    </w:p>
    <w:p>
      <w:pPr>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w:t>
      </w:r>
      <w:r>
        <w:rPr>
          <w:rFonts w:hint="eastAsia" w:ascii="仿宋" w:hAnsi="仿宋" w:eastAsia="仿宋" w:cs="仿宋"/>
          <w:color w:val="auto"/>
          <w:sz w:val="24"/>
          <w:highlight w:val="none"/>
        </w:rPr>
        <w:tab/>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2、落实政府采购政策需满足的资格要求：按照财政部、工业和信息化部关于印发《政府采购促进中小企业发展管理办法》的通知（财库〔2020〕46 号）要求，</w:t>
      </w:r>
      <w:r>
        <w:rPr>
          <w:rFonts w:hint="eastAsia" w:ascii="仿宋" w:hAnsi="仿宋" w:eastAsia="仿宋" w:cs="仿宋"/>
          <w:b/>
          <w:bCs/>
          <w:color w:val="auto"/>
          <w:sz w:val="24"/>
          <w:highlight w:val="none"/>
        </w:rPr>
        <w:t>本项目专门面向中小企业采购，供应商必须出具《中小企业声明函》；</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3.1在中华人民共和国境内注册的独立法人单位，具有有效的营业执照，并具有履行合同所必须的设备和专业技术能力；</w:t>
      </w:r>
    </w:p>
    <w:p>
      <w:pPr>
        <w:spacing w:line="360" w:lineRule="auto"/>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供应商参加政府采购活动前三年内，在经营活动中没有重大违法记录；供应商未被列入失信被执行人名单、重大税收违法案件当事人名单、政府采购严重违法失信行为记录名单，信用信息以信用中国网站（www.creditchina.gov.cn）、中国政府采购网（www.ccgp.gov.cn）公布为准；</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单位负责人为同一人或者存在直接控股、管理关系的不同供应商，不得参加同一合同项下的政府采购活动；</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根据“关于实行政府采购供应商资格信用承诺制的通知（菏财采[2022]9号）”要求，供应商需提供资格信用承诺函 ，格式见附件；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本项目不接受联合体报价；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资格审查方式：资格后审。</w:t>
      </w:r>
      <w:r>
        <w:rPr>
          <w:rFonts w:hint="eastAsia" w:ascii="仿宋" w:hAnsi="仿宋" w:eastAsia="仿宋" w:cs="仿宋"/>
          <w:color w:val="auto"/>
          <w:sz w:val="24"/>
          <w:highlight w:val="none"/>
        </w:rPr>
        <w:tab/>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三、获取采购文件：</w:t>
      </w:r>
      <w:r>
        <w:rPr>
          <w:rFonts w:hint="eastAsia" w:ascii="仿宋" w:hAnsi="仿宋" w:eastAsia="仿宋" w:cs="仿宋"/>
          <w:color w:val="auto"/>
          <w:sz w:val="24"/>
          <w:highlight w:val="none"/>
        </w:rPr>
        <w:tab/>
      </w:r>
    </w:p>
    <w:p>
      <w:pPr>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1.时间：</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日08:</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0:00至</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日 17:</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0:00（北京时间，法定节假日除外）</w:t>
      </w:r>
      <w:r>
        <w:rPr>
          <w:rFonts w:hint="eastAsia" w:ascii="仿宋" w:hAnsi="仿宋" w:eastAsia="仿宋" w:cs="仿宋"/>
          <w:color w:val="auto"/>
          <w:sz w:val="24"/>
          <w:highlight w:val="none"/>
        </w:rPr>
        <w:tab/>
      </w:r>
    </w:p>
    <w:p>
      <w:pPr>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2.地点：潜在供应商请登录赢标平台菏泽专区http://hz.fzbidding.com/网站自行下载竞争性磋商文件。</w:t>
      </w:r>
      <w:r>
        <w:rPr>
          <w:rFonts w:hint="eastAsia" w:ascii="仿宋" w:hAnsi="仿宋" w:eastAsia="仿宋" w:cs="仿宋"/>
          <w:color w:val="auto"/>
          <w:sz w:val="24"/>
          <w:highlight w:val="none"/>
        </w:rPr>
        <w:tab/>
      </w:r>
    </w:p>
    <w:p>
      <w:pPr>
        <w:wordWrap w:val="0"/>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3.方式：①赢标平台菏泽专区下载方式：潜在供应商请于202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 xml:space="preserve">日17时30分前（北京时间）登录赢标平台菏泽专区http://hz.fzbidding.com/注册账号并登录系统下载采购文件，未在赢标平台菏泽专区注册或者只注册未登录系统下载采购文件的供应商不具备参与本项目的资格。②中国山东政府采购网(山东省政府采购信息公开平台)注册：潜在供应商需登录中国山东政府采购网(山东省政府采购信息公开平台)注册账号。③本项目为网上交易，提交电子版报价文件需使用赢标平台——投标客户端经过ca锁进行加密，加密后生成的电子报价文件方可上传提交，网站的注册及CA的办理过程需一定时间周期，供应商务必在报价截止时间前提前三天进行网站的注册及CA办理完成，以免造成报价失败。未及时进行网站注册及CA办理的供应商所造成的报价失败，后果由其自负。④采购文件一经在中国山东政府采购网、赢标平台菏泽专区http://hz.fzbidding.com/发布，视作已发放给所有供应商（发布时间即为发出采购文件的时间），各供应商应随时关注项目信息并及时在中国山东政府采购网、赢标平台菏泽专区http://hz.fzbidding.com/下载电子版采购文件和各类澄清答疑，否则所造成的一切后果由供应商自负。 </w:t>
      </w:r>
    </w:p>
    <w:p>
      <w:pPr>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4.售价：0</w:t>
      </w:r>
      <w:r>
        <w:rPr>
          <w:rFonts w:hint="eastAsia" w:ascii="仿宋" w:hAnsi="仿宋" w:eastAsia="仿宋" w:cs="仿宋"/>
          <w:color w:val="auto"/>
          <w:sz w:val="24"/>
          <w:highlight w:val="none"/>
        </w:rPr>
        <w:tab/>
      </w:r>
    </w:p>
    <w:p>
      <w:pPr>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四、响应文件提交：</w:t>
      </w:r>
      <w:r>
        <w:rPr>
          <w:rFonts w:hint="eastAsia" w:ascii="仿宋" w:hAnsi="仿宋" w:eastAsia="仿宋" w:cs="仿宋"/>
          <w:color w:val="auto"/>
          <w:sz w:val="24"/>
          <w:highlight w:val="none"/>
        </w:rPr>
        <w:tab/>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1.截止时间：</w:t>
      </w:r>
      <w:r>
        <w:rPr>
          <w:rFonts w:hint="eastAsia" w:ascii="仿宋" w:hAnsi="仿宋" w:eastAsia="仿宋" w:cs="仿宋"/>
          <w:bCs/>
          <w:color w:val="auto"/>
          <w:sz w:val="24"/>
          <w:highlight w:val="none"/>
          <w:lang w:eastAsia="zh-CN"/>
        </w:rPr>
        <w:t>2025年2月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点</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w:t>
      </w:r>
      <w:r>
        <w:rPr>
          <w:rFonts w:hint="eastAsia" w:ascii="仿宋" w:hAnsi="仿宋" w:eastAsia="仿宋" w:cs="仿宋"/>
          <w:bCs/>
          <w:color w:val="auto"/>
          <w:sz w:val="24"/>
          <w:highlight w:val="none"/>
        </w:rPr>
        <w:t>（北京时间）</w:t>
      </w:r>
    </w:p>
    <w:p>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2.地  点：赢标电子招标采购交易平台（菏泽专区）http://hz.fzbidding.com</w:t>
      </w:r>
      <w:r>
        <w:rPr>
          <w:rFonts w:hint="eastAsia" w:ascii="仿宋" w:hAnsi="仿宋" w:eastAsia="仿宋" w:cs="仿宋"/>
          <w:bCs/>
          <w:color w:val="auto"/>
          <w:sz w:val="24"/>
          <w:highlight w:val="none"/>
          <w:lang w:eastAsia="zh-CN"/>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五、开启：</w:t>
      </w:r>
      <w:r>
        <w:rPr>
          <w:rFonts w:hint="eastAsia" w:ascii="仿宋" w:hAnsi="仿宋" w:eastAsia="仿宋" w:cs="仿宋"/>
          <w:color w:val="auto"/>
          <w:sz w:val="24"/>
          <w:highlight w:val="none"/>
        </w:rPr>
        <w:tab/>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1.开启时间：</w:t>
      </w:r>
      <w:r>
        <w:rPr>
          <w:rFonts w:hint="eastAsia" w:ascii="仿宋" w:hAnsi="仿宋" w:eastAsia="仿宋" w:cs="仿宋"/>
          <w:bCs/>
          <w:color w:val="auto"/>
          <w:sz w:val="24"/>
          <w:highlight w:val="none"/>
          <w:lang w:eastAsia="zh-CN"/>
        </w:rPr>
        <w:t>2025年2月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点</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w:t>
      </w:r>
      <w:r>
        <w:rPr>
          <w:rFonts w:hint="eastAsia" w:ascii="仿宋" w:hAnsi="仿宋" w:eastAsia="仿宋" w:cs="仿宋"/>
          <w:bCs/>
          <w:color w:val="auto"/>
          <w:sz w:val="24"/>
          <w:highlight w:val="none"/>
        </w:rPr>
        <w:t>（北京时间）</w:t>
      </w:r>
      <w:r>
        <w:rPr>
          <w:rFonts w:hint="eastAsia" w:ascii="仿宋" w:hAnsi="仿宋" w:eastAsia="仿宋" w:cs="仿宋"/>
          <w:bCs/>
          <w:color w:val="auto"/>
          <w:sz w:val="24"/>
          <w:highlight w:val="none"/>
        </w:rPr>
        <w:tab/>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rPr>
        <w:t>2.开</w:t>
      </w:r>
      <w:r>
        <w:rPr>
          <w:rFonts w:hint="eastAsia" w:ascii="仿宋" w:hAnsi="仿宋" w:eastAsia="仿宋" w:cs="仿宋"/>
          <w:color w:val="auto"/>
          <w:sz w:val="24"/>
          <w:highlight w:val="none"/>
        </w:rPr>
        <w:t>启地点：</w:t>
      </w:r>
      <w:r>
        <w:rPr>
          <w:rFonts w:hint="eastAsia" w:ascii="仿宋" w:hAnsi="仿宋" w:eastAsia="仿宋" w:cs="仿宋"/>
          <w:color w:val="auto"/>
          <w:sz w:val="24"/>
          <w:highlight w:val="none"/>
          <w:lang w:val="zh-CN"/>
        </w:rPr>
        <w:t>赢标电子招标采购交易平台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菏泽专区</w:t>
      </w:r>
      <w:r>
        <w:rPr>
          <w:rFonts w:hint="eastAsia" w:ascii="仿宋" w:hAnsi="仿宋" w:eastAsia="仿宋" w:cs="仿宋"/>
          <w:color w:val="auto"/>
          <w:sz w:val="24"/>
          <w:highlight w:val="none"/>
        </w:rPr>
        <w:t>）http://hz.fzbidding.com</w:t>
      </w:r>
      <w:r>
        <w:rPr>
          <w:rFonts w:hint="eastAsia" w:ascii="仿宋" w:hAnsi="仿宋" w:eastAsia="仿宋" w:cs="仿宋"/>
          <w:color w:val="auto"/>
          <w:sz w:val="24"/>
          <w:highlight w:val="none"/>
          <w:lang w:eastAsia="zh-CN"/>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六、公告期限：自本公告发布之日起5个工作日。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七、其他补充事宜： </w:t>
      </w:r>
    </w:p>
    <w:p>
      <w:pPr>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发布公告媒介：中国山东政府采购网、菏泽市公共资源（国有产权）交易平台、赢标电子招标采购交易平台（菏泽专区）。</w:t>
      </w:r>
    </w:p>
    <w:p>
      <w:pPr>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重要说明：</w:t>
      </w:r>
      <w:r>
        <w:rPr>
          <w:rFonts w:hint="eastAsia" w:ascii="仿宋" w:hAnsi="仿宋" w:eastAsia="仿宋" w:cs="仿宋"/>
          <w:color w:val="auto"/>
          <w:sz w:val="24"/>
          <w:highlight w:val="none"/>
        </w:rPr>
        <w:t>1.网站响应文件的制作过程需一定的学习时间，供应商务必在开标截止时间前进行投标相关文件的上传，以免造成投标失败。</w:t>
      </w:r>
    </w:p>
    <w:p>
      <w:pPr>
        <w:numPr>
          <w:ilvl w:val="0"/>
          <w:numId w:val="2"/>
        </w:numPr>
        <w:spacing w:line="360" w:lineRule="auto"/>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实行网上不见面开标，供应商无需现场递交响应文件，解密时间：开标后30分钟；若供应商在解密规定时间内未完成电子标解密操作，视为放弃该项目投标。电子开标过程出现故障时，按相关部门的规定处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八、对本次招标提出询问，请按以下方式联系： </w:t>
      </w:r>
    </w:p>
    <w:p>
      <w:pPr>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1、采购人信息 </w:t>
      </w:r>
    </w:p>
    <w:p>
      <w:pPr>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称：菏泽市立医院</w:t>
      </w:r>
    </w:p>
    <w:p>
      <w:pPr>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址：菏泽市牡丹区曹州路2888号   </w:t>
      </w:r>
    </w:p>
    <w:p>
      <w:pPr>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zh-TW" w:eastAsia="zh-CN"/>
        </w:rPr>
        <w:t>侯女士</w:t>
      </w:r>
      <w:r>
        <w:rPr>
          <w:rFonts w:hint="eastAsia" w:ascii="仿宋" w:hAnsi="仿宋" w:eastAsia="仿宋" w:cs="仿宋"/>
          <w:color w:val="auto"/>
          <w:sz w:val="24"/>
          <w:highlight w:val="none"/>
          <w:lang w:val="zh-TW" w:eastAsia="zh-TW"/>
        </w:rPr>
        <w:t>、</w:t>
      </w:r>
      <w:r>
        <w:rPr>
          <w:rFonts w:hint="eastAsia" w:ascii="仿宋" w:hAnsi="仿宋" w:eastAsia="仿宋" w:cs="仿宋"/>
          <w:color w:val="auto"/>
          <w:sz w:val="24"/>
          <w:highlight w:val="none"/>
          <w:lang w:val="zh-TW" w:eastAsia="zh-CN"/>
        </w:rPr>
        <w:t>王女士</w:t>
      </w:r>
      <w:r>
        <w:rPr>
          <w:rFonts w:hint="eastAsia" w:ascii="仿宋" w:hAnsi="仿宋" w:eastAsia="仿宋" w:cs="仿宋"/>
          <w:color w:val="auto"/>
          <w:sz w:val="24"/>
          <w:highlight w:val="none"/>
          <w:lang w:val="zh-TW" w:eastAsia="zh-TW"/>
        </w:rPr>
        <w:t xml:space="preserve">  </w:t>
      </w:r>
      <w:r>
        <w:rPr>
          <w:rFonts w:hint="eastAsia" w:ascii="仿宋" w:hAnsi="仿宋" w:eastAsia="仿宋" w:cs="仿宋"/>
          <w:color w:val="auto"/>
          <w:sz w:val="24"/>
          <w:highlight w:val="none"/>
        </w:rPr>
        <w:t xml:space="preserve">联系方式：0530-5599020     </w:t>
      </w:r>
    </w:p>
    <w:p>
      <w:pPr>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 </w:t>
      </w:r>
    </w:p>
    <w:p>
      <w:pPr>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称：山东拓达项目管理有限公司</w:t>
      </w:r>
    </w:p>
    <w:p>
      <w:pPr>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址：鄄城县舜王路与人民路交叉口往北288米路西</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联系人：刘经理</w:t>
      </w:r>
    </w:p>
    <w:p>
      <w:pPr>
        <w:spacing w:line="360" w:lineRule="auto"/>
        <w:ind w:firstLine="410" w:firstLineChars="171"/>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联系方式：</w:t>
      </w:r>
      <w:r>
        <w:rPr>
          <w:rFonts w:hint="eastAsia" w:ascii="仿宋" w:hAnsi="仿宋" w:eastAsia="仿宋" w:cs="仿宋"/>
          <w:color w:val="auto"/>
          <w:sz w:val="24"/>
          <w:highlight w:val="none"/>
          <w:lang w:eastAsia="zh-CN"/>
        </w:rPr>
        <w:t>17563080260</w:t>
      </w:r>
    </w:p>
    <w:p>
      <w:pPr>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3、项目联系方式 </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联系人：刘经理    联系方式：</w:t>
      </w:r>
      <w:r>
        <w:rPr>
          <w:rFonts w:hint="eastAsia" w:ascii="仿宋" w:hAnsi="仿宋" w:eastAsia="仿宋" w:cs="仿宋"/>
          <w:color w:val="auto"/>
          <w:sz w:val="24"/>
          <w:highlight w:val="none"/>
          <w:lang w:eastAsia="zh-CN"/>
        </w:rPr>
        <w:t>17563080260</w:t>
      </w:r>
    </w:p>
    <w:p>
      <w:pPr>
        <w:spacing w:line="360" w:lineRule="auto"/>
        <w:ind w:right="706" w:firstLine="3120" w:firstLineChars="13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发 布 人：山东拓达项目管理有限公司</w:t>
      </w:r>
    </w:p>
    <w:p>
      <w:pPr>
        <w:spacing w:line="360" w:lineRule="auto"/>
        <w:ind w:right="706" w:firstLine="3120" w:firstLineChars="1300"/>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发布时间：</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日</w:t>
      </w:r>
      <w:r>
        <w:rPr>
          <w:rFonts w:hint="eastAsia" w:ascii="仿宋" w:hAnsi="仿宋" w:eastAsia="仿宋" w:cs="仿宋"/>
          <w:color w:val="auto"/>
          <w:kern w:val="0"/>
          <w:sz w:val="24"/>
          <w:highlight w:val="none"/>
        </w:rPr>
        <w:br w:type="page"/>
      </w:r>
    </w:p>
    <w:p>
      <w:pPr>
        <w:pageBreakBefore w:val="0"/>
        <w:widowControl/>
        <w:kinsoku/>
        <w:wordWrap/>
        <w:overflowPunct/>
        <w:topLinePunct w:val="0"/>
        <w:autoSpaceDE/>
        <w:autoSpaceDN/>
        <w:bidi w:val="0"/>
        <w:adjustRightInd w:val="0"/>
        <w:snapToGrid w:val="0"/>
        <w:spacing w:line="360" w:lineRule="auto"/>
        <w:jc w:val="center"/>
        <w:textAlignment w:val="auto"/>
        <w:outlineLvl w:val="0"/>
        <w:rPr>
          <w:rStyle w:val="39"/>
          <w:rFonts w:hint="eastAsia" w:ascii="仿宋" w:hAnsi="仿宋" w:eastAsia="仿宋" w:cs="仿宋"/>
          <w:color w:val="auto"/>
          <w:highlight w:val="none"/>
        </w:rPr>
      </w:pPr>
      <w:bookmarkStart w:id="13" w:name="_Toc17820"/>
      <w:bookmarkStart w:id="14" w:name="_Toc21516"/>
      <w:bookmarkStart w:id="15" w:name="_Toc11289"/>
      <w:bookmarkStart w:id="16" w:name="_Toc393"/>
      <w:bookmarkStart w:id="17" w:name="_Toc6817"/>
      <w:bookmarkStart w:id="18" w:name="_Toc15868"/>
      <w:bookmarkStart w:id="19" w:name="_Toc31868"/>
      <w:bookmarkStart w:id="20" w:name="_Toc18806"/>
      <w:bookmarkStart w:id="21" w:name="_Toc30889"/>
      <w:bookmarkStart w:id="22" w:name="_Toc27222"/>
      <w:bookmarkStart w:id="23" w:name="_Toc1195"/>
      <w:bookmarkStart w:id="24" w:name="_Toc524081072"/>
      <w:bookmarkStart w:id="25" w:name="_Toc3795"/>
      <w:bookmarkStart w:id="26" w:name="_Toc20935"/>
      <w:bookmarkStart w:id="27" w:name="_Toc15666"/>
      <w:bookmarkStart w:id="28" w:name="_Toc22628"/>
      <w:bookmarkStart w:id="29" w:name="_Toc12039"/>
      <w:r>
        <w:rPr>
          <w:rStyle w:val="39"/>
          <w:rFonts w:hint="eastAsia" w:ascii="仿宋" w:hAnsi="仿宋" w:eastAsia="仿宋" w:cs="仿宋"/>
          <w:color w:val="auto"/>
          <w:highlight w:val="none"/>
        </w:rPr>
        <w:t xml:space="preserve">第二章 </w:t>
      </w:r>
      <w:bookmarkEnd w:id="13"/>
      <w:bookmarkEnd w:id="14"/>
      <w:bookmarkEnd w:id="15"/>
      <w:bookmarkEnd w:id="16"/>
      <w:bookmarkEnd w:id="17"/>
      <w:bookmarkEnd w:id="18"/>
      <w:bookmarkEnd w:id="19"/>
      <w:bookmarkEnd w:id="20"/>
      <w:r>
        <w:rPr>
          <w:rStyle w:val="39"/>
          <w:rFonts w:hint="eastAsia" w:ascii="仿宋" w:hAnsi="仿宋" w:eastAsia="仿宋" w:cs="仿宋"/>
          <w:color w:val="auto"/>
          <w:highlight w:val="none"/>
        </w:rPr>
        <w:t>供应商须知</w:t>
      </w:r>
      <w:bookmarkEnd w:id="11"/>
      <w:bookmarkEnd w:id="12"/>
      <w:bookmarkEnd w:id="21"/>
      <w:bookmarkEnd w:id="22"/>
      <w:bookmarkEnd w:id="23"/>
      <w:bookmarkEnd w:id="24"/>
      <w:bookmarkEnd w:id="25"/>
      <w:bookmarkEnd w:id="26"/>
      <w:bookmarkEnd w:id="27"/>
      <w:bookmarkEnd w:id="28"/>
      <w:bookmarkEnd w:id="29"/>
    </w:p>
    <w:p>
      <w:pPr>
        <w:pStyle w:val="3"/>
        <w:pageBreakBefore w:val="0"/>
        <w:kinsoku/>
        <w:wordWrap/>
        <w:overflowPunct/>
        <w:topLinePunct w:val="0"/>
        <w:autoSpaceDE/>
        <w:autoSpaceDN/>
        <w:bidi w:val="0"/>
        <w:spacing w:before="0" w:after="0"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8"/>
          <w:szCs w:val="28"/>
          <w:highlight w:val="none"/>
        </w:rPr>
        <w:t>供应商须知前附表</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832"/>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3"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32"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 称</w:t>
            </w:r>
          </w:p>
        </w:tc>
        <w:tc>
          <w:tcPr>
            <w:tcW w:w="71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93"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7134" w:type="dxa"/>
            <w:vAlign w:val="center"/>
          </w:tcPr>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名    称：菏泽市立医院</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地址：菏泽市牡丹区曹州路2888号   </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联系人：</w:t>
            </w:r>
            <w:r>
              <w:rPr>
                <w:rFonts w:hint="eastAsia" w:ascii="仿宋" w:hAnsi="仿宋" w:eastAsia="仿宋" w:cs="仿宋"/>
                <w:color w:val="auto"/>
                <w:kern w:val="0"/>
                <w:sz w:val="24"/>
                <w:highlight w:val="none"/>
                <w:lang w:eastAsia="zh-CN"/>
              </w:rPr>
              <w:t>侯女士</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王女士</w:t>
            </w:r>
            <w:r>
              <w:rPr>
                <w:rFonts w:hint="eastAsia" w:ascii="仿宋" w:hAnsi="仿宋" w:eastAsia="仿宋" w:cs="仿宋"/>
                <w:color w:val="auto"/>
                <w:kern w:val="0"/>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联系方式：0530-5599020  </w:t>
            </w:r>
            <w:r>
              <w:rPr>
                <w:rFonts w:hint="eastAsia" w:ascii="仿宋" w:hAnsi="仿宋" w:eastAsia="仿宋" w:cs="仿宋"/>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793"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机构</w:t>
            </w:r>
          </w:p>
        </w:tc>
        <w:tc>
          <w:tcPr>
            <w:tcW w:w="7134" w:type="dxa"/>
            <w:vAlign w:val="center"/>
          </w:tcPr>
          <w:p>
            <w:pPr>
              <w:spacing w:line="360" w:lineRule="auto"/>
              <w:rPr>
                <w:rFonts w:hint="eastAsia" w:ascii="仿宋" w:hAnsi="仿宋" w:eastAsia="仿宋" w:cs="仿宋"/>
                <w:color w:val="auto"/>
                <w:kern w:val="0"/>
                <w:sz w:val="24"/>
                <w:highlight w:val="none"/>
              </w:rPr>
            </w:pPr>
            <w:bookmarkStart w:id="30" w:name="_Toc524081077"/>
            <w:r>
              <w:rPr>
                <w:rFonts w:hint="eastAsia" w:ascii="仿宋" w:hAnsi="仿宋" w:eastAsia="仿宋" w:cs="仿宋"/>
                <w:color w:val="auto"/>
                <w:kern w:val="0"/>
                <w:sz w:val="24"/>
                <w:highlight w:val="none"/>
              </w:rPr>
              <w:t>采购代理机构：</w:t>
            </w:r>
            <w:bookmarkEnd w:id="30"/>
            <w:r>
              <w:rPr>
                <w:rFonts w:hint="eastAsia" w:ascii="仿宋" w:hAnsi="仿宋" w:eastAsia="仿宋" w:cs="仿宋"/>
                <w:color w:val="auto"/>
                <w:kern w:val="0"/>
                <w:sz w:val="24"/>
                <w:highlight w:val="none"/>
              </w:rPr>
              <w:t>山东拓达项目管理有限公司</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地址：鄄城县舜王路与人民路交叉口往北288米路西</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联系人：刘经理</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eastAsia="zh-CN"/>
              </w:rPr>
              <w:t>17563080260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93"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7134" w:type="dxa"/>
            <w:vAlign w:val="center"/>
          </w:tcPr>
          <w:p>
            <w:pPr>
              <w:spacing w:line="36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菏泽市立医院药物临床实验管理系统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32" w:type="dxa"/>
          </w:tcPr>
          <w:p>
            <w:pPr>
              <w:pStyle w:val="57"/>
              <w:spacing w:before="117"/>
              <w:ind w:left="108"/>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bidi="ar-SA"/>
              </w:rPr>
              <w:t>服务地点</w:t>
            </w:r>
          </w:p>
        </w:tc>
        <w:tc>
          <w:tcPr>
            <w:tcW w:w="7134" w:type="dxa"/>
          </w:tcPr>
          <w:p>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kern w:val="0"/>
                <w:sz w:val="24"/>
                <w:highlight w:val="none"/>
                <w:lang w:eastAsia="zh-CN"/>
              </w:rPr>
              <w:t>菏泽市立医院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资金来源</w:t>
            </w:r>
          </w:p>
        </w:tc>
        <w:tc>
          <w:tcPr>
            <w:tcW w:w="7134" w:type="dxa"/>
            <w:vAlign w:val="center"/>
          </w:tcPr>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93"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资金落实</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情况</w:t>
            </w:r>
          </w:p>
        </w:tc>
        <w:tc>
          <w:tcPr>
            <w:tcW w:w="7134" w:type="dxa"/>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93"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采购服务内容</w:t>
            </w:r>
          </w:p>
        </w:tc>
        <w:tc>
          <w:tcPr>
            <w:tcW w:w="7134" w:type="dxa"/>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具体内容详见第五章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93"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32" w:type="dxa"/>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合同履行期限</w:t>
            </w:r>
          </w:p>
        </w:tc>
        <w:tc>
          <w:tcPr>
            <w:tcW w:w="7134" w:type="dxa"/>
          </w:tcPr>
          <w:p>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合同签订后180日历天。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93" w:type="dxa"/>
            <w:vAlign w:val="center"/>
          </w:tcPr>
          <w:p>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8.1</w:t>
            </w:r>
          </w:p>
        </w:tc>
        <w:tc>
          <w:tcPr>
            <w:tcW w:w="1832" w:type="dxa"/>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维保服务期</w:t>
            </w:r>
          </w:p>
        </w:tc>
        <w:tc>
          <w:tcPr>
            <w:tcW w:w="7134" w:type="dxa"/>
          </w:tcPr>
          <w:p>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32" w:type="dxa"/>
          </w:tcPr>
          <w:p>
            <w:pPr>
              <w:spacing w:line="360" w:lineRule="auto"/>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eastAsia="zh-CN"/>
              </w:rPr>
              <w:t>标准</w:t>
            </w:r>
          </w:p>
        </w:tc>
        <w:tc>
          <w:tcPr>
            <w:tcW w:w="7134" w:type="dxa"/>
          </w:tcPr>
          <w:p>
            <w:pPr>
              <w:pStyle w:val="57"/>
              <w:spacing w:before="4" w:line="398" w:lineRule="exact"/>
              <w:ind w:right="95"/>
              <w:jc w:val="left"/>
              <w:rPr>
                <w:rFonts w:hint="eastAsia" w:ascii="仿宋" w:hAnsi="仿宋" w:eastAsia="仿宋" w:cs="仿宋"/>
                <w:color w:val="auto"/>
                <w:sz w:val="24"/>
                <w:highlight w:val="none"/>
                <w:lang w:val="en-US"/>
              </w:rPr>
            </w:pPr>
            <w:r>
              <w:rPr>
                <w:rFonts w:hint="eastAsia" w:ascii="仿宋" w:hAnsi="仿宋" w:eastAsia="仿宋" w:cs="仿宋"/>
                <w:color w:val="auto"/>
                <w:kern w:val="0"/>
                <w:sz w:val="24"/>
                <w:highlight w:val="none"/>
                <w:lang w:val="en-US" w:bidi="ar-SA"/>
              </w:rPr>
              <w:t xml:space="preserve">符合国家标准、行业标准及采购文件“第五章 </w:t>
            </w:r>
            <w:r>
              <w:rPr>
                <w:rFonts w:hint="eastAsia" w:ascii="仿宋" w:hAnsi="仿宋" w:eastAsia="仿宋" w:cs="仿宋"/>
                <w:color w:val="auto"/>
                <w:kern w:val="0"/>
                <w:sz w:val="24"/>
                <w:highlight w:val="none"/>
                <w:lang w:val="en-US" w:eastAsia="zh-CN" w:bidi="ar-SA"/>
              </w:rPr>
              <w:t>技术</w:t>
            </w:r>
            <w:r>
              <w:rPr>
                <w:rFonts w:hint="eastAsia" w:ascii="仿宋" w:hAnsi="仿宋" w:eastAsia="仿宋" w:cs="仿宋"/>
                <w:color w:val="auto"/>
                <w:kern w:val="0"/>
                <w:sz w:val="24"/>
                <w:highlight w:val="none"/>
                <w:lang w:val="en-US" w:bidi="ar-SA"/>
              </w:rPr>
              <w:t>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供应商资格要求</w:t>
            </w:r>
          </w:p>
        </w:tc>
        <w:tc>
          <w:tcPr>
            <w:tcW w:w="7134" w:type="dxa"/>
            <w:vAlign w:val="center"/>
          </w:tcPr>
          <w:p>
            <w:pPr>
              <w:pStyle w:val="29"/>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93"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是否接受联合体报价</w:t>
            </w:r>
          </w:p>
        </w:tc>
        <w:tc>
          <w:tcPr>
            <w:tcW w:w="7134"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93"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踏勘现场</w:t>
            </w:r>
          </w:p>
        </w:tc>
        <w:tc>
          <w:tcPr>
            <w:tcW w:w="7134"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3"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预备会</w:t>
            </w:r>
          </w:p>
        </w:tc>
        <w:tc>
          <w:tcPr>
            <w:tcW w:w="7134"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93"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采购人主动澄清、修改的时间</w:t>
            </w:r>
          </w:p>
        </w:tc>
        <w:tc>
          <w:tcPr>
            <w:tcW w:w="7134" w:type="dxa"/>
            <w:vAlign w:val="center"/>
          </w:tcPr>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提交响应文件截止时间5日前，将澄清、修改的内容发布在相关平台，请各供应商自行查阅下载。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93"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分包</w:t>
            </w:r>
          </w:p>
        </w:tc>
        <w:tc>
          <w:tcPr>
            <w:tcW w:w="7134"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93"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构成竞争性磋商文件的其他材料</w:t>
            </w:r>
          </w:p>
        </w:tc>
        <w:tc>
          <w:tcPr>
            <w:tcW w:w="7134"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采购人所提供的文件及有关资料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93"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供应商要求澄清竞争性磋商文件的截止时间</w:t>
            </w:r>
          </w:p>
        </w:tc>
        <w:tc>
          <w:tcPr>
            <w:tcW w:w="7134"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供应商应截止磋商报价时间5日前，将需要澄清的问题以 word 的文本形式（加盖单位公章），给：sdtdgs@126.com 发送电子邮件并电话通知采购代理机构，逾期任何问题不作答复，并视为完全认同磋商文件。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93"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响应文件递交截止时间</w:t>
            </w:r>
          </w:p>
        </w:tc>
        <w:tc>
          <w:tcPr>
            <w:tcW w:w="7134" w:type="dxa"/>
            <w:vAlign w:val="center"/>
          </w:tcPr>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93"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构成响应文件的其他材料</w:t>
            </w:r>
          </w:p>
        </w:tc>
        <w:tc>
          <w:tcPr>
            <w:tcW w:w="7134"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按照磋商小组要求递交的澄清、补充、修改及说明。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93"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报价有效期</w:t>
            </w:r>
          </w:p>
        </w:tc>
        <w:tc>
          <w:tcPr>
            <w:tcW w:w="7134"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从报价截止之日算起90日历天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3"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是否允许递交备选报价方案</w:t>
            </w:r>
          </w:p>
        </w:tc>
        <w:tc>
          <w:tcPr>
            <w:tcW w:w="7134"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93"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要求</w:t>
            </w:r>
          </w:p>
        </w:tc>
        <w:tc>
          <w:tcPr>
            <w:tcW w:w="7134" w:type="dxa"/>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按竞争性磋商文件提供的文件格式使用 CA 加盖供应商电子公章以及法定代表人电子签章或签字。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93"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w:t>
            </w:r>
          </w:p>
        </w:tc>
        <w:tc>
          <w:tcPr>
            <w:tcW w:w="7134" w:type="dxa"/>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93"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是否收取履约保证金</w:t>
            </w:r>
          </w:p>
        </w:tc>
        <w:tc>
          <w:tcPr>
            <w:tcW w:w="7134" w:type="dxa"/>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93"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w:t>
            </w:r>
          </w:p>
        </w:tc>
        <w:tc>
          <w:tcPr>
            <w:tcW w:w="7134"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经过加密的电子版响应文件一份，需在递交截止时间前在赢标平台菏泽专区（http://hz.fzbidding.com/）上传。</w:t>
            </w:r>
          </w:p>
          <w:p>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
                <w:bCs/>
                <w:color w:val="auto"/>
                <w:sz w:val="24"/>
                <w:highlight w:val="none"/>
                <w:lang w:eastAsia="zh-CN"/>
              </w:rPr>
              <w:t>成交单位</w:t>
            </w:r>
            <w:r>
              <w:rPr>
                <w:rFonts w:hint="eastAsia" w:ascii="仿宋" w:hAnsi="仿宋" w:eastAsia="仿宋" w:cs="仿宋"/>
                <w:b/>
                <w:bCs/>
                <w:color w:val="auto"/>
                <w:sz w:val="24"/>
                <w:highlight w:val="none"/>
              </w:rPr>
              <w:t>还需提交三份胶装的系统内生成的 PDF 版纸质标书，并加盖公章。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93"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26</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装订要求</w:t>
            </w:r>
          </w:p>
        </w:tc>
        <w:tc>
          <w:tcPr>
            <w:tcW w:w="7134" w:type="dxa"/>
            <w:vAlign w:val="center"/>
          </w:tcPr>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p>
        </w:tc>
        <w:tc>
          <w:tcPr>
            <w:tcW w:w="1832" w:type="dxa"/>
            <w:vAlign w:val="center"/>
          </w:tcPr>
          <w:p>
            <w:pPr>
              <w:autoSpaceDE w:val="0"/>
              <w:autoSpaceDN w:val="0"/>
              <w:adjustRightInd w:val="0"/>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2"/>
                <w:szCs w:val="22"/>
                <w:highlight w:val="none"/>
              </w:rPr>
              <w:t>本项目采购标的</w:t>
            </w:r>
          </w:p>
        </w:tc>
        <w:tc>
          <w:tcPr>
            <w:tcW w:w="7134" w:type="dxa"/>
            <w:vAlign w:val="center"/>
          </w:tcPr>
          <w:p>
            <w:pPr>
              <w:autoSpaceDE w:val="0"/>
              <w:autoSpaceDN w:val="0"/>
              <w:adjustRightInd w:val="0"/>
              <w:spacing w:line="360" w:lineRule="auto"/>
              <w:jc w:val="left"/>
              <w:rPr>
                <w:rFonts w:hint="eastAsia" w:ascii="仿宋" w:hAnsi="仿宋" w:eastAsia="仿宋" w:cs="仿宋"/>
                <w:color w:val="auto"/>
                <w:sz w:val="24"/>
                <w:highlight w:val="none"/>
              </w:rPr>
            </w:pPr>
            <w:r>
              <w:rPr>
                <w:rFonts w:hint="eastAsia" w:ascii="仿宋" w:hAnsi="仿宋" w:eastAsia="仿宋" w:cs="仿宋"/>
                <w:b/>
                <w:bCs/>
                <w:color w:val="auto"/>
                <w:kern w:val="0"/>
                <w:sz w:val="22"/>
                <w:szCs w:val="22"/>
                <w:highlight w:val="none"/>
              </w:rPr>
              <w:t>所属行业：软件和信息技术服务业。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93"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7134" w:type="dxa"/>
            <w:vAlign w:val="center"/>
          </w:tcPr>
          <w:p>
            <w:pPr>
              <w:spacing w:before="126" w:line="412" w:lineRule="auto"/>
              <w:ind w:right="129"/>
              <w:jc w:val="left"/>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lang w:val="en-US" w:eastAsia="zh-CN"/>
              </w:rPr>
              <w:t>系统安装完成且</w:t>
            </w:r>
            <w:r>
              <w:rPr>
                <w:rFonts w:hint="eastAsia" w:ascii="仿宋" w:hAnsi="仿宋" w:eastAsia="仿宋" w:cs="仿宋"/>
                <w:color w:val="auto"/>
                <w:spacing w:val="1"/>
                <w:sz w:val="24"/>
                <w:highlight w:val="none"/>
              </w:rPr>
              <w:t xml:space="preserve">验收合格后付至合同价款的90%，剩余10%服务期满后一次性付清。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93"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递交响应文件地点</w:t>
            </w:r>
          </w:p>
        </w:tc>
        <w:tc>
          <w:tcPr>
            <w:tcW w:w="7134"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93"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是否退还响应文件</w:t>
            </w:r>
          </w:p>
        </w:tc>
        <w:tc>
          <w:tcPr>
            <w:tcW w:w="7134"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93"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磋商时间和</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地点 </w:t>
            </w:r>
          </w:p>
        </w:tc>
        <w:tc>
          <w:tcPr>
            <w:tcW w:w="7134"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1.磋商时间：</w:t>
            </w:r>
            <w:r>
              <w:rPr>
                <w:rFonts w:hint="eastAsia" w:ascii="仿宋" w:hAnsi="仿宋" w:eastAsia="仿宋" w:cs="仿宋"/>
                <w:color w:val="auto"/>
                <w:sz w:val="24"/>
                <w:highlight w:val="none"/>
                <w:lang w:eastAsia="zh-CN"/>
              </w:rPr>
              <w:t>2025年2月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（北京时间）</w:t>
            </w:r>
            <w:r>
              <w:rPr>
                <w:rFonts w:hint="eastAsia" w:ascii="仿宋" w:hAnsi="仿宋" w:eastAsia="仿宋" w:cs="仿宋"/>
                <w:color w:val="auto"/>
                <w:sz w:val="24"/>
                <w:highlight w:val="none"/>
              </w:rPr>
              <w:tab/>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2.磋商地点：</w:t>
            </w:r>
            <w:r>
              <w:rPr>
                <w:rFonts w:hint="eastAsia" w:ascii="仿宋" w:hAnsi="仿宋" w:eastAsia="仿宋" w:cs="仿宋"/>
                <w:color w:val="auto"/>
                <w:sz w:val="24"/>
                <w:highlight w:val="none"/>
                <w:lang w:val="zh-CN"/>
              </w:rPr>
              <w:t>菏泽市公共资源（国有产权）交易中心（济南路与钱江路交叉路口南200米路西）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93"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磋商程序</w:t>
            </w:r>
          </w:p>
        </w:tc>
        <w:tc>
          <w:tcPr>
            <w:tcW w:w="7134" w:type="dxa"/>
            <w:vAlign w:val="center"/>
          </w:tcPr>
          <w:p>
            <w:pPr>
              <w:spacing w:line="360" w:lineRule="auto"/>
              <w:ind w:left="600" w:hanging="600" w:hangingChars="2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参照竞争性磋商文件中的磋商程序。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93"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磋商小组的</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组建</w:t>
            </w:r>
          </w:p>
        </w:tc>
        <w:tc>
          <w:tcPr>
            <w:tcW w:w="7134" w:type="dxa"/>
            <w:vAlign w:val="center"/>
          </w:tcPr>
          <w:p>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磋商小组确定方式：磋商小组由采购人代表和评审专家3人及3人以上单数组成，其中评审专家人数不得少于竞争性磋商小组成员总数的2/3。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93"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p>
        </w:tc>
        <w:tc>
          <w:tcPr>
            <w:tcW w:w="1832" w:type="dxa"/>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是否授权磋商小组确定成交人</w:t>
            </w:r>
          </w:p>
        </w:tc>
        <w:tc>
          <w:tcPr>
            <w:tcW w:w="7134" w:type="dxa"/>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否，推荐的成交候选人数：按照综合得分高低的顺序推荐前三名/包；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93"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p>
        </w:tc>
        <w:tc>
          <w:tcPr>
            <w:tcW w:w="18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采购控制价</w:t>
            </w:r>
          </w:p>
        </w:tc>
        <w:tc>
          <w:tcPr>
            <w:tcW w:w="7134" w:type="dxa"/>
            <w:vAlign w:val="center"/>
          </w:tcPr>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控制价：</w:t>
            </w:r>
            <w:r>
              <w:rPr>
                <w:rFonts w:hint="eastAsia" w:ascii="仿宋" w:hAnsi="仿宋" w:eastAsia="仿宋" w:cs="仿宋"/>
                <w:b/>
                <w:bCs/>
                <w:color w:val="auto"/>
                <w:sz w:val="24"/>
                <w:highlight w:val="none"/>
                <w:lang w:val="en-US" w:eastAsia="zh-CN"/>
              </w:rPr>
              <w:t>100</w:t>
            </w:r>
            <w:r>
              <w:rPr>
                <w:rFonts w:hint="eastAsia" w:ascii="仿宋" w:hAnsi="仿宋" w:eastAsia="仿宋" w:cs="仿宋"/>
                <w:b/>
                <w:bCs/>
                <w:color w:val="auto"/>
                <w:sz w:val="24"/>
                <w:highlight w:val="none"/>
              </w:rPr>
              <w:t>0000.00 元（大写：</w:t>
            </w:r>
            <w:r>
              <w:rPr>
                <w:rFonts w:hint="eastAsia" w:ascii="仿宋" w:hAnsi="仿宋" w:eastAsia="仿宋" w:cs="仿宋"/>
                <w:b/>
                <w:bCs/>
                <w:color w:val="auto"/>
                <w:sz w:val="24"/>
                <w:highlight w:val="none"/>
                <w:lang w:eastAsia="zh-CN"/>
              </w:rPr>
              <w:t>壹佰万</w:t>
            </w:r>
            <w:r>
              <w:rPr>
                <w:rFonts w:hint="eastAsia" w:ascii="仿宋" w:hAnsi="仿宋" w:eastAsia="仿宋" w:cs="仿宋"/>
                <w:b/>
                <w:bCs/>
                <w:color w:val="auto"/>
                <w:sz w:val="24"/>
                <w:highlight w:val="none"/>
              </w:rPr>
              <w:t>元</w:t>
            </w:r>
            <w:r>
              <w:rPr>
                <w:rFonts w:hint="eastAsia" w:ascii="仿宋" w:hAnsi="仿宋" w:eastAsia="仿宋" w:cs="仿宋"/>
                <w:b/>
                <w:bCs/>
                <w:color w:val="auto"/>
                <w:sz w:val="24"/>
                <w:highlight w:val="none"/>
                <w:lang w:val="en-US" w:eastAsia="zh-CN"/>
              </w:rPr>
              <w:t>整</w:t>
            </w:r>
            <w:r>
              <w:rPr>
                <w:rFonts w:hint="eastAsia" w:ascii="仿宋" w:hAnsi="仿宋" w:eastAsia="仿宋" w:cs="仿宋"/>
                <w:b/>
                <w:bCs/>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注：供应商的投标报价不得超过采购控制价 ，否则按无效标处理。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93" w:type="dxa"/>
            <w:vAlign w:val="center"/>
          </w:tcPr>
          <w:p>
            <w:pPr>
              <w:spacing w:line="360" w:lineRule="auto"/>
              <w:jc w:val="center"/>
              <w:rPr>
                <w:rFonts w:hint="eastAsia" w:ascii="仿宋" w:hAnsi="仿宋" w:eastAsia="仿宋" w:cs="仿宋"/>
                <w:color w:val="auto"/>
                <w:sz w:val="24"/>
                <w:highlight w:val="none"/>
              </w:rPr>
            </w:pPr>
          </w:p>
        </w:tc>
        <w:tc>
          <w:tcPr>
            <w:tcW w:w="8966" w:type="dxa"/>
            <w:gridSpan w:val="2"/>
            <w:vAlign w:val="center"/>
          </w:tcPr>
          <w:p>
            <w:pPr>
              <w:pStyle w:val="18"/>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关于资格信用承诺函的说明：</w:t>
            </w:r>
          </w:p>
          <w:p>
            <w:pPr>
              <w:pStyle w:val="18"/>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根据菏财采【2022】9 号文规定，在政府采购活动中，供应商只需在资格审查环节提供满足相应条件的资格承诺函，不在需要提供以下证明材料（资格信用承诺格式见附件）： </w:t>
            </w:r>
            <w:bookmarkStart w:id="319" w:name="_GoBack"/>
            <w:bookmarkEnd w:id="319"/>
          </w:p>
          <w:p>
            <w:pPr>
              <w:pStyle w:val="1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符合国家规定的财务状况报告； </w:t>
            </w:r>
          </w:p>
          <w:p>
            <w:pPr>
              <w:pStyle w:val="1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依法缴纳税收的证明材料； </w:t>
            </w:r>
          </w:p>
          <w:p>
            <w:pPr>
              <w:pStyle w:val="1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依法缴纳社会保障金的证明材料； </w:t>
            </w:r>
          </w:p>
          <w:p>
            <w:pPr>
              <w:pStyle w:val="1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具备履行合同所必需的设备和专业技术能力的证明材料； </w:t>
            </w:r>
          </w:p>
          <w:p>
            <w:pPr>
              <w:pStyle w:val="1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参加政府采购活动（以开启时间为准）前3年内，供应商和其法定代表人无行贿犯罪行为、在经营活动中没有重大违法记录以及本项目开启时未被禁止参加本项目所在地的政府采购活动的证明材料； </w:t>
            </w:r>
          </w:p>
          <w:p>
            <w:pPr>
              <w:pStyle w:val="18"/>
              <w:spacing w:line="360" w:lineRule="auto"/>
              <w:ind w:firstLine="480" w:firstLineChars="200"/>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 xml:space="preserve">6. 未被列入失信被执行人、企业经营异常名录、重大税收违法案件当事人名单以及政府采购严重违法失信行为记录名单的证明材料。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93"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费用承担</w:t>
            </w:r>
          </w:p>
        </w:tc>
        <w:tc>
          <w:tcPr>
            <w:tcW w:w="8966" w:type="dxa"/>
            <w:gridSpan w:val="2"/>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1、本项目采购代理费：参照价格[2002]1980号规定的计取，由成交人在领取成交通知书前一次性付清。</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2、平台技术服务费用：执行菏泽市公共资源（国有产权）交易中心规定电子平台使用收费标准。该项费用由成交人在成交后到菏泽市公共资源（国有产权）交易中心支付。</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4"/>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40" w:type="dxa"/>
                  <w:gridSpan w:val="2"/>
                  <w:noWrap w:val="0"/>
                  <w:vAlign w:val="center"/>
                </w:tcPr>
                <w:p>
                  <w:pPr>
                    <w:spacing w:line="360" w:lineRule="auto"/>
                    <w:jc w:val="center"/>
                    <w:rPr>
                      <w:rFonts w:hint="eastAsia" w:ascii="仿宋" w:hAnsi="仿宋" w:eastAsia="仿宋" w:cs="仿宋"/>
                      <w:b/>
                      <w:bCs/>
                      <w:color w:val="auto"/>
                      <w:sz w:val="24"/>
                      <w:highlight w:val="none"/>
                      <w:lang w:val="zh-CN"/>
                    </w:rPr>
                  </w:pPr>
                  <w:r>
                    <w:rPr>
                      <w:rFonts w:hint="eastAsia" w:ascii="仿宋" w:hAnsi="仿宋" w:eastAsia="仿宋" w:cs="仿宋"/>
                      <w:b/>
                      <w:bCs/>
                      <w:color w:val="auto"/>
                      <w:kern w:val="0"/>
                      <w:sz w:val="24"/>
                      <w:highlight w:val="none"/>
                    </w:rPr>
                    <w:t>菏泽市公共资源（国有产权）交易中心规定项目收费标准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64" w:type="dxa"/>
                  <w:noWrap w:val="0"/>
                  <w:vAlign w:val="center"/>
                </w:tcPr>
                <w:p>
                  <w:pPr>
                    <w:widowControl/>
                    <w:spacing w:line="360" w:lineRule="auto"/>
                    <w:jc w:val="left"/>
                    <w:textAlignment w:val="center"/>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bidi="ar"/>
                    </w:rPr>
                    <w:t xml:space="preserve">   300万元以下（含300万元）</w:t>
                  </w:r>
                </w:p>
              </w:tc>
              <w:tc>
                <w:tcPr>
                  <w:tcW w:w="1676" w:type="dxa"/>
                  <w:noWrap w:val="0"/>
                  <w:vAlign w:val="center"/>
                </w:tcPr>
                <w:p>
                  <w:pPr>
                    <w:widowControl/>
                    <w:spacing w:line="360" w:lineRule="auto"/>
                    <w:jc w:val="center"/>
                    <w:textAlignment w:val="center"/>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64" w:type="dxa"/>
                  <w:noWrap w:val="0"/>
                  <w:vAlign w:val="center"/>
                </w:tcPr>
                <w:p>
                  <w:pPr>
                    <w:widowControl/>
                    <w:spacing w:line="360" w:lineRule="auto"/>
                    <w:ind w:firstLine="480" w:firstLineChars="200"/>
                    <w:jc w:val="left"/>
                    <w:textAlignment w:val="center"/>
                    <w:rPr>
                      <w:rFonts w:hint="eastAsia" w:ascii="仿宋" w:hAnsi="仿宋" w:eastAsia="仿宋" w:cs="仿宋"/>
                      <w:b/>
                      <w:bCs/>
                      <w:color w:val="auto"/>
                      <w:sz w:val="24"/>
                      <w:highlight w:val="none"/>
                      <w:lang w:val="zh-CN"/>
                    </w:rPr>
                  </w:pPr>
                  <w:r>
                    <w:rPr>
                      <w:rFonts w:hint="eastAsia" w:ascii="仿宋" w:hAnsi="仿宋" w:eastAsia="仿宋" w:cs="仿宋"/>
                      <w:color w:val="auto"/>
                      <w:kern w:val="0"/>
                      <w:sz w:val="24"/>
                      <w:highlight w:val="none"/>
                      <w:lang w:bidi="ar"/>
                    </w:rPr>
                    <w:t>300万元-500万元（含500万元）</w:t>
                  </w:r>
                </w:p>
              </w:tc>
              <w:tc>
                <w:tcPr>
                  <w:tcW w:w="1676" w:type="dxa"/>
                  <w:noWrap w:val="0"/>
                  <w:vAlign w:val="center"/>
                </w:tcPr>
                <w:p>
                  <w:pPr>
                    <w:widowControl/>
                    <w:spacing w:line="360" w:lineRule="auto"/>
                    <w:jc w:val="center"/>
                    <w:textAlignment w:val="center"/>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64" w:type="dxa"/>
                  <w:noWrap w:val="0"/>
                  <w:vAlign w:val="center"/>
                </w:tcPr>
                <w:p>
                  <w:pPr>
                    <w:widowControl/>
                    <w:spacing w:line="360" w:lineRule="auto"/>
                    <w:jc w:val="left"/>
                    <w:textAlignment w:val="center"/>
                    <w:rPr>
                      <w:rFonts w:hint="eastAsia" w:ascii="仿宋" w:hAnsi="仿宋" w:eastAsia="仿宋" w:cs="仿宋"/>
                      <w:b/>
                      <w:bCs/>
                      <w:color w:val="auto"/>
                      <w:sz w:val="24"/>
                      <w:highlight w:val="none"/>
                      <w:lang w:val="zh-CN"/>
                    </w:rPr>
                  </w:pPr>
                  <w:r>
                    <w:rPr>
                      <w:rFonts w:hint="eastAsia" w:ascii="仿宋" w:hAnsi="仿宋" w:eastAsia="仿宋" w:cs="仿宋"/>
                      <w:color w:val="auto"/>
                      <w:kern w:val="0"/>
                      <w:sz w:val="24"/>
                      <w:highlight w:val="none"/>
                      <w:lang w:bidi="ar"/>
                    </w:rPr>
                    <w:t xml:space="preserve">    500—1000万元（含1000万元）</w:t>
                  </w:r>
                </w:p>
              </w:tc>
              <w:tc>
                <w:tcPr>
                  <w:tcW w:w="1676" w:type="dxa"/>
                  <w:noWrap w:val="0"/>
                  <w:vAlign w:val="center"/>
                </w:tcPr>
                <w:p>
                  <w:pPr>
                    <w:widowControl/>
                    <w:spacing w:line="360" w:lineRule="auto"/>
                    <w:jc w:val="center"/>
                    <w:textAlignment w:val="center"/>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64" w:type="dxa"/>
                  <w:noWrap w:val="0"/>
                  <w:vAlign w:val="center"/>
                </w:tcPr>
                <w:p>
                  <w:pPr>
                    <w:widowControl/>
                    <w:spacing w:line="360" w:lineRule="auto"/>
                    <w:jc w:val="left"/>
                    <w:textAlignment w:val="center"/>
                    <w:rPr>
                      <w:rFonts w:hint="eastAsia" w:ascii="仿宋" w:hAnsi="仿宋" w:eastAsia="仿宋" w:cs="仿宋"/>
                      <w:b/>
                      <w:bCs/>
                      <w:color w:val="auto"/>
                      <w:sz w:val="24"/>
                      <w:highlight w:val="none"/>
                      <w:lang w:val="zh-CN"/>
                    </w:rPr>
                  </w:pPr>
                  <w:r>
                    <w:rPr>
                      <w:rFonts w:hint="eastAsia" w:ascii="仿宋" w:hAnsi="仿宋" w:eastAsia="仿宋" w:cs="仿宋"/>
                      <w:color w:val="auto"/>
                      <w:kern w:val="0"/>
                      <w:sz w:val="24"/>
                      <w:highlight w:val="none"/>
                      <w:lang w:bidi="ar"/>
                    </w:rPr>
                    <w:t xml:space="preserve">    1000—3000万元（含3000万元）</w:t>
                  </w:r>
                </w:p>
              </w:tc>
              <w:tc>
                <w:tcPr>
                  <w:tcW w:w="1676" w:type="dxa"/>
                  <w:noWrap w:val="0"/>
                  <w:vAlign w:val="center"/>
                </w:tcPr>
                <w:p>
                  <w:pPr>
                    <w:widowControl/>
                    <w:spacing w:line="360" w:lineRule="auto"/>
                    <w:jc w:val="center"/>
                    <w:textAlignment w:val="center"/>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64" w:type="dxa"/>
                  <w:noWrap w:val="0"/>
                  <w:vAlign w:val="center"/>
                </w:tcPr>
                <w:p>
                  <w:pPr>
                    <w:widowControl/>
                    <w:spacing w:line="360" w:lineRule="auto"/>
                    <w:jc w:val="left"/>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color w:val="auto"/>
                      <w:kern w:val="0"/>
                      <w:sz w:val="24"/>
                      <w:highlight w:val="none"/>
                      <w:lang w:bidi="ar"/>
                    </w:rPr>
                    <w:t xml:space="preserve">   3000万元-5000万元（含5000万元）</w:t>
                  </w:r>
                </w:p>
              </w:tc>
              <w:tc>
                <w:tcPr>
                  <w:tcW w:w="1676" w:type="dxa"/>
                  <w:noWrap w:val="0"/>
                  <w:vAlign w:val="center"/>
                </w:tcPr>
                <w:p>
                  <w:pPr>
                    <w:widowControl/>
                    <w:spacing w:line="360" w:lineRule="auto"/>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color w:val="auto"/>
                      <w:kern w:val="0"/>
                      <w:sz w:val="24"/>
                      <w:highlight w:val="none"/>
                      <w:lang w:bidi="ar"/>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64" w:type="dxa"/>
                  <w:noWrap w:val="0"/>
                  <w:vAlign w:val="center"/>
                </w:tcPr>
                <w:p>
                  <w:pPr>
                    <w:widowControl/>
                    <w:spacing w:line="360" w:lineRule="auto"/>
                    <w:ind w:firstLine="480" w:firstLineChars="200"/>
                    <w:jc w:val="left"/>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color w:val="auto"/>
                      <w:kern w:val="0"/>
                      <w:sz w:val="24"/>
                      <w:highlight w:val="none"/>
                      <w:lang w:bidi="ar"/>
                    </w:rPr>
                    <w:t>5000万元-1亿元（含1亿元）</w:t>
                  </w:r>
                </w:p>
              </w:tc>
              <w:tc>
                <w:tcPr>
                  <w:tcW w:w="1676" w:type="dxa"/>
                  <w:noWrap w:val="0"/>
                  <w:vAlign w:val="center"/>
                </w:tcPr>
                <w:p>
                  <w:pPr>
                    <w:widowControl/>
                    <w:spacing w:line="360" w:lineRule="auto"/>
                    <w:jc w:val="center"/>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color w:val="auto"/>
                      <w:kern w:val="0"/>
                      <w:sz w:val="24"/>
                      <w:highlight w:val="none"/>
                      <w:lang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6740" w:type="dxa"/>
                  <w:gridSpan w:val="2"/>
                  <w:noWrap w:val="0"/>
                  <w:vAlign w:val="center"/>
                </w:tcPr>
                <w:p>
                  <w:pPr>
                    <w:spacing w:line="360" w:lineRule="auto"/>
                    <w:rPr>
                      <w:rFonts w:hint="eastAsia" w:ascii="仿宋" w:hAnsi="仿宋" w:eastAsia="仿宋" w:cs="仿宋"/>
                      <w:b/>
                      <w:bCs/>
                      <w:color w:val="auto"/>
                      <w:sz w:val="24"/>
                      <w:highlight w:val="none"/>
                      <w:lang w:val="zh-CN"/>
                    </w:rPr>
                  </w:pPr>
                  <w:r>
                    <w:rPr>
                      <w:rFonts w:hint="eastAsia" w:ascii="仿宋" w:hAnsi="仿宋" w:eastAsia="仿宋" w:cs="仿宋"/>
                      <w:b/>
                      <w:bCs/>
                      <w:color w:val="auto"/>
                      <w:kern w:val="0"/>
                      <w:sz w:val="24"/>
                      <w:highlight w:val="none"/>
                    </w:rPr>
                    <w:t>备注：单项最低为1000元。货物与服务类项目中标金额/成交金额超出3000万元（不含3000万元）部分不再收取菏泽市公共资源（国有产权）电子平台使用费。工程类项目中标金额/成交金额超出1亿元（不含1亿元）部分不再收取菏泽市公共资源（国有产权）电子平台使用费。</w:t>
                  </w:r>
                </w:p>
              </w:tc>
            </w:tr>
          </w:tbl>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3、赢标平台菏泽专区系统使用费：按照赢标平台菏泽专区平台使用费标准执行。</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zh-CN"/>
              </w:rPr>
              <w:t>以上费用</w:t>
            </w: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zh-CN"/>
              </w:rPr>
              <w:t>应考虑在其报价内。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93" w:type="dxa"/>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解释权</w:t>
            </w:r>
          </w:p>
        </w:tc>
        <w:tc>
          <w:tcPr>
            <w:tcW w:w="8966" w:type="dxa"/>
            <w:gridSpan w:val="2"/>
            <w:vAlign w:val="center"/>
          </w:tcPr>
          <w:p>
            <w:pPr>
              <w:spacing w:line="360" w:lineRule="auto"/>
              <w:ind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磋商阶段的规定，按竞争性磋商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3"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电子招投标须知</w:t>
            </w:r>
          </w:p>
        </w:tc>
        <w:tc>
          <w:tcPr>
            <w:tcW w:w="8966" w:type="dxa"/>
            <w:gridSpan w:val="2"/>
            <w:vAlign w:val="center"/>
          </w:tcPr>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磋商文件中其他章节与电子供应商须知有不一致的内容，以电子供应商须知内容为准。 </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1.本次采购为电子招投标,供应商应通过赢标平台菏泽专区http://hz.fzbidding.com/上传经CA加密的电子响应文件,同时递交与电子文件一致的电子版响应文件一份（加盖公章的PDF 格式，U 盘）。 </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在线递交电子响应文件前，供应商应当使用投标客户端及及CA为响应文件加密，加密时所用响应文件均只能使用同一把企业CA证书进行加密，否则引起的解密失败的责任由供应商自行承担。加密后请使用投标客户端软件验证解密，以确保电子响应文件未在加密过程中损坏。供应商未按规定加密的响应文件，赢标平台菏泽专区http://hz.fzbidding.com/将拒绝接收。供应商须在报价截止时间前，通过投标客户端生成加密文件，并在竞争性磋商文件规定的报价截止时间前登陆赢标平台菏泽专区http://hz.fzbidding.com/递交电子响应文件。 </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供应商在递交响应文件之后、在规定的报价截止时间之前，可随时登陆赢标平台菏泽专区http://hz.fzbidding.com/撤回响应文件。需要补充或者修改响应文件时，必须先撤回响应文件，修改后重新递交。重新递交的响应文件应按竞争性磋商文件的规定编制、加密和CA签名。在报价截止时间后，不能修改或撤回响应文件。 </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4.采购人按竞争性磋商文件中规定的时间和地点公开开标，供应商必须自带电脑、CA准时在线参加开标，解密时间规定为30分钟，供应商需使用CA在规定的时间内自行完成解密，解密结束后对开标记录进行电子签名。若供应商在解密规定时间内未完成电子标解密操作，视为放弃该项目报价。电子开标过程出现故障时，按相关部门的规定处理。 </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5.《操作手册》赢标平台菏泽专区 </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http://hz.fzbidding.com/“下载中心”栏目进行下载。供应商在使用电子招标投标平台时，如有任何疑问，请拨打客服电话:15628877227、19153093616。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93"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电子招投标的应急措施</w:t>
            </w:r>
          </w:p>
        </w:tc>
        <w:tc>
          <w:tcPr>
            <w:tcW w:w="8966" w:type="dxa"/>
            <w:gridSpan w:val="2"/>
            <w:vAlign w:val="center"/>
          </w:tcPr>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电子开标、评标如出现下列原因，导致系统无法正常运行或无法正常评标时，应采取应急措施。 </w:t>
            </w:r>
          </w:p>
          <w:p>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（1）系统服务器发生故障，无法访问或无法使用系统；</w:t>
            </w:r>
          </w:p>
          <w:p>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（2）系统的软件或数据库出现错误，不能进行正常操作；</w:t>
            </w:r>
          </w:p>
          <w:p>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（3）系统发现有安全漏洞，有潜在的泄密危险；</w:t>
            </w:r>
          </w:p>
          <w:p>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（4）病毒发作或受到外来病毒的攻击；</w:t>
            </w:r>
          </w:p>
          <w:p>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（5）采购代理机构的CA锁失效等原因导致无法解密的；</w:t>
            </w:r>
          </w:p>
          <w:p>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（6）其他不可抗拒的客观原因造成开评标系统无法正常使用。</w:t>
            </w:r>
          </w:p>
          <w:p>
            <w:pPr>
              <w:spacing w:line="360" w:lineRule="auto"/>
              <w:rPr>
                <w:rFonts w:hint="eastAsia" w:ascii="仿宋" w:hAnsi="仿宋" w:eastAsia="仿宋" w:cs="仿宋"/>
                <w:b/>
                <w:bCs/>
                <w:color w:val="auto"/>
                <w:kern w:val="0"/>
                <w:sz w:val="24"/>
                <w:highlight w:val="none"/>
              </w:rPr>
            </w:pPr>
            <w:r>
              <w:rPr>
                <w:rFonts w:hint="eastAsia" w:ascii="仿宋" w:hAnsi="仿宋" w:eastAsia="仿宋" w:cs="仿宋"/>
                <w:bCs/>
                <w:color w:val="auto"/>
                <w:sz w:val="24"/>
                <w:highlight w:val="none"/>
              </w:rPr>
              <w:t>出现上述情况时，对于未开标的项目应暂停开标，对已在系统内评审的，也应立即停止。相关部门确认问题原因后，由于系统原因造成项目无法评审，可将系统内评审改为PDF版文件（U盘）评审。采取应急措施时，必须对原有资料及信息作妥善保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759" w:type="dxa"/>
            <w:gridSpan w:val="3"/>
            <w:vAlign w:val="center"/>
          </w:tcPr>
          <w:p>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zh-CN"/>
              </w:rPr>
              <w:t>注：因本项目实行网上报名，如项目发布澄清、补充、修改信息，将在公告发布媒介进行公告。公告自发布之日起即视为通知到潜在供应商。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759" w:type="dxa"/>
            <w:gridSpan w:val="3"/>
            <w:vAlign w:val="center"/>
          </w:tcPr>
          <w:p>
            <w:pPr>
              <w:spacing w:line="360" w:lineRule="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重要提示：在政府采购项目采购文件中供应商须知表加入信用评价板块“供应商须在项目开标前，进入菏泽市政采信用管理系统（https://jdpj.hzcz.heze.gov.cn:4443/user/login），完成账号注册（已有账号的无需重复注册），登录系统截取当前的信用星级和分数，作为供应商信用情况的参考。在项目评标结束后，供应商需登录菏泽政采信用管理系统，对本次项目的各阶段参与主体完成信用评价并于系统内提交评价结果”。信用系统具体操作步骤详见【菏泽市政采信用管理系统】用户操作手册https://jdpj.hzcz.heze.gov.cn:4443/user/login。                   </w:t>
            </w:r>
          </w:p>
          <w:p>
            <w:pPr>
              <w:spacing w:line="360" w:lineRule="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政策咨询(0530) 561 3997</w:t>
            </w:r>
          </w:p>
          <w:p>
            <w:pPr>
              <w:spacing w:line="360" w:lineRule="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技术咨询董工15053027821</w:t>
            </w:r>
          </w:p>
          <w:p>
            <w:pPr>
              <w:spacing w:line="360" w:lineRule="auto"/>
              <w:rPr>
                <w:rFonts w:hint="eastAsia" w:ascii="仿宋" w:hAnsi="仿宋" w:eastAsia="仿宋" w:cs="仿宋"/>
                <w:bCs/>
                <w:color w:val="auto"/>
                <w:sz w:val="24"/>
                <w:highlight w:val="none"/>
                <w:lang w:val="zh-CN"/>
              </w:rPr>
            </w:pPr>
            <w:r>
              <w:rPr>
                <w:rFonts w:hint="eastAsia" w:ascii="仿宋" w:hAnsi="仿宋" w:eastAsia="仿宋" w:cs="仿宋"/>
                <w:b/>
                <w:color w:val="auto"/>
                <w:sz w:val="24"/>
                <w:highlight w:val="none"/>
                <w:lang w:val="zh-CN"/>
              </w:rPr>
              <w:t xml:space="preserve">技术咨询陈工18253063200     </w:t>
            </w:r>
          </w:p>
        </w:tc>
      </w:tr>
    </w:tbl>
    <w:p>
      <w:pPr>
        <w:spacing w:line="360" w:lineRule="auto"/>
        <w:jc w:val="left"/>
        <w:rPr>
          <w:rFonts w:hint="eastAsia" w:ascii="仿宋" w:hAnsi="仿宋" w:eastAsia="仿宋" w:cs="仿宋"/>
          <w:color w:val="auto"/>
          <w:sz w:val="24"/>
          <w:highlight w:val="none"/>
        </w:rPr>
        <w:sectPr>
          <w:footerReference r:id="rId9" w:type="default"/>
          <w:pgSz w:w="11906" w:h="16838"/>
          <w:pgMar w:top="1040" w:right="1080" w:bottom="1440" w:left="1080" w:header="1134" w:footer="992" w:gutter="0"/>
          <w:pgNumType w:fmt="decimal"/>
          <w:cols w:space="720" w:num="1"/>
          <w:docGrid w:type="lines" w:linePitch="312" w:charSpace="0"/>
        </w:sectPr>
      </w:pPr>
    </w:p>
    <w:p>
      <w:pPr>
        <w:pStyle w:val="3"/>
        <w:spacing w:line="500" w:lineRule="exact"/>
        <w:rPr>
          <w:rFonts w:hint="eastAsia" w:ascii="仿宋" w:hAnsi="仿宋" w:eastAsia="仿宋" w:cs="仿宋"/>
          <w:color w:val="auto"/>
          <w:sz w:val="24"/>
          <w:szCs w:val="24"/>
          <w:highlight w:val="none"/>
        </w:rPr>
      </w:pPr>
      <w:bookmarkStart w:id="31" w:name="_Toc6533"/>
      <w:bookmarkStart w:id="32" w:name="_Toc13221"/>
      <w:bookmarkStart w:id="33" w:name="_Toc12830"/>
      <w:bookmarkStart w:id="34" w:name="_Toc25070"/>
      <w:bookmarkStart w:id="35" w:name="_Toc14833"/>
      <w:bookmarkStart w:id="36" w:name="_Toc414539103"/>
      <w:bookmarkStart w:id="37" w:name="_Toc8101"/>
      <w:bookmarkStart w:id="38" w:name="_Toc12368"/>
      <w:bookmarkStart w:id="39" w:name="_Toc199575430"/>
      <w:bookmarkStart w:id="40" w:name="_Toc325211696"/>
      <w:bookmarkStart w:id="41" w:name="_Toc24253"/>
      <w:bookmarkStart w:id="42" w:name="_Toc17462"/>
      <w:bookmarkStart w:id="43" w:name="_Toc16464"/>
      <w:bookmarkStart w:id="44" w:name="_Toc386044047"/>
      <w:bookmarkStart w:id="45" w:name="_Toc384815521"/>
      <w:r>
        <w:rPr>
          <w:rFonts w:hint="eastAsia" w:ascii="仿宋" w:hAnsi="仿宋" w:eastAsia="仿宋" w:cs="仿宋"/>
          <w:color w:val="auto"/>
          <w:sz w:val="24"/>
          <w:szCs w:val="24"/>
          <w:highlight w:val="none"/>
        </w:rPr>
        <w:t>1.总则</w:t>
      </w:r>
      <w:bookmarkEnd w:id="31"/>
      <w:bookmarkEnd w:id="32"/>
      <w:bookmarkEnd w:id="33"/>
      <w:bookmarkEnd w:id="34"/>
      <w:bookmarkEnd w:id="35"/>
      <w:bookmarkEnd w:id="36"/>
      <w:bookmarkEnd w:id="37"/>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1.1 项目概况</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1.1.1 根据《中华人民共和国政府采购法》、《政府采购竞争性磋商采购方式管理暂行办法》等有关法律、法规和规章的规定，本项目已具备采购条件，现采用竞争性磋商的方式对本项目进行采购。</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1.1.2 本项目采购人：见供应商须知前附表。</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1.1.3 本项目采购代理机构：见供应商须知前附表。</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1.1.4 本项目名称：见供应商须知前附表。</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1.1.5 本项目服务地点：见供应商须知前附表。</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1.2 资金来源</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1.2.1 本项目的资金来源：见供应商须知前附表。</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1.3 采购内容、服务期和质量要求</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1.3.1 本项目采购内容：见供应商须知前附表。</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1.3.2 本项目服务期：见供应商须知前附表。</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1.3.3 本项目质量要求：见供应商须知前附表。</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1.4 供应商资格要求：</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1.4.1资格要求：见供应商须知前附表。</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1.4.2 供应商不得存在下列情形之一：</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（1）为采购人不具有独立法人资格的附属机构（单位）；</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（2）为本项目的采购人；</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（3）为本项目的代建人；</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（4）为本项目提供采购代理服务的；</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（5）与本项目的采购人或代建人或采购代理机构同为一个供应商法定代表人的；</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（6）与本项目的采购人或代建人或采购代理机构相互控股或参股的；</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（7）与本项目的采购人或代建人或采购代理机构相互任职或工作的；</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（8）被责令停业的；</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（9）被暂停或取消资格的；</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（10）财产被接管或冻结的；</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（11）根据“关于实行政府采购供应商资格信用承诺制的通知（菏财采[2022]9号）”要求，各供应商应当以书面形式作出资格信用承诺。</w:t>
      </w:r>
    </w:p>
    <w:p>
      <w:pPr>
        <w:spacing w:line="500" w:lineRule="exact"/>
        <w:ind w:left="2"/>
        <w:rPr>
          <w:rFonts w:hint="eastAsia" w:ascii="仿宋" w:hAnsi="仿宋" w:eastAsia="仿宋" w:cs="仿宋"/>
          <w:color w:val="auto"/>
          <w:sz w:val="24"/>
          <w:highlight w:val="none"/>
        </w:rPr>
      </w:pPr>
      <w:r>
        <w:rPr>
          <w:rFonts w:hint="eastAsia" w:ascii="仿宋" w:hAnsi="仿宋" w:eastAsia="仿宋" w:cs="仿宋"/>
          <w:color w:val="auto"/>
          <w:sz w:val="24"/>
          <w:highlight w:val="none"/>
        </w:rPr>
        <w:t>1.5 费用承担</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1.5.1详见供应商须知，各供应商编制响应文件时统一考虑进入投标报价。</w:t>
      </w:r>
    </w:p>
    <w:p>
      <w:pPr>
        <w:spacing w:line="500" w:lineRule="exact"/>
        <w:ind w:firstLine="410" w:firstLineChars="171"/>
        <w:rPr>
          <w:rFonts w:hint="eastAsia" w:ascii="仿宋" w:hAnsi="仿宋" w:eastAsia="仿宋" w:cs="仿宋"/>
          <w:color w:val="auto"/>
          <w:sz w:val="24"/>
          <w:highlight w:val="none"/>
        </w:rPr>
      </w:pPr>
      <w:bookmarkStart w:id="46" w:name="_Toc414539104"/>
      <w:r>
        <w:rPr>
          <w:rFonts w:hint="eastAsia" w:ascii="仿宋" w:hAnsi="仿宋" w:eastAsia="仿宋" w:cs="仿宋"/>
          <w:color w:val="auto"/>
          <w:sz w:val="24"/>
          <w:highlight w:val="none"/>
        </w:rPr>
        <w:t>1.5.2供应商应承担其编制响应文件与递交响应文件所涉及的一切费用。不论投标结果如何，采购人和代理机构在任何情况下无义务也无责任承担这些费用。</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1.6 保密</w:t>
      </w:r>
    </w:p>
    <w:p>
      <w:pPr>
        <w:spacing w:line="500" w:lineRule="exact"/>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参与竞争性磋商活动的各方应对竞争性磋商文件和响应文件中的商业和技术等秘密保密，违者应对由此造成的后果承担法律责任。</w:t>
      </w:r>
    </w:p>
    <w:p>
      <w:pPr>
        <w:spacing w:line="500" w:lineRule="exact"/>
        <w:ind w:left="2"/>
        <w:rPr>
          <w:rFonts w:hint="eastAsia" w:ascii="仿宋" w:hAnsi="仿宋" w:eastAsia="仿宋" w:cs="仿宋"/>
          <w:color w:val="auto"/>
          <w:sz w:val="24"/>
          <w:highlight w:val="none"/>
        </w:rPr>
      </w:pPr>
      <w:r>
        <w:rPr>
          <w:rFonts w:hint="eastAsia" w:ascii="仿宋" w:hAnsi="仿宋" w:eastAsia="仿宋" w:cs="仿宋"/>
          <w:color w:val="auto"/>
          <w:sz w:val="24"/>
          <w:highlight w:val="none"/>
        </w:rPr>
        <w:t>1.7 语言文字</w:t>
      </w:r>
    </w:p>
    <w:p>
      <w:pPr>
        <w:spacing w:line="500" w:lineRule="exact"/>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除专用术语外，与本次竞争性磋商报价有关的语言均使用中文。必要时专用术语应附有中文注释。</w:t>
      </w:r>
    </w:p>
    <w:p>
      <w:pPr>
        <w:spacing w:line="500" w:lineRule="exact"/>
        <w:ind w:left="2"/>
        <w:rPr>
          <w:rFonts w:hint="eastAsia" w:ascii="仿宋" w:hAnsi="仿宋" w:eastAsia="仿宋" w:cs="仿宋"/>
          <w:color w:val="auto"/>
          <w:sz w:val="24"/>
          <w:highlight w:val="none"/>
        </w:rPr>
      </w:pPr>
      <w:r>
        <w:rPr>
          <w:rFonts w:hint="eastAsia" w:ascii="仿宋" w:hAnsi="仿宋" w:eastAsia="仿宋" w:cs="仿宋"/>
          <w:color w:val="auto"/>
          <w:sz w:val="24"/>
          <w:highlight w:val="none"/>
        </w:rPr>
        <w:t>1.8 计量单位</w:t>
      </w:r>
    </w:p>
    <w:p>
      <w:pPr>
        <w:spacing w:line="500" w:lineRule="exact"/>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所有计量均采用中华人民共和国法定计量单位。</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1.9 踏勘现场</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1.9.1 采购人不统一组织供应商踏勘项目现场，各供应商自行踏勘现场，因供应商未踏勘现场引起的风险后果由供应商自行承担。</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1.9.2 供应商踏勘现场发生的费用自理。</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1.9.3 供应商自行负责在踏勘现场中所发生的人员伤亡和财产损失。</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1.9.4 供应商无论是否勘察现场，都将被认为已了解本项目的现场情况，掌握了编制响应文件的能力。</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1.10预备会</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本项目不召开预备会。</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1.11转包、分包</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禁止项目转包和分包。项目实施过程中发现存在项目转包及分包情况，采购人有权立即终止合同，由此造成的损失由供应商自行承担。</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1.12 偏离</w:t>
      </w:r>
    </w:p>
    <w:p>
      <w:pPr>
        <w:pStyle w:val="14"/>
        <w:ind w:left="90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允许偏离（但提供的投标产品须能够满足采购人的使用需求）</w:t>
      </w:r>
    </w:p>
    <w:p>
      <w:pPr>
        <w:pStyle w:val="3"/>
        <w:spacing w:line="500" w:lineRule="exact"/>
        <w:rPr>
          <w:rFonts w:hint="eastAsia" w:ascii="仿宋" w:hAnsi="仿宋" w:eastAsia="仿宋" w:cs="仿宋"/>
          <w:color w:val="auto"/>
          <w:sz w:val="24"/>
          <w:szCs w:val="24"/>
          <w:highlight w:val="none"/>
        </w:rPr>
      </w:pPr>
      <w:bookmarkStart w:id="47" w:name="_Toc29502"/>
      <w:bookmarkStart w:id="48" w:name="_Toc25581"/>
      <w:bookmarkStart w:id="49" w:name="_Toc23543"/>
      <w:bookmarkStart w:id="50" w:name="_Toc16679"/>
      <w:bookmarkStart w:id="51" w:name="_Toc8639"/>
      <w:bookmarkStart w:id="52" w:name="_Toc23174"/>
      <w:bookmarkStart w:id="53" w:name="_Toc21961"/>
      <w:r>
        <w:rPr>
          <w:rFonts w:hint="eastAsia" w:ascii="仿宋" w:hAnsi="仿宋" w:eastAsia="仿宋" w:cs="仿宋"/>
          <w:color w:val="auto"/>
          <w:sz w:val="24"/>
          <w:szCs w:val="24"/>
          <w:highlight w:val="none"/>
        </w:rPr>
        <w:t>2.竞争性磋商文件</w:t>
      </w:r>
      <w:bookmarkEnd w:id="46"/>
      <w:bookmarkEnd w:id="47"/>
      <w:bookmarkEnd w:id="48"/>
      <w:bookmarkEnd w:id="49"/>
      <w:bookmarkEnd w:id="50"/>
      <w:bookmarkEnd w:id="51"/>
      <w:bookmarkEnd w:id="52"/>
      <w:bookmarkEnd w:id="53"/>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2.1 竞争性磋商文件的组成</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Style w:val="37"/>
          <w:rFonts w:hint="eastAsia" w:ascii="仿宋" w:hAnsi="仿宋" w:eastAsia="仿宋" w:cs="仿宋"/>
          <w:color w:val="auto"/>
          <w:sz w:val="24"/>
          <w:highlight w:val="none"/>
          <w:u w:val="none"/>
          <w:lang w:val="zh-CN"/>
        </w:rPr>
        <w:t>竞争性磋商公告</w:t>
      </w:r>
      <w:r>
        <w:rPr>
          <w:rFonts w:hint="eastAsia" w:ascii="仿宋" w:hAnsi="仿宋" w:eastAsia="仿宋" w:cs="仿宋"/>
          <w:color w:val="auto"/>
          <w:sz w:val="24"/>
          <w:highlight w:val="none"/>
        </w:rPr>
        <w:t>；</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（2）供应商须知；</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（3）评标办法；</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（4）合同书格式；</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标准及要求；</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（6）响应文件格式。</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根据本章第2.2 款对竞争性磋商文件所作的澄清、补充和修改，构成竞争性磋商文件的组成部分。</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2.2 竞争性磋商文件的澄清、修改</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2.2.1 </w:t>
      </w:r>
      <w:r>
        <w:rPr>
          <w:rFonts w:hint="eastAsia" w:ascii="仿宋" w:hAnsi="仿宋" w:eastAsia="仿宋" w:cs="仿宋"/>
          <w:color w:val="auto"/>
          <w:sz w:val="24"/>
          <w:highlight w:val="none"/>
          <w:lang w:val="zh-CN"/>
        </w:rPr>
        <w:t>提交首次</w:t>
      </w: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val="zh-CN"/>
        </w:rPr>
        <w:t>文件截止之日前，</w:t>
      </w:r>
      <w:r>
        <w:rPr>
          <w:rFonts w:hint="eastAsia" w:ascii="仿宋" w:hAnsi="仿宋" w:eastAsia="仿宋" w:cs="仿宋"/>
          <w:color w:val="auto"/>
          <w:sz w:val="24"/>
          <w:highlight w:val="none"/>
        </w:rPr>
        <w:t>采购</w:t>
      </w:r>
      <w:r>
        <w:rPr>
          <w:rFonts w:hint="eastAsia" w:ascii="仿宋" w:hAnsi="仿宋" w:eastAsia="仿宋" w:cs="仿宋"/>
          <w:color w:val="auto"/>
          <w:sz w:val="24"/>
          <w:highlight w:val="none"/>
          <w:lang w:val="zh-CN"/>
        </w:rPr>
        <w:t>人、代理机构可以对已发出的</w:t>
      </w:r>
      <w:r>
        <w:rPr>
          <w:rFonts w:hint="eastAsia" w:ascii="仿宋" w:hAnsi="仿宋" w:eastAsia="仿宋" w:cs="仿宋"/>
          <w:color w:val="auto"/>
          <w:sz w:val="24"/>
          <w:highlight w:val="none"/>
        </w:rPr>
        <w:t>竞争性磋商</w:t>
      </w:r>
      <w:r>
        <w:rPr>
          <w:rFonts w:hint="eastAsia" w:ascii="仿宋" w:hAnsi="仿宋" w:eastAsia="仿宋" w:cs="仿宋"/>
          <w:color w:val="auto"/>
          <w:sz w:val="24"/>
          <w:highlight w:val="none"/>
          <w:lang w:val="zh-CN"/>
        </w:rPr>
        <w:t>文件进行必要的澄清或者修改，</w:t>
      </w:r>
      <w:r>
        <w:rPr>
          <w:rFonts w:hint="eastAsia" w:ascii="仿宋" w:hAnsi="仿宋" w:eastAsia="仿宋" w:cs="仿宋"/>
          <w:color w:val="auto"/>
          <w:sz w:val="24"/>
          <w:highlight w:val="none"/>
        </w:rPr>
        <w:t>磋商文件的澄清、修改按照供应商须知前附表的规定发布在公告发布的网址上，请供应商及时查阅。</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2.2.2供应商在获取竞争性磋商文件后，应仔细阅读和检查竞争性磋商文件后的全部内容。如发现缺页或附件不全，应及时向采购人提出，以便补齐。如有疑问，应在供应商须知前附表规定的时间、形式，要求采购人人对竞争性磋商文件予以澄清。供应商如不提出疑问，采购人及代理公司将视为完全认同竞争性磋商文件。</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采购人、代理机构对已发出的磋商文件进行的澄清或者修改，澄清或者修改的内容作为磋商文件的组成部分。澄清或者修改的内容可能影响竞争性磋商文件编制的，采购人、代理机构应当在首次提交竞争性磋商文件截止时间至少5日前，以书面形式通知所有获取磋商文件的供应商；不足5日的，采购人、代理机构应当顺延提交磋商文件截止时间。</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 供应商在收到澄清或修改后，应在供应商须知前附表规定的时间内以书面形式通知采购人，确认已收到该澄清或修改。</w:t>
      </w:r>
    </w:p>
    <w:p>
      <w:pPr>
        <w:pStyle w:val="3"/>
        <w:numPr>
          <w:ilvl w:val="0"/>
          <w:numId w:val="3"/>
        </w:numPr>
        <w:spacing w:line="500" w:lineRule="exact"/>
        <w:rPr>
          <w:rFonts w:hint="eastAsia" w:ascii="仿宋" w:hAnsi="仿宋" w:eastAsia="仿宋" w:cs="仿宋"/>
          <w:color w:val="auto"/>
          <w:sz w:val="24"/>
          <w:szCs w:val="24"/>
          <w:highlight w:val="none"/>
        </w:rPr>
      </w:pPr>
      <w:bookmarkStart w:id="54" w:name="_Toc13475"/>
      <w:bookmarkStart w:id="55" w:name="_Toc22647"/>
      <w:bookmarkStart w:id="56" w:name="_Toc7336"/>
      <w:bookmarkStart w:id="57" w:name="_Toc28989"/>
      <w:bookmarkStart w:id="58" w:name="_Toc15243"/>
      <w:bookmarkStart w:id="59" w:name="_Toc29313"/>
      <w:r>
        <w:rPr>
          <w:rFonts w:hint="eastAsia" w:ascii="仿宋" w:hAnsi="仿宋" w:eastAsia="仿宋" w:cs="仿宋"/>
          <w:color w:val="auto"/>
          <w:sz w:val="24"/>
          <w:szCs w:val="24"/>
          <w:highlight w:val="none"/>
        </w:rPr>
        <w:t>响应文件</w:t>
      </w:r>
      <w:bookmarkEnd w:id="54"/>
      <w:bookmarkEnd w:id="55"/>
      <w:bookmarkEnd w:id="56"/>
      <w:bookmarkEnd w:id="57"/>
      <w:bookmarkEnd w:id="58"/>
      <w:bookmarkEnd w:id="59"/>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3.1响应文件的组成</w:t>
      </w:r>
    </w:p>
    <w:p>
      <w:pPr>
        <w:spacing w:line="50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一、报价函</w:t>
      </w:r>
    </w:p>
    <w:p>
      <w:pPr>
        <w:spacing w:line="50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二、报价一览表</w:t>
      </w:r>
    </w:p>
    <w:p>
      <w:pPr>
        <w:spacing w:line="50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三、法定代表人身份证明 </w:t>
      </w:r>
    </w:p>
    <w:p>
      <w:pPr>
        <w:spacing w:line="50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四、技术部分</w:t>
      </w:r>
    </w:p>
    <w:p>
      <w:pPr>
        <w:spacing w:line="50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五、商务/技术条款偏离表</w:t>
      </w:r>
    </w:p>
    <w:p>
      <w:pPr>
        <w:spacing w:line="50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六、资格审查资料</w:t>
      </w:r>
    </w:p>
    <w:p>
      <w:pPr>
        <w:spacing w:line="50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七、菏泽市政府采购供应商资格信用承诺函</w:t>
      </w:r>
    </w:p>
    <w:p>
      <w:pPr>
        <w:spacing w:line="50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八、供应商认为需提交的其他资料</w:t>
      </w:r>
    </w:p>
    <w:p>
      <w:pPr>
        <w:spacing w:line="50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九、供应商认为有必要提供的其他资料文件</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 构成响应文件的其他材料</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 按照磋商小组要求递交的澄清、补充、修改及说明。</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3.3响应文件报价要求</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供应商应按照竞争性磋商文件的具体要求编写响应文件，并对其提交的响应文件的真实性、合法性承担法律责任。项目进行过程中，若发现供应商提供虚假材料谋求中标，在评审过程中该供应商将被取消投标资格，在成交后将被取消成交资格且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3.3.2供应商应对竞争性磋商文件内所要采购的全部内容进行报价，只投其中部分内容者，则响应文件无效；报价内容只允许填一个报价，采购人不接受任何有选择性的报价。</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报价范围包含完成项目发生和涉及的全部费用，各供应商结合企业自身情况，在充分考虑相关工作成本动态因素和企业管理水平的基础上，进行自主报价。报价在合同服务期间不因市场和政策因素变化而变动。供应商在计算报价时，应充分考虑企业自身实力和承受风险的能力。投保前所发生的一切费用由供应商承担。</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3.3.4响应文件中的报价全部采用人民币表示，除非合同的特殊条款另有规定。</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3.3.5代理服务费详见供应商须知前附表规定，由成交供应商在领取成交通知书时一次性支付，上述费用供应商要综合考虑分摊到投标报价中。</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3.3.6项目结算依据，项目采购合同、经采购人签字认证的变更及有关协议。</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3.4竞争性磋商文件有效期</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在供应商须知前附表规定的响应文件有效期内，供应商不得要求撤销或修改其响应文件。</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 出现特殊情况需要延长响应文件有效期的，采购人以书面形式通知所有供应商延长有效期。</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3.5 资格审查资料</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在编制响应文件时，应按照本项目磋商文件的要求提交资格审查资料，以证明供应商具备完成本项目的能力和信誉。在磋商过程中，供应商名称发生变更的，必须提供企业所在地工商行政管理部门出具的相关证明，否则其响应文件将被拒绝；更换供应商的，其响应文件将被拒绝。</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3.6响应文件的编制</w:t>
      </w:r>
    </w:p>
    <w:p>
      <w:pPr>
        <w:spacing w:line="500" w:lineRule="exact"/>
        <w:ind w:firstLine="480" w:firstLineChars="200"/>
        <w:rPr>
          <w:rFonts w:hint="eastAsia" w:ascii="仿宋" w:hAnsi="仿宋" w:eastAsia="仿宋" w:cs="仿宋"/>
          <w:color w:val="auto"/>
          <w:sz w:val="24"/>
          <w:highlight w:val="none"/>
        </w:rPr>
      </w:pPr>
      <w:bookmarkStart w:id="60" w:name="_Toc414539106"/>
      <w:bookmarkStart w:id="61" w:name="_Toc2428"/>
      <w:bookmarkStart w:id="62" w:name="_Toc27998"/>
      <w:bookmarkStart w:id="63" w:name="_Toc27199"/>
      <w:bookmarkStart w:id="64" w:name="_Toc20035"/>
      <w:r>
        <w:rPr>
          <w:rFonts w:hint="eastAsia" w:ascii="仿宋" w:hAnsi="仿宋" w:eastAsia="仿宋" w:cs="仿宋"/>
          <w:color w:val="auto"/>
          <w:sz w:val="24"/>
          <w:highlight w:val="none"/>
        </w:rPr>
        <w:t>3.6.1电子响应文件应按照统一的“电子响应文件制作工具”以及采购文件要求进行制作 编制。响应文件制作时，应按照采购文件中明确的响应文件目录和格式进行编制，保证目录清晰、内容完整，不同内容按标签提示导入。</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3.6.2响应文件应当对采购文件有关</w:t>
      </w:r>
      <w:r>
        <w:rPr>
          <w:rFonts w:hint="eastAsia" w:ascii="仿宋" w:hAnsi="仿宋" w:eastAsia="仿宋" w:cs="仿宋"/>
          <w:color w:val="auto"/>
          <w:sz w:val="24"/>
          <w:highlight w:val="none"/>
          <w:lang w:eastAsia="zh-CN"/>
        </w:rPr>
        <w:t>质保期</w:t>
      </w:r>
      <w:r>
        <w:rPr>
          <w:rFonts w:hint="eastAsia" w:ascii="仿宋" w:hAnsi="仿宋" w:eastAsia="仿宋" w:cs="仿宋"/>
          <w:color w:val="auto"/>
          <w:sz w:val="24"/>
          <w:highlight w:val="none"/>
        </w:rPr>
        <w:t>、投标有效期、服务</w:t>
      </w:r>
      <w:r>
        <w:rPr>
          <w:rFonts w:hint="eastAsia" w:ascii="仿宋" w:hAnsi="仿宋" w:eastAsia="仿宋" w:cs="仿宋"/>
          <w:color w:val="auto"/>
          <w:sz w:val="24"/>
          <w:highlight w:val="none"/>
          <w:lang w:eastAsia="zh-CN"/>
        </w:rPr>
        <w:t>标准</w:t>
      </w:r>
      <w:r>
        <w:rPr>
          <w:rFonts w:hint="eastAsia" w:ascii="仿宋" w:hAnsi="仿宋" w:eastAsia="仿宋" w:cs="仿宋"/>
          <w:color w:val="auto"/>
          <w:sz w:val="24"/>
          <w:highlight w:val="none"/>
        </w:rPr>
        <w:t>、项目说明、响应文件的编制等实质性内容作出响应。响应文件不响应本采购文件的实质性要求和条件的，其投标将作为无效投标予以否决。</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3.6.3电子响应文件须按照采购文件要求使用CA加盖供应商电子公章以及法定代表人电子签章，否则将导致其投标被拒绝。</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3.6.4电子响应文件制作工具在生成加密响应文件时，同时生成非加密响应文件一份，并可使用电子响应文件制作工具导出PDF格式的响应文件。</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3.6.5电子采购文件、电子响应文件具有法律效力，与其他形式的采购文件、响应文件在内容和格式上等同，若响应文件与采购文件要求不一致，其内容影响中标结果时，责任由供应商自行承担。供应商递交的电子响应文件因供应商自身原因而导致无法导入电子辅助评标系统的，该响应文件视为无效响应文件，将导致其报价被拒绝。</w:t>
      </w:r>
    </w:p>
    <w:p>
      <w:pPr>
        <w:pStyle w:val="3"/>
        <w:spacing w:line="500" w:lineRule="exact"/>
        <w:rPr>
          <w:rFonts w:hint="eastAsia" w:ascii="仿宋" w:hAnsi="仿宋" w:eastAsia="仿宋" w:cs="仿宋"/>
          <w:color w:val="auto"/>
          <w:sz w:val="24"/>
          <w:szCs w:val="24"/>
          <w:highlight w:val="none"/>
        </w:rPr>
      </w:pPr>
      <w:bookmarkStart w:id="65" w:name="_Toc27103"/>
      <w:bookmarkStart w:id="66" w:name="_Toc30524"/>
      <w:bookmarkStart w:id="67" w:name="_Toc24683"/>
      <w:r>
        <w:rPr>
          <w:rFonts w:hint="eastAsia" w:ascii="仿宋" w:hAnsi="仿宋" w:eastAsia="仿宋" w:cs="仿宋"/>
          <w:color w:val="auto"/>
          <w:sz w:val="24"/>
          <w:szCs w:val="24"/>
          <w:highlight w:val="none"/>
        </w:rPr>
        <w:t>4.</w:t>
      </w:r>
      <w:bookmarkEnd w:id="60"/>
      <w:bookmarkEnd w:id="61"/>
      <w:r>
        <w:rPr>
          <w:rFonts w:hint="eastAsia" w:ascii="仿宋" w:hAnsi="仿宋" w:eastAsia="仿宋" w:cs="仿宋"/>
          <w:color w:val="auto"/>
          <w:sz w:val="24"/>
          <w:szCs w:val="24"/>
          <w:highlight w:val="none"/>
        </w:rPr>
        <w:t>响应文件的递交</w:t>
      </w:r>
      <w:bookmarkEnd w:id="62"/>
      <w:bookmarkEnd w:id="63"/>
      <w:bookmarkEnd w:id="64"/>
      <w:bookmarkEnd w:id="65"/>
      <w:bookmarkEnd w:id="66"/>
      <w:bookmarkEnd w:id="67"/>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4.1响应文件的递交截止时间及地点</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4.1.1供应商递交响应文件的截止时间：见供应商须知前附表。</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4.1.2 供应商递交响应文件的地点：见供应商须知前附表。</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4.1.3供应商所递交的响应文件不予退还。</w:t>
      </w:r>
    </w:p>
    <w:p>
      <w:pPr>
        <w:spacing w:line="500" w:lineRule="exact"/>
        <w:ind w:firstLine="410" w:firstLineChars="17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4.1.4逾期送达的或者未送达指定地点的响应文件，代理机构不予受理。</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4.2响应文件的修改与撤回</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4.2.1 在本章第4.1.1 项规定的递交响应文件截止时间前，供应商可以修改或撤回已递交的响应文件，但应以书面形式通知采购人。</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4.2.2 供应商修改或撤回已递交响应文件的书面通知应按照本章第3.6.2项的要求签字或盖章。</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4.2.3 修改的内容为响应文件的组成部分。修改的响应文件应按照本章第3.6项规定进行编制、密封、标记和递交，并标明“修改”字样。</w:t>
      </w:r>
    </w:p>
    <w:p>
      <w:pPr>
        <w:pStyle w:val="3"/>
        <w:numPr>
          <w:ilvl w:val="0"/>
          <w:numId w:val="4"/>
        </w:numPr>
        <w:spacing w:line="500" w:lineRule="exact"/>
        <w:rPr>
          <w:rFonts w:hint="eastAsia" w:ascii="仿宋" w:hAnsi="仿宋" w:eastAsia="仿宋" w:cs="仿宋"/>
          <w:color w:val="auto"/>
          <w:sz w:val="24"/>
          <w:szCs w:val="24"/>
          <w:highlight w:val="none"/>
        </w:rPr>
      </w:pPr>
      <w:bookmarkStart w:id="68" w:name="_Toc3220"/>
      <w:bookmarkStart w:id="69" w:name="_Toc28485"/>
      <w:bookmarkStart w:id="70" w:name="_Toc13122"/>
      <w:bookmarkStart w:id="71" w:name="_Toc21837"/>
      <w:bookmarkStart w:id="72" w:name="_Toc28139"/>
      <w:bookmarkStart w:id="73" w:name="_Toc3265"/>
      <w:bookmarkStart w:id="74" w:name="_Toc2883"/>
      <w:r>
        <w:rPr>
          <w:rFonts w:hint="eastAsia" w:ascii="仿宋" w:hAnsi="仿宋" w:eastAsia="仿宋" w:cs="仿宋"/>
          <w:color w:val="auto"/>
          <w:sz w:val="24"/>
          <w:szCs w:val="24"/>
          <w:highlight w:val="none"/>
        </w:rPr>
        <w:t>报价</w:t>
      </w:r>
      <w:bookmarkEnd w:id="68"/>
      <w:bookmarkEnd w:id="69"/>
      <w:bookmarkEnd w:id="70"/>
      <w:bookmarkEnd w:id="71"/>
      <w:bookmarkEnd w:id="72"/>
      <w:bookmarkEnd w:id="73"/>
      <w:bookmarkEnd w:id="74"/>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5.1 时间和地点</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5.1.1采购人在供应商须知前附表内规定的时间、地点举行磋商会议。</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 磋商会议</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主持人按下列程序进行磋商：</w:t>
      </w:r>
    </w:p>
    <w:p>
      <w:pPr>
        <w:spacing w:line="500" w:lineRule="exact"/>
        <w:ind w:firstLine="360" w:firstLineChars="150"/>
        <w:rPr>
          <w:rFonts w:hint="eastAsia" w:ascii="仿宋" w:hAnsi="仿宋" w:eastAsia="仿宋" w:cs="仿宋"/>
          <w:color w:val="auto"/>
          <w:sz w:val="24"/>
          <w:highlight w:val="none"/>
        </w:rPr>
      </w:pPr>
      <w:bookmarkStart w:id="75" w:name="_Toc1123"/>
      <w:bookmarkStart w:id="76" w:name="_Toc15008"/>
      <w:r>
        <w:rPr>
          <w:rFonts w:hint="eastAsia" w:ascii="仿宋" w:hAnsi="仿宋" w:eastAsia="仿宋" w:cs="仿宋"/>
          <w:color w:val="auto"/>
          <w:sz w:val="24"/>
          <w:highlight w:val="none"/>
        </w:rPr>
        <w:t xml:space="preserve">（1）宣布开标纪律； </w:t>
      </w:r>
    </w:p>
    <w:p>
      <w:pPr>
        <w:spacing w:line="5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（2）公布在投标截止时间前递交响应文件的供应商名称； </w:t>
      </w:r>
    </w:p>
    <w:p>
      <w:pPr>
        <w:spacing w:line="5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）供应商使用CA在线签章； </w:t>
      </w:r>
    </w:p>
    <w:p>
      <w:pPr>
        <w:spacing w:line="5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）公开唱标； </w:t>
      </w:r>
    </w:p>
    <w:p>
      <w:pPr>
        <w:spacing w:line="5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）开标会议结束。 </w:t>
      </w:r>
    </w:p>
    <w:p>
      <w:pPr>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 磋商</w:t>
      </w:r>
      <w:bookmarkEnd w:id="75"/>
      <w:bookmarkEnd w:id="76"/>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6.1 磋商小组</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6.1.1采购人将根据本采购项目特点，依法组建磋商小组。磋商小组由采购人代表和评审专家3人及3人以上单数组成，其中评审专家人数不得少于竞争性磋商小组成员总数的2/3。磋商小组负责对响应文件进行审查、澄清，经采购人授权直接确定成交供应商。</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6.1.2 磋商小组成员有下列情形之一的，应当回避：</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（1）采购人或供应商的主要负责人的近亲属；</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（2）与供应商有经济利益关系，可能影响公正磋商的；</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（3）曾因在采购、磋商以及其他与采购有关活动中从事违法行为而受过行政处罚或刑事处罚的。</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6.2 磋商原则</w:t>
      </w:r>
    </w:p>
    <w:p>
      <w:pPr>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磋商活动遵循公平、公正、科学和择优的原则。磋商小组按照这一原则的要求，平等地对待各参加磋商供应商。同时，在磋商过程中恪守以下原则：</w:t>
      </w:r>
    </w:p>
    <w:p>
      <w:pPr>
        <w:spacing w:line="5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（1）客观性原则：磋商小组将严格按照竞争性磋商文件要求的内容，对参加磋商供应商的响应文件进行认真评审；磋商小组对响应文件的评审仅依靠竞争性磋商文件本身，而不依靠其他的任何因素。</w:t>
      </w:r>
    </w:p>
    <w:p>
      <w:pPr>
        <w:spacing w:line="5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（2）统一性原则：磋商小组将按照统一的磋商原则和评审方法，对各参加磋商供应商的竞争性磋商文件进行综合评审。</w:t>
      </w:r>
    </w:p>
    <w:p>
      <w:pPr>
        <w:spacing w:line="5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（3）独立性原则：评审工作在磋商小组内部独立进行，不受外界任何因素的干扰和影响。磋商小组成员对出具的专家意见承担个人责任。</w:t>
      </w:r>
    </w:p>
    <w:p>
      <w:pPr>
        <w:spacing w:line="5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（4）保密性原则：磋商小组成员及有关工作人员将保守参加磋商供应商的商业秘密。</w:t>
      </w:r>
    </w:p>
    <w:p>
      <w:pPr>
        <w:spacing w:line="5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（5）综合性原则：磋商小组将综合分析、评审参加磋商供应商的各项指标，而不以单项指标的优劣评定成交供应商。</w:t>
      </w:r>
    </w:p>
    <w:p>
      <w:pPr>
        <w:spacing w:line="5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（6）集体决定的原则：由磋商小组集体讨论确定成交供应商。</w:t>
      </w:r>
    </w:p>
    <w:p>
      <w:pPr>
        <w:spacing w:line="500" w:lineRule="exact"/>
        <w:rPr>
          <w:rFonts w:hint="eastAsia" w:ascii="仿宋" w:hAnsi="仿宋" w:eastAsia="仿宋" w:cs="仿宋"/>
          <w:color w:val="auto"/>
          <w:sz w:val="24"/>
          <w:highlight w:val="none"/>
        </w:rPr>
      </w:pPr>
      <w:bookmarkStart w:id="77" w:name="_Toc285809501"/>
      <w:r>
        <w:rPr>
          <w:rFonts w:hint="eastAsia" w:ascii="仿宋" w:hAnsi="仿宋" w:eastAsia="仿宋" w:cs="仿宋"/>
          <w:color w:val="auto"/>
          <w:sz w:val="24"/>
          <w:highlight w:val="none"/>
        </w:rPr>
        <w:t>6.3 评审纪律</w:t>
      </w:r>
      <w:bookmarkEnd w:id="77"/>
      <w:r>
        <w:rPr>
          <w:rFonts w:hint="eastAsia" w:ascii="仿宋" w:hAnsi="仿宋" w:eastAsia="仿宋" w:cs="仿宋"/>
          <w:color w:val="auto"/>
          <w:sz w:val="24"/>
          <w:highlight w:val="none"/>
        </w:rPr>
        <w:tab/>
      </w:r>
    </w:p>
    <w:p>
      <w:pPr>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6.3.1 为了规范评审活动，保证评审的公平、公正，维护政府采购活动当事人的合法权益，依据《中华人民共和国政府采购法》等国家有关法律、法规制定本规定。</w:t>
      </w:r>
    </w:p>
    <w:p>
      <w:pPr>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6.3.2 评审活动遵循公平、公正、科学、择优的原则依法进行，任何单位和个人不得非法干预或影响评标过程和结果。</w:t>
      </w:r>
    </w:p>
    <w:p>
      <w:pPr>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6.3.3 评审活动在严格保密的情况下进行，只有在山东省政府采购信息公开平台专家库中随机抽取的磋商小组的成员、监督人员及经批准的采购人或者其委托的代理机构的有关工作人员参加。其他任何人员不得随意进入评审地点。</w:t>
      </w:r>
    </w:p>
    <w:p>
      <w:pPr>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6.3.4 在评审过程中，只有磋商小组的成员享有评审发言权，其他人员不得随意发表意见。</w:t>
      </w:r>
    </w:p>
    <w:p>
      <w:pPr>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6.3.5 磋商小组成员应当客观、公正地履行职责，遵守职业道德，对所提出的评审意见承担个人责任。</w:t>
      </w:r>
    </w:p>
    <w:p>
      <w:pPr>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6.3.6 磋商小组应当根据竞争性磋商文件规定的评标标准和方法，对响应文件进行系统地评审和比较。磋商文件中没有规定的标准和方法不得作为评审的依据。</w:t>
      </w:r>
    </w:p>
    <w:p>
      <w:pPr>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6.3.7 磋商小组成员不得与任何供应商或者与评审结果有利害关系的人进行私下接触，不得收受供应商、中介人、其他利害关系人的财物或者其他好处。</w:t>
      </w:r>
    </w:p>
    <w:p>
      <w:pPr>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6.3.8 评审期间，磋商小组成员不得单独出入评审地点、与外界通讯、会客等。</w:t>
      </w:r>
    </w:p>
    <w:p>
      <w:pPr>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6.3.9 磋商小组成员和与评审活动有关的工作人员不得透露对响应文件的评审和比较、成交候选人的推荐情况以及与评审有关的其他情况。</w:t>
      </w:r>
    </w:p>
    <w:p>
      <w:pPr>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6.3.10 评审结束后，磋商小组成员应将全部资料整理上交采购人或者代理机构，严禁将评审过程中有关资料向供应商或者其他单位提供。</w:t>
      </w:r>
    </w:p>
    <w:p>
      <w:pPr>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6.3.11 磋商小组成员在评审过程中擅离职守，影响评审程序正常进行或者在评审过程中不能客观公正地履行职责的，给予警告；情节严重的，取消担任磋商小组成员的资格，不得再参加依法必须进行采购项目的评审，并处一万元以下的罚款；构成犯罪的，依法追究刑事责任。</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6.4磋商</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6.4.1 磋商小组按照第三章“评标办法”规定的方法、评审因素、标准和程序对响应文件进行评审。第三章“评标办法”没有规定的方法、评审因素和标准，不作为评审依据。</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6.4.2为了有助于响应文件的检查和评审，磋商小组可以要求供应商澄清其提交的响应文件。采购人的澄清要求和供应商的答复均应以书面形式为准，供应商不得修改响应文件报价或响应文件中其它实质性内容，经澄清的问题需由供应商签字认可后作为响应文件的组成部分。</w:t>
      </w:r>
    </w:p>
    <w:p>
      <w:pPr>
        <w:pStyle w:val="3"/>
        <w:spacing w:line="500" w:lineRule="exact"/>
        <w:rPr>
          <w:rFonts w:hint="eastAsia" w:ascii="仿宋" w:hAnsi="仿宋" w:eastAsia="仿宋" w:cs="仿宋"/>
          <w:color w:val="auto"/>
          <w:sz w:val="24"/>
          <w:szCs w:val="24"/>
          <w:highlight w:val="none"/>
        </w:rPr>
      </w:pPr>
      <w:bookmarkStart w:id="78" w:name="_Toc17137"/>
      <w:bookmarkStart w:id="79" w:name="_Toc32244"/>
      <w:bookmarkStart w:id="80" w:name="_Toc3752"/>
      <w:bookmarkStart w:id="81" w:name="_Toc30107"/>
      <w:bookmarkStart w:id="82" w:name="_Toc5586"/>
      <w:bookmarkStart w:id="83" w:name="_Toc127"/>
      <w:bookmarkStart w:id="84" w:name="_Toc29821"/>
      <w:r>
        <w:rPr>
          <w:rFonts w:hint="eastAsia" w:ascii="仿宋" w:hAnsi="仿宋" w:eastAsia="仿宋" w:cs="仿宋"/>
          <w:color w:val="auto"/>
          <w:sz w:val="24"/>
          <w:szCs w:val="24"/>
          <w:highlight w:val="none"/>
        </w:rPr>
        <w:t>7. 合同授予</w:t>
      </w:r>
      <w:bookmarkEnd w:id="78"/>
      <w:bookmarkEnd w:id="79"/>
      <w:bookmarkEnd w:id="80"/>
      <w:bookmarkEnd w:id="81"/>
      <w:bookmarkEnd w:id="82"/>
      <w:bookmarkEnd w:id="83"/>
      <w:bookmarkEnd w:id="84"/>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7.1 成交方式</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根据磋商文件的评审方法及原则，对响应文件进行评审和比较，向采购人提出书面评审报告，并按综合得分高低排列顺序（即评审合格且得分最高的为第一中标候选人，依次类推），推荐3名合格的成交候选人。采购人根据提出的书面评审报告和推荐的成交候选人，确定排名第一的成交候选人为成交单位。排名第一的中标候选人放弃中标、因不可抗力提出不能履行合同或者因违反相关规定被依法取消其成交资格的，采购人可以确定排名第二的成交候选人为成交单位。排名第二的成交候选人因前款规定的同样原因不能签订合同的，采购人可以确定排名第三的成交候选人为成交单位。采购人有权根据项目情况重新组织招标。</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7.2 成交通知</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在本章第3.4 款规定的响应文件有效期内，采购人以书面形式向成交供应商发出成交通知书。</w:t>
      </w:r>
    </w:p>
    <w:p>
      <w:pPr>
        <w:spacing w:line="500" w:lineRule="exact"/>
        <w:outlineLvl w:val="1"/>
        <w:rPr>
          <w:rFonts w:hint="eastAsia" w:ascii="仿宋" w:hAnsi="仿宋" w:eastAsia="仿宋" w:cs="仿宋"/>
          <w:bCs/>
          <w:color w:val="auto"/>
          <w:sz w:val="24"/>
          <w:highlight w:val="none"/>
        </w:rPr>
      </w:pPr>
      <w:bookmarkStart w:id="85" w:name="_Toc494967549"/>
      <w:bookmarkStart w:id="86" w:name="_Toc494915082"/>
      <w:bookmarkStart w:id="87" w:name="_Toc494970159"/>
      <w:bookmarkStart w:id="88" w:name="_Toc2381"/>
      <w:r>
        <w:rPr>
          <w:rFonts w:hint="eastAsia" w:ascii="仿宋" w:hAnsi="仿宋" w:eastAsia="仿宋" w:cs="仿宋"/>
          <w:bCs/>
          <w:color w:val="auto"/>
          <w:sz w:val="24"/>
          <w:highlight w:val="none"/>
        </w:rPr>
        <w:t>7.3 签订合同</w:t>
      </w:r>
      <w:bookmarkEnd w:id="85"/>
      <w:bookmarkEnd w:id="86"/>
      <w:bookmarkEnd w:id="87"/>
      <w:bookmarkEnd w:id="88"/>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7.3.1 采购人和成交供应商应当自成交通知书发出之日起10</w:t>
      </w:r>
      <w:r>
        <w:rPr>
          <w:rFonts w:hint="eastAsia" w:ascii="仿宋" w:hAnsi="仿宋" w:eastAsia="仿宋" w:cs="仿宋"/>
          <w:color w:val="auto"/>
          <w:sz w:val="24"/>
          <w:highlight w:val="none"/>
          <w:lang w:val="en-US" w:eastAsia="zh-CN"/>
        </w:rPr>
        <w:t>个工作日</w:t>
      </w:r>
      <w:r>
        <w:rPr>
          <w:rFonts w:hint="eastAsia" w:ascii="仿宋" w:hAnsi="仿宋" w:eastAsia="仿宋" w:cs="仿宋"/>
          <w:color w:val="auto"/>
          <w:sz w:val="24"/>
          <w:highlight w:val="none"/>
        </w:rPr>
        <w:t>内，根据响应文件和成交供应商的竞争性磋商文件订立书面合同。成交供应商无正当理由拒签合同的，采购人取消其成交资格。</w:t>
      </w:r>
    </w:p>
    <w:p>
      <w:pPr>
        <w:spacing w:line="500" w:lineRule="exact"/>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7.3.2 发出成交通知书后，采购人无正当理由拒签合同的，给成交供应商造成损失的，还应当赔偿损失。</w:t>
      </w:r>
    </w:p>
    <w:p>
      <w:pPr>
        <w:pStyle w:val="3"/>
        <w:spacing w:line="500" w:lineRule="exact"/>
        <w:rPr>
          <w:rFonts w:hint="eastAsia" w:ascii="仿宋" w:hAnsi="仿宋" w:eastAsia="仿宋" w:cs="仿宋"/>
          <w:color w:val="auto"/>
          <w:sz w:val="24"/>
          <w:szCs w:val="24"/>
          <w:highlight w:val="none"/>
        </w:rPr>
      </w:pPr>
      <w:bookmarkStart w:id="89" w:name="_Toc6387"/>
      <w:bookmarkStart w:id="90" w:name="_Toc6529"/>
      <w:bookmarkStart w:id="91" w:name="_Toc2832"/>
      <w:bookmarkStart w:id="92" w:name="_Toc12509"/>
      <w:bookmarkStart w:id="93" w:name="_Toc5182"/>
      <w:bookmarkStart w:id="94" w:name="_Toc437"/>
      <w:bookmarkStart w:id="95" w:name="_Toc898"/>
      <w:r>
        <w:rPr>
          <w:rFonts w:hint="eastAsia" w:ascii="仿宋" w:hAnsi="仿宋" w:eastAsia="仿宋" w:cs="仿宋"/>
          <w:color w:val="auto"/>
          <w:sz w:val="24"/>
          <w:szCs w:val="24"/>
          <w:highlight w:val="none"/>
        </w:rPr>
        <w:t>8. 纪律和监督</w:t>
      </w:r>
      <w:bookmarkEnd w:id="89"/>
      <w:bookmarkEnd w:id="90"/>
      <w:bookmarkEnd w:id="91"/>
      <w:bookmarkEnd w:id="92"/>
      <w:bookmarkEnd w:id="93"/>
      <w:bookmarkEnd w:id="94"/>
      <w:bookmarkEnd w:id="95"/>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8.1 对采购人的纪律要求</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采购人不得泄漏磋商活动中应当保密的情况和资料，不得与供应商串通损害国家利益、社会公共利益或者他人合法权益。</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8.2 对供应商的纪律要求</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供应商不得相互串通或者与采购人串通，不得向采购人或者磋商小组成员行贿谋取成交资格，不得以他人名义或者以其他方式弄虚作假骗取成交资格；供应商不得以任何方式干扰、影响磋商工作。</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8.3 对磋商小组成员的纪律要求</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磋商活动有关的工作人员不得收受他人的财物或者其他好处，不得向他人透漏对响应文件的评审和比较、成交供应商的确定情况以及磋商有关的其他情况。在磋商活动中，与磋商活动有关的工作人员不得擅离职守，影响磋商程序正常进行。</w:t>
      </w:r>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8.4 投诉</w:t>
      </w:r>
      <w:bookmarkStart w:id="96" w:name="_Toc428972283"/>
      <w:bookmarkStart w:id="97" w:name="_Toc814"/>
      <w:bookmarkStart w:id="98" w:name="_Toc402430909"/>
      <w:bookmarkStart w:id="99" w:name="_Toc10217"/>
      <w:bookmarkStart w:id="100" w:name="_Toc25811"/>
      <w:bookmarkStart w:id="101" w:name="_Toc480827638"/>
      <w:bookmarkStart w:id="102" w:name="_Toc13174"/>
      <w:bookmarkStart w:id="103" w:name="_Toc494053898"/>
    </w:p>
    <w:p>
      <w:pPr>
        <w:spacing w:line="5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8.4.1供应商对政府采购活动事项有疑问的，可以向采购人或采购代理机构提出询问</w:t>
      </w:r>
    </w:p>
    <w:p>
      <w:pPr>
        <w:spacing w:line="5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8.4.2、供应商认为自己的权益受到损害的，可以在法律规定的时间内，以书面形式向采购人或采购代理机构一次性提出针对同一采购程序环节的质疑。</w:t>
      </w:r>
    </w:p>
    <w:p>
      <w:pPr>
        <w:spacing w:line="5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8.4.3、供应商提出质疑的，应提供质疑书原件。</w:t>
      </w:r>
    </w:p>
    <w:p>
      <w:pPr>
        <w:spacing w:line="5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8.4.4、质疑书应当由供应商法定代表人或其授权的委托代理费人签字或盖章并加盖单位章，质疑书由授权的代表签字的应附法定代表人委托授权书。</w:t>
      </w:r>
    </w:p>
    <w:p>
      <w:pPr>
        <w:spacing w:line="5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8.4.5、供应商对采购人或采购代理机构的答复不满意，或采购人或采购代理机构未在规定的期限作出答复的，按政府采购法律法规规定及程序，向财政部提出投诉。</w:t>
      </w:r>
    </w:p>
    <w:p>
      <w:pPr>
        <w:pStyle w:val="3"/>
        <w:spacing w:line="500" w:lineRule="exact"/>
        <w:rPr>
          <w:rFonts w:hint="eastAsia" w:ascii="仿宋" w:hAnsi="仿宋" w:eastAsia="仿宋" w:cs="仿宋"/>
          <w:color w:val="auto"/>
          <w:sz w:val="24"/>
          <w:szCs w:val="24"/>
          <w:highlight w:val="none"/>
        </w:rPr>
      </w:pPr>
      <w:bookmarkStart w:id="104" w:name="_Toc24880"/>
      <w:bookmarkStart w:id="105" w:name="_Toc3314"/>
      <w:bookmarkStart w:id="106" w:name="_Toc23114"/>
      <w:r>
        <w:rPr>
          <w:rFonts w:hint="eastAsia" w:ascii="仿宋" w:hAnsi="仿宋" w:eastAsia="仿宋" w:cs="仿宋"/>
          <w:color w:val="auto"/>
          <w:sz w:val="24"/>
          <w:szCs w:val="24"/>
          <w:highlight w:val="none"/>
        </w:rPr>
        <w:t>9. 关于</w:t>
      </w:r>
      <w:bookmarkEnd w:id="96"/>
      <w:bookmarkEnd w:id="97"/>
      <w:bookmarkEnd w:id="98"/>
      <w:bookmarkEnd w:id="99"/>
      <w:bookmarkEnd w:id="100"/>
      <w:bookmarkEnd w:id="101"/>
      <w:bookmarkEnd w:id="102"/>
      <w:bookmarkEnd w:id="103"/>
      <w:r>
        <w:rPr>
          <w:rFonts w:hint="eastAsia" w:ascii="仿宋" w:hAnsi="仿宋" w:eastAsia="仿宋" w:cs="仿宋"/>
          <w:color w:val="auto"/>
          <w:sz w:val="24"/>
          <w:szCs w:val="24"/>
          <w:highlight w:val="none"/>
        </w:rPr>
        <w:t>无效标</w:t>
      </w:r>
      <w:bookmarkEnd w:id="104"/>
      <w:bookmarkEnd w:id="105"/>
      <w:bookmarkEnd w:id="106"/>
    </w:p>
    <w:p>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9.1投标(响应)文件有下列情形之一的，应当按照无效投标(响应)文件处理:：</w:t>
      </w:r>
    </w:p>
    <w:p>
      <w:pPr>
        <w:spacing w:line="5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9.1.1 在规定的截止时间之后递交的；</w:t>
      </w:r>
    </w:p>
    <w:p>
      <w:pPr>
        <w:spacing w:line="5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9.1.2未按采购文件规定要求密封、签署、盖章的；</w:t>
      </w:r>
    </w:p>
    <w:p>
      <w:pPr>
        <w:spacing w:line="5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9.1.3不具备采购文件中规定的资格要求的；</w:t>
      </w:r>
    </w:p>
    <w:p>
      <w:pPr>
        <w:spacing w:line="5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9.1.4报价超过采购预算的；</w:t>
      </w:r>
    </w:p>
    <w:p>
      <w:pPr>
        <w:spacing w:line="5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9.1.5未全部响应采购文件规定的实质性要求的；</w:t>
      </w:r>
    </w:p>
    <w:p>
      <w:pPr>
        <w:spacing w:line="5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9.1.6不符合法律、法规规定的其他情形。</w:t>
      </w:r>
    </w:p>
    <w:p>
      <w:pPr>
        <w:pStyle w:val="3"/>
        <w:spacing w:line="500" w:lineRule="exact"/>
        <w:rPr>
          <w:rFonts w:hint="eastAsia" w:ascii="仿宋" w:hAnsi="仿宋" w:eastAsia="仿宋" w:cs="仿宋"/>
          <w:color w:val="auto"/>
          <w:sz w:val="24"/>
          <w:szCs w:val="24"/>
          <w:highlight w:val="none"/>
        </w:rPr>
      </w:pPr>
      <w:bookmarkStart w:id="107" w:name="_Toc285809517"/>
      <w:bookmarkStart w:id="108" w:name="_Toc8626"/>
      <w:bookmarkStart w:id="109" w:name="_Toc18352"/>
      <w:bookmarkStart w:id="110" w:name="_Toc494053899"/>
      <w:bookmarkStart w:id="111" w:name="_Toc152045580"/>
      <w:bookmarkStart w:id="112" w:name="_Toc480827639"/>
      <w:bookmarkStart w:id="113" w:name="_Toc7533"/>
      <w:bookmarkStart w:id="114" w:name="_Toc152042357"/>
      <w:bookmarkStart w:id="115" w:name="_Toc24038"/>
      <w:bookmarkStart w:id="116" w:name="_Toc179632598"/>
      <w:bookmarkStart w:id="117" w:name="_Toc18292"/>
      <w:bookmarkStart w:id="118" w:name="_Toc144974547"/>
      <w:bookmarkStart w:id="119" w:name="_Toc26159"/>
      <w:r>
        <w:rPr>
          <w:rFonts w:hint="eastAsia" w:ascii="仿宋" w:hAnsi="仿宋" w:eastAsia="仿宋" w:cs="仿宋"/>
          <w:color w:val="auto"/>
          <w:sz w:val="24"/>
          <w:szCs w:val="24"/>
          <w:highlight w:val="none"/>
        </w:rPr>
        <w:t>10.需要补充的其他内容</w:t>
      </w:r>
      <w:bookmarkEnd w:id="107"/>
      <w:bookmarkEnd w:id="108"/>
      <w:bookmarkEnd w:id="109"/>
      <w:bookmarkEnd w:id="110"/>
      <w:bookmarkEnd w:id="111"/>
      <w:bookmarkEnd w:id="112"/>
      <w:bookmarkEnd w:id="113"/>
      <w:bookmarkEnd w:id="114"/>
      <w:bookmarkEnd w:id="115"/>
      <w:bookmarkEnd w:id="116"/>
      <w:bookmarkEnd w:id="117"/>
      <w:bookmarkEnd w:id="118"/>
      <w:bookmarkEnd w:id="119"/>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供应商须对提供的下列政策功能类文件对评标的调整证明材料真实性负责，严禁供应商提供虚假信息骗取成交，一经发现，取消成交资格，并上报相关部门，禁止其3年内参与政府采购活动。</w:t>
      </w:r>
    </w:p>
    <w:p>
      <w:pPr>
        <w:pStyle w:val="30"/>
        <w:rPr>
          <w:rFonts w:hint="eastAsia" w:ascii="仿宋" w:hAnsi="仿宋" w:eastAsia="仿宋" w:cs="仿宋"/>
          <w:color w:val="auto"/>
          <w:highlight w:val="none"/>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5" w:type="dxa"/>
            <w:vAlign w:val="center"/>
          </w:tcPr>
          <w:p>
            <w:pPr>
              <w:spacing w:line="520" w:lineRule="exact"/>
              <w:jc w:val="center"/>
              <w:rPr>
                <w:rFonts w:hint="eastAsia" w:ascii="仿宋" w:hAnsi="仿宋" w:eastAsia="仿宋" w:cs="仿宋"/>
                <w:color w:val="auto"/>
                <w:kern w:val="0"/>
                <w:sz w:val="24"/>
                <w:highlight w:val="none"/>
              </w:rPr>
            </w:pPr>
            <w:bookmarkStart w:id="120" w:name="OLE_LINK45"/>
            <w:r>
              <w:rPr>
                <w:rFonts w:hint="eastAsia" w:ascii="仿宋" w:hAnsi="仿宋" w:eastAsia="仿宋" w:cs="仿宋"/>
                <w:b/>
                <w:bCs/>
                <w:color w:val="auto"/>
                <w:kern w:val="0"/>
                <w:sz w:val="24"/>
                <w:highlight w:val="none"/>
              </w:rPr>
              <w:t>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5" w:type="dxa"/>
          </w:tcPr>
          <w:p>
            <w:pPr>
              <w:spacing w:line="500" w:lineRule="exact"/>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1）节能环保原则：在本次采购活动中，应当优先购买节能、环保产品。节能、环保产品，是指列入财政部、国家发展改革委制定的《节能产品政府采购清单》和财政部、国家环境保护总局制定的《环境标志产品政府采购清单》的产品。</w:t>
            </w:r>
          </w:p>
          <w:p>
            <w:pPr>
              <w:spacing w:line="5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2）促进小微企业、支持监狱企业发展原则：在本次采购活动中，应当给予小微企业、监狱企业给予最终价格折扣的政府采购政策优惠。小微企业、监狱企业价格扣除，是依据财政部、工信部等部委发布的《政府采购促进中小企业发展暂行办法》、工信部等部委发布的《关于印发中小企业划型标准规定的通知》及财政部、司法部发布的《关于政府采购支持监狱企业发展有关问题的通知》的规定。</w:t>
            </w:r>
          </w:p>
          <w:p>
            <w:pPr>
              <w:spacing w:line="500" w:lineRule="exact"/>
              <w:ind w:firstLine="241" w:firstLineChars="100"/>
              <w:rPr>
                <w:rFonts w:hint="eastAsia" w:ascii="仿宋" w:hAnsi="仿宋" w:eastAsia="仿宋" w:cs="仿宋"/>
                <w:color w:val="auto"/>
                <w:sz w:val="24"/>
                <w:highlight w:val="none"/>
                <w:lang w:val="zh-CN"/>
              </w:rPr>
            </w:pPr>
            <w:r>
              <w:rPr>
                <w:rFonts w:hint="eastAsia" w:ascii="仿宋" w:hAnsi="仿宋" w:eastAsia="仿宋" w:cs="仿宋"/>
                <w:b/>
                <w:bCs/>
                <w:color w:val="auto"/>
                <w:sz w:val="24"/>
                <w:highlight w:val="none"/>
                <w:lang w:val="zh-CN"/>
              </w:rPr>
              <w:t>政策功能类文件对评标的调整</w:t>
            </w:r>
          </w:p>
          <w:p>
            <w:pPr>
              <w:spacing w:line="500" w:lineRule="exact"/>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供应商须对提供的下列政策功能类文件对评标的调整证明材料真实性负责，严禁供应商提供虚假信息骗取中标，一经发现，取消成交资格，并上报相关部门，禁止其3年内参与政府采购活动。</w:t>
            </w:r>
          </w:p>
          <w:p>
            <w:pPr>
              <w:spacing w:line="500" w:lineRule="exact"/>
              <w:ind w:firstLine="241" w:firstLineChars="1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（一）节能环保产品加分（</w:t>
            </w:r>
            <w:r>
              <w:rPr>
                <w:rFonts w:hint="eastAsia" w:ascii="仿宋" w:hAnsi="仿宋" w:eastAsia="仿宋" w:cs="仿宋"/>
                <w:b/>
                <w:bCs/>
                <w:color w:val="auto"/>
                <w:sz w:val="24"/>
                <w:highlight w:val="none"/>
              </w:rPr>
              <w:t>6</w:t>
            </w:r>
            <w:r>
              <w:rPr>
                <w:rFonts w:hint="eastAsia" w:ascii="仿宋" w:hAnsi="仿宋" w:eastAsia="仿宋" w:cs="仿宋"/>
                <w:b/>
                <w:bCs/>
                <w:color w:val="auto"/>
                <w:sz w:val="24"/>
                <w:highlight w:val="none"/>
                <w:lang w:val="zh-CN"/>
              </w:rPr>
              <w:t>%）：</w:t>
            </w:r>
          </w:p>
          <w:p>
            <w:pPr>
              <w:spacing w:line="500" w:lineRule="exact"/>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供应商所报产品列入财政部、国家发展改革委制定的《节能产品政府采购品目清单》和财政部、国家环境保护总局制定的《环境标志产品政府采购品目清单》的：</w:t>
            </w:r>
          </w:p>
          <w:p>
            <w:pPr>
              <w:spacing w:line="500" w:lineRule="exact"/>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在价格评审时，对节能、环保产品分别给予价格加分，（加分=价格评标总分值×</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%×节能、环保产品价格在投标报价中所占比例）。</w:t>
            </w:r>
          </w:p>
          <w:p>
            <w:pPr>
              <w:spacing w:line="500" w:lineRule="exact"/>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在技术评审时，对节能、环保产品分别给予价格加分，（加分=技术评标总分值×</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%×节能、环保产品价格在投标报价中所占比例）。</w:t>
            </w:r>
          </w:p>
          <w:p>
            <w:pPr>
              <w:spacing w:line="500" w:lineRule="exact"/>
              <w:ind w:firstLine="241" w:firstLineChars="1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说明：1、本项计分以供应商提供的“节能、环境标志产品报价清单”及节能、环保标志产品认证证书为准，否则不给予价格、技术评审加分；供应商所填写的内容必须真实、可靠，如有虚假或隐瞒，一经查实将导致报价被拒绝。</w:t>
            </w:r>
          </w:p>
          <w:p>
            <w:pPr>
              <w:spacing w:line="500" w:lineRule="exact"/>
              <w:ind w:firstLine="241" w:firstLineChars="1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2、根据《财政部发展改革委 生态环境部 市场监管总局关于调整优化节能产品 环境标志产品政府采购执行机制的通知》（财库〔2019〕9 号）规定，投报产品属于品目清单范围内的强制性采购的，供应商必须使用品目清单内的产品，并提供国家确定的认证机构出具的处于有效期之内的节能产品认证证书。</w:t>
            </w:r>
          </w:p>
          <w:p>
            <w:pPr>
              <w:spacing w:line="500" w:lineRule="exact"/>
              <w:ind w:firstLine="241" w:firstLineChars="100"/>
              <w:rPr>
                <w:rFonts w:hint="eastAsia" w:ascii="仿宋" w:hAnsi="仿宋" w:eastAsia="仿宋" w:cs="仿宋"/>
                <w:color w:val="auto"/>
                <w:sz w:val="24"/>
                <w:highlight w:val="none"/>
                <w:lang w:val="zh-CN"/>
              </w:rPr>
            </w:pPr>
            <w:r>
              <w:rPr>
                <w:rFonts w:hint="eastAsia" w:ascii="仿宋" w:hAnsi="仿宋" w:eastAsia="仿宋" w:cs="仿宋"/>
                <w:b/>
                <w:bCs/>
                <w:color w:val="auto"/>
                <w:sz w:val="24"/>
                <w:highlight w:val="none"/>
                <w:lang w:val="zh-CN"/>
              </w:rPr>
              <w:t>（二）小微企业产品给予最终价格折扣（货物和服务采购项目为1</w:t>
            </w: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val="zh-CN"/>
              </w:rPr>
              <w:t>%、工程项目为5%）：</w:t>
            </w:r>
          </w:p>
          <w:p>
            <w:pPr>
              <w:spacing w:line="500" w:lineRule="exact"/>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根据财政部、工业和信息</w:t>
            </w:r>
            <w:r>
              <w:rPr>
                <w:rFonts w:hint="eastAsia" w:ascii="仿宋" w:hAnsi="仿宋" w:eastAsia="仿宋" w:cs="仿宋"/>
                <w:color w:val="auto"/>
                <w:sz w:val="24"/>
                <w:highlight w:val="none"/>
              </w:rPr>
              <w:t>化</w:t>
            </w:r>
            <w:r>
              <w:rPr>
                <w:rFonts w:hint="eastAsia" w:ascii="仿宋" w:hAnsi="仿宋" w:eastAsia="仿宋" w:cs="仿宋"/>
                <w:color w:val="auto"/>
                <w:sz w:val="24"/>
                <w:highlight w:val="none"/>
                <w:lang w:val="zh-CN"/>
              </w:rPr>
              <w:t>部颁发的《政府采购促进中小企业发展管理办法》（财库〔2020〕46号）的规定给予小型和微型企业（包括相互之间组成的联合体）产品的价格给予价格折扣扣除；计算方法是：</w:t>
            </w:r>
          </w:p>
          <w:p>
            <w:pPr>
              <w:spacing w:line="500" w:lineRule="exact"/>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最终价格＝最后报价×（</w:t>
            </w:r>
            <w:r>
              <w:rPr>
                <w:rFonts w:hint="eastAsia" w:ascii="仿宋" w:hAnsi="仿宋" w:eastAsia="仿宋" w:cs="仿宋"/>
                <w:color w:val="auto"/>
                <w:sz w:val="24"/>
                <w:highlight w:val="none"/>
              </w:rPr>
              <w:t>100%-价格折扣</w:t>
            </w:r>
            <w:r>
              <w:rPr>
                <w:rFonts w:hint="eastAsia" w:ascii="仿宋" w:hAnsi="仿宋" w:eastAsia="仿宋" w:cs="仿宋"/>
                <w:color w:val="auto"/>
                <w:sz w:val="24"/>
                <w:highlight w:val="none"/>
                <w:lang w:val="zh-CN"/>
              </w:rPr>
              <w:t>），按照最终价格计算其价格分得分。</w:t>
            </w:r>
          </w:p>
          <w:p>
            <w:pPr>
              <w:spacing w:line="500" w:lineRule="exact"/>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大中型企业和其他自然人、法人或者其他组织与小型、微型企业组成联合体投标，联合体协议中约定，小型、微型企业的协议合同金额占到联合体协议合同金额30%以上的，可给予联合体价格折扣扣除（货物和服务采购项目为</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%、工程项目为</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%）。计算方法是：</w:t>
            </w:r>
          </w:p>
          <w:p>
            <w:pPr>
              <w:spacing w:line="500" w:lineRule="exact"/>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最终价格＝最后报价×（</w:t>
            </w:r>
            <w:r>
              <w:rPr>
                <w:rFonts w:hint="eastAsia" w:ascii="仿宋" w:hAnsi="仿宋" w:eastAsia="仿宋" w:cs="仿宋"/>
                <w:color w:val="auto"/>
                <w:sz w:val="24"/>
                <w:highlight w:val="none"/>
              </w:rPr>
              <w:t>100%-价格折扣</w:t>
            </w:r>
            <w:r>
              <w:rPr>
                <w:rFonts w:hint="eastAsia" w:ascii="仿宋" w:hAnsi="仿宋" w:eastAsia="仿宋" w:cs="仿宋"/>
                <w:color w:val="auto"/>
                <w:sz w:val="24"/>
                <w:highlight w:val="none"/>
                <w:lang w:val="zh-CN"/>
              </w:rPr>
              <w:t>），按照最终价格计算其价格分得分。</w:t>
            </w:r>
          </w:p>
          <w:p>
            <w:pPr>
              <w:spacing w:line="500" w:lineRule="exact"/>
              <w:ind w:firstLine="241" w:firstLineChars="1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供应商须结合本公司实际情况，如实填写中小企业声明函，并附在响应文件中，否则不给予价格扣除。</w:t>
            </w:r>
          </w:p>
          <w:p>
            <w:pPr>
              <w:spacing w:line="500" w:lineRule="exact"/>
              <w:ind w:firstLine="241" w:firstLineChars="100"/>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 xml:space="preserve">  注：专门面向中小企业采购的项目或者采购包，不再执行价格评审优惠的扶持政策。</w:t>
            </w:r>
          </w:p>
          <w:p>
            <w:pPr>
              <w:spacing w:line="500" w:lineRule="exact"/>
              <w:ind w:firstLine="241" w:firstLineChars="1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适用招标投标法的政府采购工程建设项目，采用综合评估法但未采用低价优先法计算价格分的，评标时应当在采用原报价进行评分的基础上增加其价格得分的3%作为其价格分。</w:t>
            </w:r>
          </w:p>
          <w:p>
            <w:pPr>
              <w:spacing w:line="500" w:lineRule="exact"/>
              <w:ind w:firstLine="241" w:firstLineChars="1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（三）监狱企业给予最终价格折扣：</w:t>
            </w:r>
          </w:p>
          <w:p>
            <w:pPr>
              <w:spacing w:line="5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根据《关于政府采购支持监狱企业发展有关问题的通知》（ 财库[2014]68号）文件规定：在政府采购活动中，监狱企业和戒毒企业视同小型、微型企业，评审中享受同小型、微型企业相同的价格扣除。监狱企业和戒毒企业参加政府采购活动时，应当提供由省级以上监狱管理局、戒毒管理局（含新疆生产建设兵团）出具的属于监狱企业的证明文件</w:t>
            </w:r>
            <w:r>
              <w:rPr>
                <w:rFonts w:hint="eastAsia" w:ascii="仿宋" w:hAnsi="仿宋" w:eastAsia="仿宋" w:cs="仿宋"/>
                <w:color w:val="auto"/>
                <w:sz w:val="24"/>
                <w:highlight w:val="none"/>
              </w:rPr>
              <w:t>，附在响应文件中。</w:t>
            </w:r>
          </w:p>
          <w:p>
            <w:pPr>
              <w:spacing w:line="500" w:lineRule="exact"/>
              <w:ind w:firstLine="241" w:firstLineChars="100"/>
              <w:rPr>
                <w:rFonts w:hint="eastAsia" w:ascii="仿宋" w:hAnsi="仿宋" w:eastAsia="仿宋" w:cs="仿宋"/>
                <w:color w:val="auto"/>
                <w:sz w:val="24"/>
                <w:highlight w:val="none"/>
                <w:lang w:val="zh-CN"/>
              </w:rPr>
            </w:pPr>
            <w:r>
              <w:rPr>
                <w:rFonts w:hint="eastAsia" w:ascii="仿宋" w:hAnsi="仿宋" w:eastAsia="仿宋" w:cs="仿宋"/>
                <w:b/>
                <w:bCs/>
                <w:color w:val="auto"/>
                <w:sz w:val="24"/>
                <w:highlight w:val="none"/>
              </w:rPr>
              <w:t>（四）</w:t>
            </w:r>
            <w:r>
              <w:rPr>
                <w:rFonts w:hint="eastAsia" w:ascii="仿宋" w:hAnsi="仿宋" w:eastAsia="仿宋" w:cs="仿宋"/>
                <w:b/>
                <w:bCs/>
                <w:color w:val="auto"/>
                <w:sz w:val="24"/>
                <w:highlight w:val="none"/>
                <w:lang w:val="zh-CN"/>
              </w:rPr>
              <w:t>残疾人福利性单位：</w:t>
            </w:r>
          </w:p>
          <w:p>
            <w:pPr>
              <w:spacing w:line="500" w:lineRule="exact"/>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符合条件的残疾人福利性单位在参加政府采购活动时，应当提供《残疾人福利性单位声明函》（见附件），并对声明的真实性负责。任何单位或者个人在政府采购活动中均不得要求残疾人福利性单位提供其他证明声明函内容的材料。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500" w:lineRule="exact"/>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供应商须提供《残疾人福利性单位声明函》，并附在响应文件中，否则不给予价格扣除。</w:t>
            </w:r>
          </w:p>
          <w:p>
            <w:pPr>
              <w:spacing w:line="500" w:lineRule="exact"/>
              <w:ind w:firstLine="241" w:firstLineChars="1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残疾人福利性单位视同小型、微型企业。残疾人福利性单位属于小型、微型企业的，不重复享受政策。</w:t>
            </w:r>
          </w:p>
          <w:p>
            <w:pPr>
              <w:spacing w:line="500" w:lineRule="exact"/>
              <w:ind w:firstLine="241" w:firstLineChars="1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注：供应商所提供的材料或填写的内容必须真实、可靠，如有虚假或隐瞒，一经查实将导致报价被拒绝，并按照《中华人民共和国政府采购法》第七十七条第一款“提供虚假材料谋取成交的”进行处罚，给采购人造成损失的应承担赔偿责任。</w:t>
            </w:r>
          </w:p>
          <w:p>
            <w:pPr>
              <w:spacing w:line="500" w:lineRule="exact"/>
              <w:ind w:firstLine="241" w:firstLineChars="100"/>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价格得分：以供应商的最后报价作为价格评分依据。供应商的评审价为按上述条款修正并给予价格扣除优惠后的价格。</w:t>
            </w:r>
          </w:p>
        </w:tc>
      </w:tr>
      <w:bookmarkEnd w:id="120"/>
    </w:tbl>
    <w:p>
      <w:pPr>
        <w:pStyle w:val="29"/>
        <w:ind w:firstLine="210"/>
        <w:rPr>
          <w:rFonts w:hint="eastAsia" w:ascii="仿宋" w:hAnsi="仿宋" w:eastAsia="仿宋" w:cs="仿宋"/>
          <w:color w:val="auto"/>
          <w:highlight w:val="none"/>
        </w:rPr>
      </w:pPr>
    </w:p>
    <w:p>
      <w:pPr>
        <w:spacing w:line="48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10.3需要补充的其他内容</w:t>
      </w:r>
    </w:p>
    <w:p>
      <w:pPr>
        <w:spacing w:line="480" w:lineRule="auto"/>
        <w:ind w:firstLine="480" w:firstLineChars="200"/>
        <w:rPr>
          <w:rFonts w:hint="eastAsia" w:ascii="仿宋" w:hAnsi="仿宋" w:eastAsia="仿宋" w:cs="仿宋"/>
          <w:color w:val="auto"/>
          <w:sz w:val="36"/>
          <w:szCs w:val="36"/>
          <w:highlight w:val="none"/>
        </w:rPr>
      </w:pPr>
      <w:r>
        <w:rPr>
          <w:rFonts w:hint="eastAsia" w:ascii="仿宋" w:hAnsi="仿宋" w:eastAsia="仿宋" w:cs="仿宋"/>
          <w:color w:val="auto"/>
          <w:sz w:val="24"/>
          <w:highlight w:val="none"/>
        </w:rPr>
        <w:t>见供应商须知前附表。</w:t>
      </w:r>
    </w:p>
    <w:p>
      <w:pPr>
        <w:spacing w:line="5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spacing w:line="500" w:lineRule="exact"/>
        <w:jc w:val="center"/>
        <w:outlineLvl w:val="0"/>
        <w:rPr>
          <w:rFonts w:hint="eastAsia" w:ascii="仿宋" w:hAnsi="仿宋" w:eastAsia="仿宋" w:cs="仿宋"/>
          <w:b/>
          <w:color w:val="auto"/>
          <w:sz w:val="32"/>
          <w:szCs w:val="32"/>
          <w:highlight w:val="none"/>
        </w:rPr>
      </w:pPr>
      <w:bookmarkStart w:id="121" w:name="_Toc16725"/>
      <w:bookmarkStart w:id="122" w:name="_Toc13159"/>
      <w:bookmarkStart w:id="123" w:name="_Toc16547"/>
      <w:bookmarkStart w:id="124" w:name="_Toc9822"/>
      <w:bookmarkStart w:id="125" w:name="_Toc30275"/>
      <w:bookmarkStart w:id="126" w:name="_Toc16905"/>
      <w:bookmarkStart w:id="127" w:name="_Toc25630"/>
      <w:bookmarkStart w:id="128" w:name="_Toc1296"/>
      <w:bookmarkStart w:id="129" w:name="_Toc27682"/>
      <w:r>
        <w:rPr>
          <w:rFonts w:hint="eastAsia" w:ascii="仿宋" w:hAnsi="仿宋" w:eastAsia="仿宋" w:cs="仿宋"/>
          <w:b/>
          <w:color w:val="auto"/>
          <w:sz w:val="32"/>
          <w:szCs w:val="32"/>
          <w:highlight w:val="none"/>
        </w:rPr>
        <w:t xml:space="preserve">第三章 </w:t>
      </w:r>
      <w:bookmarkEnd w:id="38"/>
      <w:bookmarkEnd w:id="39"/>
      <w:bookmarkEnd w:id="40"/>
      <w:bookmarkEnd w:id="41"/>
      <w:bookmarkEnd w:id="42"/>
      <w:bookmarkEnd w:id="43"/>
      <w:bookmarkEnd w:id="121"/>
      <w:bookmarkEnd w:id="122"/>
      <w:r>
        <w:rPr>
          <w:rFonts w:hint="eastAsia" w:ascii="仿宋" w:hAnsi="仿宋" w:eastAsia="仿宋" w:cs="仿宋"/>
          <w:b/>
          <w:color w:val="auto"/>
          <w:sz w:val="32"/>
          <w:szCs w:val="32"/>
          <w:highlight w:val="none"/>
        </w:rPr>
        <w:t>评标办法</w:t>
      </w:r>
      <w:bookmarkEnd w:id="123"/>
      <w:bookmarkEnd w:id="124"/>
      <w:bookmarkEnd w:id="125"/>
      <w:bookmarkEnd w:id="126"/>
      <w:bookmarkEnd w:id="127"/>
      <w:bookmarkEnd w:id="128"/>
      <w:bookmarkEnd w:id="129"/>
    </w:p>
    <w:p>
      <w:pPr>
        <w:spacing w:line="480" w:lineRule="auto"/>
        <w:outlineLvl w:val="1"/>
        <w:rPr>
          <w:rFonts w:hint="eastAsia" w:ascii="仿宋" w:hAnsi="仿宋" w:eastAsia="仿宋" w:cs="仿宋"/>
          <w:b/>
          <w:color w:val="auto"/>
          <w:sz w:val="24"/>
          <w:highlight w:val="none"/>
        </w:rPr>
      </w:pPr>
      <w:bookmarkStart w:id="130" w:name="_Toc489390345"/>
      <w:bookmarkStart w:id="131" w:name="_Toc31727"/>
    </w:p>
    <w:p>
      <w:pPr>
        <w:spacing w:line="480" w:lineRule="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一、磋商程序</w:t>
      </w:r>
      <w:bookmarkEnd w:id="130"/>
      <w:bookmarkEnd w:id="131"/>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1、资格性审查资料：</w:t>
      </w:r>
    </w:p>
    <w:p>
      <w:pPr>
        <w:spacing w:line="48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本项目实行不见面开标，开标须将</w:t>
      </w:r>
      <w:r>
        <w:rPr>
          <w:rFonts w:hint="eastAsia" w:ascii="仿宋" w:hAnsi="仿宋" w:eastAsia="仿宋" w:cs="仿宋"/>
          <w:color w:val="auto"/>
          <w:sz w:val="24"/>
          <w:highlight w:val="none"/>
          <w:lang w:eastAsia="zh-CN"/>
        </w:rPr>
        <w:t>加盖公章的</w:t>
      </w:r>
      <w:r>
        <w:rPr>
          <w:rFonts w:hint="eastAsia" w:ascii="仿宋" w:hAnsi="仿宋" w:eastAsia="仿宋" w:cs="仿宋"/>
          <w:color w:val="auto"/>
          <w:sz w:val="24"/>
          <w:highlight w:val="none"/>
        </w:rPr>
        <w:t>资格证件的扫描件附在电子响应文件中</w:t>
      </w:r>
      <w:r>
        <w:rPr>
          <w:rFonts w:hint="eastAsia" w:ascii="仿宋" w:hAnsi="仿宋" w:eastAsia="仿宋" w:cs="仿宋"/>
          <w:color w:val="auto"/>
          <w:sz w:val="24"/>
          <w:highlight w:val="none"/>
          <w:lang w:eastAsia="zh-CN"/>
        </w:rPr>
        <w:t>：</w:t>
      </w:r>
    </w:p>
    <w:p>
      <w:pPr>
        <w:spacing w:line="480" w:lineRule="auto"/>
        <w:ind w:firstLine="43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（1）有效的营业执照副本；</w:t>
      </w:r>
    </w:p>
    <w:p>
      <w:pPr>
        <w:spacing w:line="480" w:lineRule="auto"/>
        <w:ind w:firstLine="43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（2）法定代表人身份证（法定代表人参加的）或法人授权委托书、被委托人身份证、法人身份证复印件（委托代理人参加的）；</w:t>
      </w:r>
    </w:p>
    <w:p>
      <w:pPr>
        <w:spacing w:line="480" w:lineRule="auto"/>
        <w:ind w:firstLine="43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（3）根据“关于实行政府采购供应商资格信用承诺制的通知（菏财采[2022]9号）”要求，各供应商应当以书面形式作出资格信用承诺，格式见附件。</w:t>
      </w:r>
    </w:p>
    <w:p>
      <w:pPr>
        <w:spacing w:line="480" w:lineRule="auto"/>
        <w:ind w:firstLine="435"/>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提供</w:t>
      </w:r>
      <w:r>
        <w:rPr>
          <w:rFonts w:hint="eastAsia" w:ascii="仿宋" w:hAnsi="仿宋" w:eastAsia="仿宋" w:cs="仿宋"/>
          <w:b/>
          <w:bCs/>
          <w:color w:val="auto"/>
          <w:sz w:val="24"/>
          <w:highlight w:val="none"/>
        </w:rPr>
        <w:t>《中小企业声明函》</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格式见附件</w:t>
      </w:r>
      <w:r>
        <w:rPr>
          <w:rFonts w:hint="eastAsia" w:ascii="仿宋" w:hAnsi="仿宋" w:eastAsia="仿宋" w:cs="仿宋"/>
          <w:b/>
          <w:bCs/>
          <w:color w:val="auto"/>
          <w:sz w:val="24"/>
          <w:highlight w:val="none"/>
          <w:lang w:eastAsia="zh-CN"/>
        </w:rPr>
        <w:t>）。</w:t>
      </w:r>
    </w:p>
    <w:p>
      <w:pPr>
        <w:spacing w:line="480" w:lineRule="auto"/>
        <w:ind w:firstLine="435"/>
        <w:rPr>
          <w:rFonts w:hint="eastAsia" w:ascii="仿宋" w:hAnsi="仿宋" w:eastAsia="仿宋" w:cs="仿宋"/>
          <w:color w:val="auto"/>
          <w:highlight w:val="none"/>
        </w:rPr>
      </w:pPr>
      <w:r>
        <w:rPr>
          <w:rFonts w:hint="eastAsia" w:ascii="仿宋" w:hAnsi="仿宋" w:eastAsia="仿宋" w:cs="仿宋"/>
          <w:b/>
          <w:bCs/>
          <w:color w:val="auto"/>
          <w:sz w:val="24"/>
          <w:highlight w:val="none"/>
        </w:rPr>
        <w:t>注：以上资格性审查资料均须将原件的扫描件附到报价文件中，并加盖电子签章。供应商应对提供的资料负责，</w:t>
      </w:r>
      <w:r>
        <w:rPr>
          <w:rFonts w:hint="eastAsia" w:ascii="仿宋" w:hAnsi="仿宋" w:eastAsia="仿宋" w:cs="仿宋"/>
          <w:b/>
          <w:bCs/>
          <w:color w:val="auto"/>
          <w:sz w:val="24"/>
          <w:highlight w:val="none"/>
          <w:lang w:eastAsia="zh-CN"/>
        </w:rPr>
        <w:t>磋商小组</w:t>
      </w:r>
      <w:r>
        <w:rPr>
          <w:rFonts w:hint="eastAsia" w:ascii="仿宋" w:hAnsi="仿宋" w:eastAsia="仿宋" w:cs="仿宋"/>
          <w:b/>
          <w:bCs/>
          <w:color w:val="auto"/>
          <w:sz w:val="24"/>
          <w:highlight w:val="none"/>
        </w:rPr>
        <w:t>对供应商上述证件进行审验，缺少其中任何一项或经审核不合格，资格审查不合格，其报价文件将按无效标处理。</w:t>
      </w:r>
    </w:p>
    <w:p>
      <w:pPr>
        <w:spacing w:line="480" w:lineRule="auto"/>
        <w:ind w:firstLine="43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2、符合性审查</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2.1磋商小组依据磋商文件规定，对响应文件的内容是否完整、文件签署是否正确、响应文件是否符合磋商文件的要求进行审查，以确定是否对磋商文件的实质性要求作出响应。</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2.2在符合性审查中如出现下列情况之一的响应文件，按</w:t>
      </w:r>
      <w:r>
        <w:rPr>
          <w:rFonts w:hint="eastAsia" w:ascii="仿宋" w:hAnsi="仿宋" w:eastAsia="仿宋" w:cs="仿宋"/>
          <w:b/>
          <w:color w:val="auto"/>
          <w:sz w:val="24"/>
          <w:highlight w:val="none"/>
        </w:rPr>
        <w:t>无效响应文件</w:t>
      </w:r>
      <w:r>
        <w:rPr>
          <w:rFonts w:hint="eastAsia" w:ascii="仿宋" w:hAnsi="仿宋" w:eastAsia="仿宋" w:cs="仿宋"/>
          <w:color w:val="auto"/>
          <w:sz w:val="24"/>
          <w:highlight w:val="none"/>
        </w:rPr>
        <w:t>处理，不再进行磋商，磋商小组当场告知供应商：</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（1）响应文件未按规定签字、加盖电子章；</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（2）响应文件中提供虚假或失实资料的；</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（3）不满足磋商文件其他实质性要求的；</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（4）法律、法规中有关无效投标的其他情况。</w:t>
      </w:r>
    </w:p>
    <w:p>
      <w:pPr>
        <w:spacing w:line="480" w:lineRule="auto"/>
        <w:ind w:firstLine="43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3、综合评标</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3.1对通过资格性和符合性审查的响应文件，磋商小组将根据竞争性磋商文件确定的评标标准和方法作进一步的比较和评价。</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3.2磋商小组严格按照竞争性磋商文件的要求和评审因素进行评标分析。</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3.3评标办法：本项目采用综合评分法。</w:t>
      </w:r>
    </w:p>
    <w:p>
      <w:pPr>
        <w:spacing w:line="48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3.4磋商小组按以下程序进行综合评标</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3.4.1本次磋商采用不见面线上磋商。围绕磋商要点，磋商小组全体成员集中与通过资格审查和初步评审的供应商逐一进行磋商。供应商磋商顺序由磋商小组现场决定。</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3.4.2磋商过程中，磋商小组可以根据磋商情况实质性变动采购需求中的技术、服务</w:t>
      </w:r>
      <w:r>
        <w:rPr>
          <w:rFonts w:hint="eastAsia" w:ascii="仿宋" w:hAnsi="仿宋" w:eastAsia="仿宋" w:cs="仿宋"/>
          <w:color w:val="auto"/>
          <w:sz w:val="24"/>
          <w:highlight w:val="none"/>
          <w:lang w:eastAsia="zh-CN"/>
        </w:rPr>
        <w:t>标准</w:t>
      </w:r>
      <w:r>
        <w:rPr>
          <w:rFonts w:hint="eastAsia" w:ascii="仿宋" w:hAnsi="仿宋" w:eastAsia="仿宋" w:cs="仿宋"/>
          <w:color w:val="auto"/>
          <w:sz w:val="24"/>
          <w:highlight w:val="none"/>
        </w:rPr>
        <w:t>以及合同草案条款，但不得变动磋商文件中的其他内容。实质性变动的内容需经采购人代表确认。并以书面形式通知所有参加磋商的供应商，该变动是磋商文件的有效组成部分。供应商应当按照磋商文件的变动情况和磋商小组的要求重新提交响应文件并由其法定代表人或授权代表签字或者加盖公章。供应商应根据磋商小组的要求，以书面形式在规定时间内做出响应，未做出响应的响应文件将被拒绝。</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3.4.3本次磋商采用二轮报价法（最终报价），供应商递交的响应文件中的报价为一轮报价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第二次报价为最终报价，且后一轮报价不得高于前一轮报价，若后一轮报价高于前一轮报价，则视报价低的为最终报价。报价不得高于本项目控制价，如高于控制价，作无效报价处理。所有报价均以人民币报价，以“元”为计价单位。未通过实质性响应的供应商将不再进行最终报价。经磋商确定最终采购需求和提交最终报价的供应商后，由磋商小组采用综合评分法对提交最终报价的供应商的响应文件和最终报价进行综合评分。</w:t>
      </w:r>
    </w:p>
    <w:p>
      <w:pPr>
        <w:spacing w:line="48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3.4.4最终报价：磋商小组将要求实质性响应磋商文件的供应商在规定时间内提交最终报价，未通过实质性响应的供应商将不再进行最终报价。</w:t>
      </w:r>
      <w:r>
        <w:rPr>
          <w:rFonts w:hint="eastAsia" w:ascii="仿宋" w:hAnsi="仿宋" w:eastAsia="仿宋" w:cs="仿宋"/>
          <w:b/>
          <w:color w:val="auto"/>
          <w:sz w:val="24"/>
          <w:highlight w:val="none"/>
        </w:rPr>
        <w:t>供应商报价明显低于市场价格和其他供应商报价的,须出具书面说明其报价详情,否则磋商小组有权按恶意竞争处理,其报价无效。</w:t>
      </w:r>
    </w:p>
    <w:p>
      <w:pPr>
        <w:spacing w:line="480" w:lineRule="auto"/>
        <w:ind w:firstLine="435"/>
        <w:rPr>
          <w:rFonts w:hint="eastAsia" w:ascii="仿宋" w:hAnsi="仿宋" w:eastAsia="仿宋" w:cs="仿宋"/>
          <w:b/>
          <w:color w:val="auto"/>
          <w:sz w:val="24"/>
          <w:highlight w:val="none"/>
        </w:rPr>
      </w:pPr>
      <w:r>
        <w:rPr>
          <w:rFonts w:hint="eastAsia" w:ascii="仿宋" w:hAnsi="仿宋" w:eastAsia="仿宋" w:cs="仿宋"/>
          <w:color w:val="auto"/>
          <w:sz w:val="24"/>
          <w:highlight w:val="none"/>
        </w:rPr>
        <w:t>3.4.5</w:t>
      </w:r>
      <w:r>
        <w:rPr>
          <w:rFonts w:hint="eastAsia" w:ascii="仿宋" w:hAnsi="仿宋" w:eastAsia="仿宋" w:cs="仿宋"/>
          <w:b/>
          <w:color w:val="auto"/>
          <w:sz w:val="24"/>
          <w:highlight w:val="none"/>
        </w:rPr>
        <w:t>响应文件的澄清和补正</w:t>
      </w:r>
    </w:p>
    <w:p>
      <w:pPr>
        <w:spacing w:line="48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在磋商过程中，磋商小组可以书面形式要求供应商对所提交的响应文件中不明确的内容进行书面澄清或说明，或者对细微偏差进行补正。磋商小组不接受供应商主动提出的澄清、说明或补正。磋商小组对供应商提交的澄清、说明或补正有疑问的，可以要求供应商进一步澄清、说明或补正，直至满足磋商小组的要求。</w:t>
      </w:r>
    </w:p>
    <w:p>
      <w:pPr>
        <w:spacing w:line="48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的书面澄清、说明和补正属于响应文件的组成部分。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80" w:lineRule="auto"/>
        <w:outlineLvl w:val="1"/>
        <w:rPr>
          <w:rFonts w:hint="eastAsia" w:ascii="仿宋" w:hAnsi="仿宋" w:eastAsia="仿宋" w:cs="仿宋"/>
          <w:b/>
          <w:color w:val="auto"/>
          <w:sz w:val="24"/>
          <w:highlight w:val="none"/>
        </w:rPr>
      </w:pPr>
      <w:bookmarkStart w:id="132" w:name="_Toc489390346"/>
      <w:bookmarkStart w:id="133" w:name="_Toc30304"/>
      <w:r>
        <w:rPr>
          <w:rFonts w:hint="eastAsia" w:ascii="仿宋" w:hAnsi="仿宋" w:eastAsia="仿宋" w:cs="仿宋"/>
          <w:b/>
          <w:color w:val="auto"/>
          <w:sz w:val="24"/>
          <w:highlight w:val="none"/>
        </w:rPr>
        <w:t>二、评审方法及标准</w:t>
      </w:r>
      <w:bookmarkEnd w:id="132"/>
      <w:bookmarkEnd w:id="133"/>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采用综合评分法，磋商小组按照磋商文件的要求和条件，根据各供应商的服务方案、报价等评分因素进行综合评估、打分，按综合得分由高到低的顺序进行排列，评审总得分相同的按报价得分由高到低排列。</w:t>
      </w:r>
    </w:p>
    <w:p>
      <w:pPr>
        <w:spacing w:line="480" w:lineRule="auto"/>
        <w:outlineLvl w:val="1"/>
        <w:rPr>
          <w:rFonts w:hint="eastAsia" w:ascii="仿宋" w:hAnsi="仿宋" w:eastAsia="仿宋" w:cs="仿宋"/>
          <w:b/>
          <w:color w:val="auto"/>
          <w:sz w:val="24"/>
          <w:highlight w:val="none"/>
        </w:rPr>
      </w:pPr>
      <w:bookmarkStart w:id="134" w:name="_Toc489390347"/>
      <w:bookmarkStart w:id="135" w:name="_Toc6851"/>
      <w:r>
        <w:rPr>
          <w:rFonts w:hint="eastAsia" w:ascii="仿宋" w:hAnsi="仿宋" w:eastAsia="仿宋" w:cs="仿宋"/>
          <w:b/>
          <w:color w:val="auto"/>
          <w:sz w:val="24"/>
          <w:highlight w:val="none"/>
        </w:rPr>
        <w:t>三、磋商结果</w:t>
      </w:r>
      <w:bookmarkEnd w:id="134"/>
      <w:bookmarkEnd w:id="135"/>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磋商小组应当根据综合评分情况，按照评审得分由高到低顺序推荐3名成交候选供应商。</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磋商小组完成磋商后，应当向采购人提交书面报告。</w:t>
      </w:r>
    </w:p>
    <w:p>
      <w:pPr>
        <w:rPr>
          <w:rFonts w:hint="eastAsia" w:ascii="仿宋" w:hAnsi="仿宋" w:eastAsia="仿宋" w:cs="仿宋"/>
          <w:color w:val="auto"/>
          <w:sz w:val="30"/>
          <w:szCs w:val="30"/>
          <w:highlight w:val="none"/>
        </w:rPr>
      </w:pPr>
      <w:bookmarkStart w:id="136" w:name="_Toc494915090"/>
      <w:bookmarkStart w:id="137" w:name="_Toc494970167"/>
      <w:bookmarkStart w:id="138" w:name="_Toc26409"/>
      <w:bookmarkStart w:id="139" w:name="_Toc494967557"/>
      <w:r>
        <w:rPr>
          <w:rFonts w:hint="eastAsia" w:ascii="仿宋" w:hAnsi="仿宋" w:eastAsia="仿宋" w:cs="仿宋"/>
          <w:color w:val="auto"/>
          <w:sz w:val="30"/>
          <w:szCs w:val="30"/>
          <w:highlight w:val="none"/>
        </w:rPr>
        <w:br w:type="page"/>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磋商办法前附表</w:t>
      </w:r>
      <w:bookmarkEnd w:id="136"/>
      <w:bookmarkEnd w:id="137"/>
      <w:bookmarkEnd w:id="138"/>
      <w:bookmarkEnd w:id="139"/>
    </w:p>
    <w:tbl>
      <w:tblPr>
        <w:tblStyle w:val="31"/>
        <w:tblpPr w:leftFromText="180" w:rightFromText="180" w:vertAnchor="text" w:horzAnchor="page" w:tblpX="1227" w:tblpY="1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7"/>
        <w:gridCol w:w="1935"/>
        <w:gridCol w:w="2093"/>
        <w:gridCol w:w="4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422" w:type="dxa"/>
            <w:gridSpan w:val="2"/>
            <w:tcBorders>
              <w:top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209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分项名称</w:t>
            </w:r>
          </w:p>
        </w:tc>
        <w:tc>
          <w:tcPr>
            <w:tcW w:w="494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487" w:type="dxa"/>
            <w:tcBorders>
              <w:top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1</w:t>
            </w:r>
          </w:p>
        </w:tc>
        <w:tc>
          <w:tcPr>
            <w:tcW w:w="1935" w:type="dxa"/>
            <w:tcBorders>
              <w:top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资格评审标准</w:t>
            </w:r>
          </w:p>
        </w:tc>
        <w:tc>
          <w:tcPr>
            <w:tcW w:w="209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资格评审标准</w:t>
            </w:r>
          </w:p>
        </w:tc>
        <w:tc>
          <w:tcPr>
            <w:tcW w:w="4943" w:type="dxa"/>
            <w:tcBorders>
              <w:top w:val="single" w:color="auto" w:sz="4" w:space="0"/>
              <w:left w:val="single" w:color="auto" w:sz="4" w:space="0"/>
              <w:bottom w:val="single" w:color="auto" w:sz="4" w:space="0"/>
              <w:right w:val="single" w:color="auto" w:sz="4" w:space="0"/>
            </w:tcBorders>
            <w:vAlign w:val="center"/>
          </w:tcPr>
          <w:p>
            <w:pPr>
              <w:pageBreakBefore w:val="0"/>
              <w:widowControl w:val="0"/>
              <w:tabs>
                <w:tab w:val="left" w:pos="3083"/>
              </w:tabs>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详见第三章评标办法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9" w:hRule="atLeast"/>
        </w:trPr>
        <w:tc>
          <w:tcPr>
            <w:tcW w:w="487" w:type="dxa"/>
            <w:vMerge w:val="restart"/>
            <w:tcBorders>
              <w:top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35" w:type="dxa"/>
            <w:vMerge w:val="restart"/>
            <w:tcBorders>
              <w:top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符合性审查标准</w:t>
            </w:r>
          </w:p>
        </w:tc>
        <w:tc>
          <w:tcPr>
            <w:tcW w:w="209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p>
        </w:tc>
        <w:tc>
          <w:tcPr>
            <w:tcW w:w="494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6" w:hRule="atLeast"/>
        </w:trPr>
        <w:tc>
          <w:tcPr>
            <w:tcW w:w="487" w:type="dxa"/>
            <w:vMerge w:val="continue"/>
            <w:tcBorders>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p>
        </w:tc>
        <w:tc>
          <w:tcPr>
            <w:tcW w:w="1935" w:type="dxa"/>
            <w:vMerge w:val="continue"/>
            <w:tcBorders>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p>
        </w:tc>
        <w:tc>
          <w:tcPr>
            <w:tcW w:w="209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响应文件签章</w:t>
            </w:r>
          </w:p>
        </w:tc>
        <w:tc>
          <w:tcPr>
            <w:tcW w:w="494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符合第二章“供应商须知”规定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6" w:hRule="atLeast"/>
        </w:trPr>
        <w:tc>
          <w:tcPr>
            <w:tcW w:w="487" w:type="dxa"/>
            <w:vMerge w:val="continue"/>
            <w:tcBorders>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p>
        </w:tc>
        <w:tc>
          <w:tcPr>
            <w:tcW w:w="1935" w:type="dxa"/>
            <w:vMerge w:val="continue"/>
            <w:tcBorders>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p>
        </w:tc>
        <w:tc>
          <w:tcPr>
            <w:tcW w:w="209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报价唯一</w:t>
            </w:r>
          </w:p>
        </w:tc>
        <w:tc>
          <w:tcPr>
            <w:tcW w:w="494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6" w:hRule="atLeast"/>
        </w:trPr>
        <w:tc>
          <w:tcPr>
            <w:tcW w:w="487" w:type="dxa"/>
            <w:vMerge w:val="continue"/>
            <w:tcBorders>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p>
        </w:tc>
        <w:tc>
          <w:tcPr>
            <w:tcW w:w="1935" w:type="dxa"/>
            <w:vMerge w:val="continue"/>
            <w:tcBorders>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p>
        </w:tc>
        <w:tc>
          <w:tcPr>
            <w:tcW w:w="209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w:t>
            </w:r>
          </w:p>
        </w:tc>
        <w:tc>
          <w:tcPr>
            <w:tcW w:w="494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符合第二章“供应商须知”规定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6" w:hRule="atLeast"/>
        </w:trPr>
        <w:tc>
          <w:tcPr>
            <w:tcW w:w="487" w:type="dxa"/>
            <w:vMerge w:val="continue"/>
            <w:tcBorders>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p>
        </w:tc>
        <w:tc>
          <w:tcPr>
            <w:tcW w:w="1935" w:type="dxa"/>
            <w:vMerge w:val="continue"/>
            <w:tcBorders>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p>
        </w:tc>
        <w:tc>
          <w:tcPr>
            <w:tcW w:w="209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w:t>
            </w:r>
          </w:p>
        </w:tc>
        <w:tc>
          <w:tcPr>
            <w:tcW w:w="494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符合第二章“供应商须知”规定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6" w:hRule="atLeast"/>
        </w:trPr>
        <w:tc>
          <w:tcPr>
            <w:tcW w:w="487" w:type="dxa"/>
            <w:vMerge w:val="continue"/>
            <w:tcBorders>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p>
        </w:tc>
        <w:tc>
          <w:tcPr>
            <w:tcW w:w="1935" w:type="dxa"/>
            <w:vMerge w:val="continue"/>
            <w:tcBorders>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p>
        </w:tc>
        <w:tc>
          <w:tcPr>
            <w:tcW w:w="209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服务标准</w:t>
            </w:r>
          </w:p>
        </w:tc>
        <w:tc>
          <w:tcPr>
            <w:tcW w:w="494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符合第二章“供应商须知”规定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487" w:type="dxa"/>
            <w:vMerge w:val="continue"/>
            <w:tcBorders>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p>
        </w:tc>
        <w:tc>
          <w:tcPr>
            <w:tcW w:w="1935" w:type="dxa"/>
            <w:vMerge w:val="continue"/>
            <w:tcBorders>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p>
        </w:tc>
        <w:tc>
          <w:tcPr>
            <w:tcW w:w="209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磋商有效期</w:t>
            </w:r>
          </w:p>
        </w:tc>
        <w:tc>
          <w:tcPr>
            <w:tcW w:w="494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符合第二章“供应商须知”规定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4" w:hRule="atLeast"/>
        </w:trPr>
        <w:tc>
          <w:tcPr>
            <w:tcW w:w="487" w:type="dxa"/>
            <w:vMerge w:val="continue"/>
            <w:tcBorders>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p>
        </w:tc>
        <w:tc>
          <w:tcPr>
            <w:tcW w:w="1935" w:type="dxa"/>
            <w:vMerge w:val="continue"/>
            <w:tcBorders>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p>
        </w:tc>
        <w:tc>
          <w:tcPr>
            <w:tcW w:w="2093" w:type="dxa"/>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服务方案</w:t>
            </w:r>
          </w:p>
        </w:tc>
        <w:tc>
          <w:tcPr>
            <w:tcW w:w="494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符合第五章“</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标准及要求”规定</w:t>
            </w:r>
          </w:p>
        </w:tc>
      </w:tr>
    </w:tbl>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rPr>
      </w:pPr>
    </w:p>
    <w:p>
      <w:pPr>
        <w:pStyle w:val="2"/>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评分标准</w:t>
      </w:r>
    </w:p>
    <w:tbl>
      <w:tblPr>
        <w:tblStyle w:val="31"/>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6"/>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1" w:type="dxa"/>
            <w:shd w:val="clear" w:color="auto" w:fill="auto"/>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内容</w:t>
            </w:r>
          </w:p>
        </w:tc>
        <w:tc>
          <w:tcPr>
            <w:tcW w:w="1276" w:type="dxa"/>
            <w:shd w:val="clear" w:color="auto" w:fill="auto"/>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评分因素</w:t>
            </w:r>
          </w:p>
        </w:tc>
        <w:tc>
          <w:tcPr>
            <w:tcW w:w="6950" w:type="dxa"/>
            <w:shd w:val="clear" w:color="auto" w:fill="auto"/>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71" w:type="dxa"/>
            <w:shd w:val="clear" w:color="auto" w:fill="auto"/>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价格部分（10分）</w:t>
            </w:r>
          </w:p>
        </w:tc>
        <w:tc>
          <w:tcPr>
            <w:tcW w:w="1276" w:type="dxa"/>
            <w:shd w:val="clear" w:color="auto" w:fill="auto"/>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价格部分（10分）</w:t>
            </w:r>
          </w:p>
        </w:tc>
        <w:tc>
          <w:tcPr>
            <w:tcW w:w="6950" w:type="dxa"/>
            <w:shd w:val="clear" w:color="auto" w:fill="auto"/>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满足招标文件要求且投标价格最低的投标报价为评标基准价，其报价得分为满分</w:t>
            </w:r>
            <w:r>
              <w:rPr>
                <w:rFonts w:hint="eastAsia" w:ascii="仿宋" w:hAnsi="仿宋" w:eastAsia="仿宋" w:cs="仿宋"/>
                <w:sz w:val="24"/>
                <w:szCs w:val="24"/>
                <w:lang w:val="en-US" w:eastAsia="zh-CN"/>
              </w:rPr>
              <w:t>10</w:t>
            </w:r>
            <w:r>
              <w:rPr>
                <w:rFonts w:hint="eastAsia" w:ascii="仿宋" w:hAnsi="仿宋" w:eastAsia="仿宋" w:cs="仿宋"/>
                <w:sz w:val="24"/>
                <w:szCs w:val="24"/>
              </w:rPr>
              <w:t>分。其他投标单位的报价得分统一按照下列公式计算：报价得分=（评标基准价/投标报价）*</w:t>
            </w:r>
            <w:r>
              <w:rPr>
                <w:rFonts w:hint="eastAsia" w:ascii="仿宋" w:hAnsi="仿宋" w:eastAsia="仿宋" w:cs="仿宋"/>
                <w:sz w:val="24"/>
                <w:szCs w:val="24"/>
                <w:lang w:val="en-US" w:eastAsia="zh-CN"/>
              </w:rPr>
              <w:t>10</w:t>
            </w:r>
            <w:r>
              <w:rPr>
                <w:rFonts w:hint="eastAsia" w:ascii="仿宋" w:hAnsi="仿宋" w:eastAsia="仿宋" w:cs="仿宋"/>
                <w:sz w:val="24"/>
                <w:szCs w:val="24"/>
              </w:rPr>
              <w:t>*100%（保留两位小数，第三位四舍五入）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271" w:type="dxa"/>
            <w:vMerge w:val="restart"/>
            <w:shd w:val="clear" w:color="auto" w:fill="auto"/>
            <w:noWrap/>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商务部分（</w:t>
            </w:r>
            <w:r>
              <w:rPr>
                <w:rFonts w:hint="eastAsia" w:ascii="仿宋" w:hAnsi="仿宋" w:eastAsia="仿宋" w:cs="仿宋"/>
                <w:sz w:val="24"/>
                <w:szCs w:val="24"/>
                <w:lang w:val="en-US" w:eastAsia="zh-CN"/>
              </w:rPr>
              <w:t>13</w:t>
            </w:r>
            <w:r>
              <w:rPr>
                <w:rFonts w:hint="eastAsia" w:ascii="仿宋" w:hAnsi="仿宋" w:eastAsia="仿宋" w:cs="仿宋"/>
                <w:sz w:val="24"/>
                <w:szCs w:val="24"/>
              </w:rPr>
              <w:t>分）</w:t>
            </w:r>
          </w:p>
        </w:tc>
        <w:tc>
          <w:tcPr>
            <w:tcW w:w="1276" w:type="dxa"/>
            <w:shd w:val="clear" w:color="auto" w:fill="auto"/>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知识产权（</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tc>
        <w:tc>
          <w:tcPr>
            <w:tcW w:w="6950" w:type="dxa"/>
            <w:shd w:val="clear" w:color="auto" w:fill="auto"/>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所投软件系统生产商</w:t>
            </w:r>
            <w:r>
              <w:rPr>
                <w:rFonts w:hint="eastAsia" w:ascii="仿宋" w:hAnsi="仿宋" w:eastAsia="仿宋" w:cs="仿宋"/>
                <w:sz w:val="24"/>
                <w:szCs w:val="24"/>
              </w:rPr>
              <w:t>具有自主知识产权的</w:t>
            </w:r>
            <w:r>
              <w:rPr>
                <w:rFonts w:hint="eastAsia" w:ascii="仿宋" w:hAnsi="仿宋" w:eastAsia="仿宋" w:cs="仿宋"/>
                <w:sz w:val="24"/>
                <w:szCs w:val="24"/>
                <w:lang w:eastAsia="zh-CN"/>
              </w:rPr>
              <w:t>临床试验相关的</w:t>
            </w:r>
            <w:r>
              <w:rPr>
                <w:rFonts w:hint="eastAsia" w:ascii="仿宋" w:hAnsi="仿宋" w:eastAsia="仿宋" w:cs="仿宋"/>
                <w:sz w:val="24"/>
                <w:szCs w:val="24"/>
              </w:rPr>
              <w:t>软件著作权登记证书</w:t>
            </w:r>
            <w:r>
              <w:rPr>
                <w:rFonts w:hint="eastAsia" w:ascii="仿宋" w:hAnsi="仿宋" w:eastAsia="仿宋" w:cs="仿宋"/>
                <w:sz w:val="24"/>
                <w:szCs w:val="24"/>
                <w:lang w:eastAsia="zh-CN"/>
              </w:rPr>
              <w:t>，</w:t>
            </w:r>
            <w:r>
              <w:rPr>
                <w:rFonts w:hint="eastAsia" w:ascii="仿宋" w:hAnsi="仿宋" w:eastAsia="仿宋" w:cs="仿宋"/>
                <w:sz w:val="24"/>
                <w:szCs w:val="24"/>
              </w:rPr>
              <w:t>每提供一个</w:t>
            </w:r>
            <w:r>
              <w:rPr>
                <w:rFonts w:hint="eastAsia" w:ascii="仿宋" w:hAnsi="仿宋" w:eastAsia="仿宋" w:cs="仿宋"/>
                <w:sz w:val="24"/>
                <w:szCs w:val="24"/>
                <w:lang w:eastAsia="zh-CN"/>
              </w:rPr>
              <w:t>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最多得</w:t>
            </w:r>
            <w:r>
              <w:rPr>
                <w:rFonts w:hint="eastAsia" w:ascii="仿宋" w:hAnsi="仿宋" w:eastAsia="仿宋" w:cs="仿宋"/>
                <w:sz w:val="24"/>
                <w:szCs w:val="24"/>
                <w:lang w:val="en-US" w:eastAsia="zh-CN"/>
              </w:rPr>
              <w:t>4分。</w:t>
            </w: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注：</w:t>
            </w:r>
            <w:r>
              <w:rPr>
                <w:rFonts w:hint="eastAsia" w:ascii="仿宋" w:hAnsi="仿宋" w:eastAsia="仿宋" w:cs="仿宋"/>
                <w:sz w:val="24"/>
                <w:szCs w:val="24"/>
                <w:lang w:val="en-US" w:eastAsia="zh-CN"/>
              </w:rPr>
              <w:t>须提供加盖投标人公章的证书复印件附至响应文件中，没有或未提供不得分。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vMerge w:val="continue"/>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276" w:type="dxa"/>
            <w:shd w:val="clear" w:color="auto" w:fill="auto"/>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国家信创要求</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6950" w:type="dxa"/>
            <w:shd w:val="clear" w:color="auto" w:fill="auto"/>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为保证系统的兼容性，要求投标人提供的相关产品软件满足国家信创要求，提供近一年的产品软件系统适配测试报告，得3分。</w:t>
            </w: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注：</w:t>
            </w:r>
            <w:r>
              <w:rPr>
                <w:rFonts w:hint="eastAsia" w:ascii="仿宋" w:hAnsi="仿宋" w:eastAsia="仿宋" w:cs="仿宋"/>
                <w:sz w:val="24"/>
                <w:szCs w:val="24"/>
                <w:lang w:val="en-US" w:eastAsia="zh-CN"/>
              </w:rPr>
              <w:t>须提供加盖投标人公章的报告复印件附至响应文件中，没有或未提供不得分。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271" w:type="dxa"/>
            <w:vMerge w:val="continue"/>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276" w:type="dxa"/>
            <w:shd w:val="clear" w:color="auto" w:fill="auto"/>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类似项目业绩</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c>
          <w:tcPr>
            <w:tcW w:w="6950" w:type="dxa"/>
            <w:shd w:val="clear" w:color="auto" w:fill="auto"/>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提供</w:t>
            </w:r>
            <w:r>
              <w:rPr>
                <w:rFonts w:hint="eastAsia" w:ascii="仿宋" w:hAnsi="仿宋" w:eastAsia="仿宋" w:cs="仿宋"/>
                <w:sz w:val="24"/>
                <w:szCs w:val="24"/>
                <w:lang w:val="en-US" w:eastAsia="zh-CN"/>
              </w:rPr>
              <w:t>所投软件系统2022</w:t>
            </w:r>
            <w:r>
              <w:rPr>
                <w:rFonts w:hint="eastAsia" w:ascii="仿宋" w:hAnsi="仿宋" w:eastAsia="仿宋" w:cs="仿宋"/>
                <w:sz w:val="24"/>
                <w:szCs w:val="24"/>
              </w:rPr>
              <w:t>年</w:t>
            </w:r>
            <w:r>
              <w:rPr>
                <w:rFonts w:hint="eastAsia" w:ascii="仿宋" w:hAnsi="仿宋" w:eastAsia="仿宋" w:cs="仿宋"/>
                <w:sz w:val="24"/>
                <w:szCs w:val="24"/>
                <w:lang w:val="en-US" w:eastAsia="zh-CN"/>
              </w:rPr>
              <w:t>1月1日</w:t>
            </w:r>
            <w:r>
              <w:rPr>
                <w:rFonts w:hint="eastAsia" w:ascii="仿宋" w:hAnsi="仿宋" w:eastAsia="仿宋" w:cs="仿宋"/>
                <w:sz w:val="24"/>
                <w:szCs w:val="24"/>
              </w:rPr>
              <w:t>至今签订的</w:t>
            </w:r>
            <w:r>
              <w:rPr>
                <w:rFonts w:hint="eastAsia" w:ascii="仿宋" w:hAnsi="仿宋" w:eastAsia="仿宋" w:cs="仿宋"/>
                <w:sz w:val="24"/>
                <w:szCs w:val="24"/>
                <w:lang w:val="en-US" w:eastAsia="zh-CN"/>
              </w:rPr>
              <w:t>同类业绩</w:t>
            </w:r>
            <w:r>
              <w:rPr>
                <w:rFonts w:hint="eastAsia" w:ascii="仿宋" w:hAnsi="仿宋" w:eastAsia="仿宋" w:cs="仿宋"/>
                <w:sz w:val="24"/>
                <w:szCs w:val="24"/>
              </w:rPr>
              <w:t>合同。每提供一项合同得</w:t>
            </w:r>
            <w:r>
              <w:rPr>
                <w:rFonts w:hint="eastAsia" w:ascii="仿宋" w:hAnsi="仿宋" w:eastAsia="仿宋" w:cs="仿宋"/>
                <w:sz w:val="24"/>
                <w:szCs w:val="24"/>
                <w:lang w:val="en-US" w:eastAsia="zh-CN"/>
              </w:rPr>
              <w:t>1.5</w:t>
            </w:r>
            <w:r>
              <w:rPr>
                <w:rFonts w:hint="eastAsia" w:ascii="仿宋" w:hAnsi="仿宋" w:eastAsia="仿宋" w:cs="仿宋"/>
                <w:sz w:val="24"/>
                <w:szCs w:val="24"/>
              </w:rPr>
              <w:t>分，最高</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注：需同时提供①合同原件扫描件；②中标（成交）通知书原件扫描件；③中标（成交）公示截图（需附网址）附至响应文件中，时间以合同签订时间为准，未提供或提供不全不得分。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271" w:type="dxa"/>
            <w:vMerge w:val="restart"/>
            <w:shd w:val="clear" w:color="auto" w:fill="auto"/>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技术部分（</w:t>
            </w:r>
            <w:r>
              <w:rPr>
                <w:rFonts w:hint="eastAsia" w:ascii="仿宋" w:hAnsi="仿宋" w:eastAsia="仿宋" w:cs="仿宋"/>
                <w:sz w:val="24"/>
                <w:szCs w:val="24"/>
                <w:lang w:val="en-US" w:eastAsia="zh-CN"/>
              </w:rPr>
              <w:t>77</w:t>
            </w:r>
            <w:r>
              <w:rPr>
                <w:rFonts w:hint="eastAsia" w:ascii="仿宋" w:hAnsi="仿宋" w:eastAsia="仿宋" w:cs="仿宋"/>
                <w:sz w:val="24"/>
                <w:szCs w:val="24"/>
              </w:rPr>
              <w:t>分）</w:t>
            </w:r>
          </w:p>
        </w:tc>
        <w:tc>
          <w:tcPr>
            <w:tcW w:w="1276" w:type="dxa"/>
            <w:shd w:val="clear" w:color="auto" w:fill="auto"/>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分）</w:t>
            </w:r>
          </w:p>
        </w:tc>
        <w:tc>
          <w:tcPr>
            <w:tcW w:w="6950" w:type="dxa"/>
            <w:shd w:val="clear" w:color="auto" w:fill="auto"/>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根据投标人的</w:t>
            </w:r>
            <w:r>
              <w:rPr>
                <w:rFonts w:hint="eastAsia" w:ascii="仿宋" w:hAnsi="仿宋" w:eastAsia="仿宋" w:cs="仿宋"/>
                <w:sz w:val="24"/>
                <w:szCs w:val="24"/>
                <w:lang w:val="en-US" w:eastAsia="zh-CN"/>
              </w:rPr>
              <w:t>投标</w:t>
            </w:r>
            <w:r>
              <w:rPr>
                <w:rFonts w:hint="eastAsia" w:ascii="仿宋" w:hAnsi="仿宋" w:eastAsia="仿宋" w:cs="仿宋"/>
                <w:sz w:val="24"/>
                <w:szCs w:val="24"/>
              </w:rPr>
              <w:t>文件中 “技术要求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技术偏离表</w:t>
            </w:r>
            <w:r>
              <w:rPr>
                <w:rFonts w:hint="eastAsia" w:ascii="仿宋" w:hAnsi="仿宋" w:eastAsia="仿宋" w:cs="仿宋"/>
                <w:sz w:val="24"/>
                <w:szCs w:val="24"/>
              </w:rPr>
              <w:t>”的响应情况评分，满分</w:t>
            </w:r>
            <w:r>
              <w:rPr>
                <w:rFonts w:hint="eastAsia" w:ascii="仿宋" w:hAnsi="仿宋" w:eastAsia="仿宋" w:cs="仿宋"/>
                <w:sz w:val="24"/>
                <w:szCs w:val="24"/>
                <w:lang w:val="en-US" w:eastAsia="zh-CN"/>
              </w:rPr>
              <w:t>25</w:t>
            </w:r>
            <w:r>
              <w:rPr>
                <w:rFonts w:hint="eastAsia" w:ascii="仿宋" w:hAnsi="仿宋" w:eastAsia="仿宋" w:cs="仿宋"/>
                <w:sz w:val="24"/>
                <w:szCs w:val="24"/>
              </w:rPr>
              <w:t>分，每1条带▲条款不能满足采购文件要求扣</w:t>
            </w:r>
            <w:r>
              <w:rPr>
                <w:rFonts w:hint="eastAsia" w:ascii="仿宋" w:hAnsi="仿宋" w:eastAsia="仿宋" w:cs="仿宋"/>
                <w:sz w:val="24"/>
                <w:szCs w:val="24"/>
                <w:lang w:val="en-US" w:eastAsia="zh-CN"/>
              </w:rPr>
              <w:t>2</w:t>
            </w:r>
            <w:r>
              <w:rPr>
                <w:rFonts w:hint="eastAsia" w:ascii="仿宋" w:hAnsi="仿宋" w:eastAsia="仿宋" w:cs="仿宋"/>
                <w:sz w:val="24"/>
                <w:szCs w:val="24"/>
              </w:rPr>
              <w:t>分，其他一般</w:t>
            </w:r>
            <w:r>
              <w:rPr>
                <w:rFonts w:hint="eastAsia" w:ascii="仿宋" w:hAnsi="仿宋" w:eastAsia="仿宋" w:cs="仿宋"/>
                <w:sz w:val="24"/>
                <w:szCs w:val="24"/>
                <w:lang w:val="en-US" w:eastAsia="zh-CN"/>
              </w:rPr>
              <w:t>非实质性</w:t>
            </w:r>
            <w:r>
              <w:rPr>
                <w:rFonts w:hint="eastAsia" w:ascii="仿宋" w:hAnsi="仿宋" w:eastAsia="仿宋" w:cs="仿宋"/>
                <w:sz w:val="24"/>
                <w:szCs w:val="24"/>
              </w:rPr>
              <w:t>条款不能满足采购文件要求扣</w:t>
            </w:r>
            <w:r>
              <w:rPr>
                <w:rFonts w:hint="eastAsia" w:ascii="仿宋" w:hAnsi="仿宋" w:eastAsia="仿宋" w:cs="仿宋"/>
                <w:sz w:val="24"/>
                <w:szCs w:val="24"/>
                <w:lang w:val="en-US" w:eastAsia="zh-CN"/>
              </w:rPr>
              <w:t>0.5</w:t>
            </w:r>
            <w:r>
              <w:rPr>
                <w:rFonts w:hint="eastAsia" w:ascii="仿宋" w:hAnsi="仿宋" w:eastAsia="仿宋" w:cs="仿宋"/>
                <w:sz w:val="24"/>
                <w:szCs w:val="24"/>
              </w:rPr>
              <w:t>分，扣完为止。</w:t>
            </w: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注：对于带▲的重要参数，须提供系统功能截图予以证明</w:t>
            </w:r>
            <w:r>
              <w:rPr>
                <w:rFonts w:hint="eastAsia" w:ascii="仿宋" w:hAnsi="仿宋" w:eastAsia="仿宋" w:cs="仿宋"/>
                <w:sz w:val="24"/>
                <w:szCs w:val="24"/>
                <w:lang w:eastAsia="zh-CN"/>
              </w:rPr>
              <w:t>（证明材料</w:t>
            </w:r>
            <w:r>
              <w:rPr>
                <w:rFonts w:hint="eastAsia" w:ascii="仿宋" w:hAnsi="仿宋" w:eastAsia="仿宋" w:cs="仿宋"/>
                <w:sz w:val="24"/>
                <w:szCs w:val="24"/>
                <w:lang w:val="en-US" w:eastAsia="zh-CN"/>
              </w:rPr>
              <w:t>须加盖投标人公章附至响应文件中</w:t>
            </w:r>
            <w:r>
              <w:rPr>
                <w:rFonts w:hint="eastAsia" w:ascii="仿宋" w:hAnsi="仿宋" w:eastAsia="仿宋" w:cs="仿宋"/>
                <w:sz w:val="24"/>
                <w:szCs w:val="24"/>
                <w:lang w:eastAsia="zh-CN"/>
              </w:rPr>
              <w:t>），</w:t>
            </w:r>
            <w:r>
              <w:rPr>
                <w:rFonts w:hint="eastAsia" w:ascii="仿宋" w:hAnsi="仿宋" w:eastAsia="仿宋" w:cs="仿宋"/>
                <w:sz w:val="24"/>
                <w:szCs w:val="24"/>
              </w:rPr>
              <w:t>截图不清楚或功能不完整的，视为负偏离</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71" w:type="dxa"/>
            <w:vMerge w:val="continue"/>
            <w:shd w:val="clear" w:color="auto" w:fill="auto"/>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276" w:type="dxa"/>
            <w:shd w:val="clear" w:color="auto" w:fill="auto"/>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技术方案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16分</w:t>
            </w:r>
            <w:r>
              <w:rPr>
                <w:rFonts w:hint="eastAsia" w:ascii="仿宋" w:hAnsi="仿宋" w:eastAsia="仿宋" w:cs="仿宋"/>
                <w:sz w:val="24"/>
                <w:szCs w:val="24"/>
                <w:lang w:eastAsia="zh-CN"/>
              </w:rPr>
              <w:t>）</w:t>
            </w:r>
          </w:p>
        </w:tc>
        <w:tc>
          <w:tcPr>
            <w:tcW w:w="6950" w:type="dxa"/>
            <w:shd w:val="clear" w:color="auto" w:fill="auto"/>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根据投标人提供的整体技术方案进行综合评分：方案包含但不限于 ①项目需求分析；②系统设计思路及系统架构阐述；③系统扩展能力、兼容性、稳定性阐述；④系统使用人员建议配置及运行方案等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完全满足得16分，方案中每有一项内容要素存在缺失遗漏或描述不完整或仅有大纲标题无正文内容的扣4分，方案内容要素中每存在一处内容不足或缺陷的扣1分，单项内容要素减分值不超过4分，扣完为止</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71" w:type="dxa"/>
            <w:vMerge w:val="continue"/>
            <w:shd w:val="clear" w:color="auto" w:fill="auto"/>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276" w:type="dxa"/>
            <w:shd w:val="clear" w:color="auto" w:fill="auto"/>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项目实施 </w:t>
            </w: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方案（16分）</w:t>
            </w:r>
          </w:p>
        </w:tc>
        <w:tc>
          <w:tcPr>
            <w:tcW w:w="6950" w:type="dxa"/>
            <w:shd w:val="clear" w:color="auto" w:fill="auto"/>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根据投标人提供的</w:t>
            </w:r>
            <w:r>
              <w:rPr>
                <w:rFonts w:hint="eastAsia" w:ascii="仿宋" w:hAnsi="仿宋" w:eastAsia="仿宋" w:cs="仿宋"/>
                <w:sz w:val="24"/>
                <w:szCs w:val="24"/>
                <w:lang w:val="en-US" w:eastAsia="zh-CN"/>
              </w:rPr>
              <w:t>项目实施方案进行综合评分，方案包含但不限于①项目实施进度计划；②项目质量管控；③项目文档管理；④项目验收管理等。完全满足得16分，方案中每有一项内容要素存在缺失遗漏或仅有标题无正文内容的扣4分，方案内容要素中每存在一处内容不足或缺陷的扣1分，单项内容要素减分值不超过4分，扣完为止</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271" w:type="dxa"/>
            <w:vMerge w:val="continue"/>
            <w:shd w:val="clear" w:color="auto" w:fill="auto"/>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276" w:type="dxa"/>
            <w:shd w:val="clear" w:color="auto" w:fill="auto"/>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售后服务（</w:t>
            </w: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6950" w:type="dxa"/>
            <w:shd w:val="clear" w:color="auto" w:fill="auto"/>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根据投标人提供的售后服务方案进行综合评分：方案包含但不限于 ①售后服务计划</w:t>
            </w:r>
            <w:r>
              <w:rPr>
                <w:rFonts w:hint="eastAsia" w:ascii="仿宋" w:hAnsi="仿宋" w:eastAsia="仿宋" w:cs="仿宋"/>
                <w:sz w:val="24"/>
                <w:szCs w:val="24"/>
                <w:lang w:eastAsia="zh-CN"/>
              </w:rPr>
              <w:t>；</w:t>
            </w:r>
            <w:r>
              <w:rPr>
                <w:rFonts w:hint="eastAsia" w:ascii="仿宋" w:hAnsi="仿宋" w:eastAsia="仿宋" w:cs="仿宋"/>
                <w:sz w:val="24"/>
                <w:szCs w:val="24"/>
              </w:rPr>
              <w:t>②售后服务人员安排</w:t>
            </w:r>
            <w:r>
              <w:rPr>
                <w:rFonts w:hint="eastAsia" w:ascii="仿宋" w:hAnsi="仿宋" w:eastAsia="仿宋" w:cs="仿宋"/>
                <w:sz w:val="24"/>
                <w:szCs w:val="24"/>
                <w:lang w:eastAsia="zh-CN"/>
              </w:rPr>
              <w:t>；</w:t>
            </w:r>
            <w:r>
              <w:rPr>
                <w:rFonts w:hint="eastAsia" w:ascii="仿宋" w:hAnsi="仿宋" w:eastAsia="仿宋" w:cs="仿宋"/>
                <w:sz w:val="24"/>
                <w:szCs w:val="24"/>
              </w:rPr>
              <w:t>③售后服务管理</w:t>
            </w:r>
            <w:r>
              <w:rPr>
                <w:rFonts w:hint="eastAsia" w:ascii="仿宋" w:hAnsi="仿宋" w:eastAsia="仿宋" w:cs="仿宋"/>
                <w:sz w:val="24"/>
                <w:szCs w:val="24"/>
                <w:lang w:eastAsia="zh-CN"/>
              </w:rPr>
              <w:t>；</w:t>
            </w:r>
            <w:r>
              <w:rPr>
                <w:rFonts w:hint="eastAsia" w:ascii="仿宋" w:hAnsi="仿宋" w:eastAsia="仿宋" w:cs="仿宋"/>
                <w:sz w:val="24"/>
                <w:szCs w:val="24"/>
              </w:rPr>
              <w:t>④售后服务保障能力等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完全满足得12分，方案中每有一项内容要素存在缺失遗漏或仅有标题无正文内容的扣3分，方案内容要素中每存在一处内容不足或缺陷的扣1分，单项内容要素减分值不超过3分，扣完为止</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271" w:type="dxa"/>
            <w:vMerge w:val="continue"/>
            <w:shd w:val="clear" w:color="auto" w:fill="auto"/>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276" w:type="dxa"/>
            <w:shd w:val="clear" w:color="auto" w:fill="auto"/>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培训方案(8分）</w:t>
            </w:r>
          </w:p>
        </w:tc>
        <w:tc>
          <w:tcPr>
            <w:tcW w:w="6950" w:type="dxa"/>
            <w:shd w:val="clear" w:color="auto" w:fill="auto"/>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根据投标人提供的</w:t>
            </w:r>
            <w:r>
              <w:rPr>
                <w:rFonts w:hint="eastAsia" w:ascii="仿宋" w:hAnsi="仿宋" w:eastAsia="仿宋" w:cs="仿宋"/>
                <w:sz w:val="24"/>
                <w:szCs w:val="24"/>
                <w:lang w:val="en-US" w:eastAsia="zh-CN"/>
              </w:rPr>
              <w:t>培训方案进行综合评分，方案包含但不限于①培训目标及培训对象；②培训内容；</w:t>
            </w:r>
            <w:r>
              <w:rPr>
                <w:rFonts w:hint="eastAsia" w:ascii="仿宋" w:hAnsi="仿宋" w:eastAsia="仿宋" w:cs="仿宋"/>
                <w:sz w:val="24"/>
                <w:szCs w:val="24"/>
              </w:rPr>
              <w:t>③</w:t>
            </w:r>
            <w:r>
              <w:rPr>
                <w:rFonts w:hint="eastAsia" w:ascii="仿宋" w:hAnsi="仿宋" w:eastAsia="仿宋" w:cs="仿宋"/>
                <w:sz w:val="24"/>
                <w:szCs w:val="24"/>
                <w:lang w:val="en-US" w:eastAsia="zh-CN"/>
              </w:rPr>
              <w:t>培训组织结构；</w:t>
            </w:r>
            <w:r>
              <w:rPr>
                <w:rFonts w:hint="eastAsia" w:ascii="仿宋" w:hAnsi="仿宋" w:eastAsia="仿宋" w:cs="仿宋"/>
                <w:sz w:val="24"/>
                <w:szCs w:val="24"/>
              </w:rPr>
              <w:t>④</w:t>
            </w:r>
            <w:r>
              <w:rPr>
                <w:rFonts w:hint="eastAsia" w:ascii="仿宋" w:hAnsi="仿宋" w:eastAsia="仿宋" w:cs="仿宋"/>
                <w:sz w:val="24"/>
                <w:szCs w:val="24"/>
                <w:lang w:val="en-US" w:eastAsia="zh-CN"/>
              </w:rPr>
              <w:t>师资力量及培训方式、培训流程以及预期培训效果等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完全满足得8分，方案中每有一项内容要素存在缺失遗漏或仅有标题无正文内容的扣2分，方案内容要素中每存在一处内容不足或缺陷的扣1分，单项内容要素减分值不超过2分，扣完为止</w:t>
            </w:r>
            <w:r>
              <w:rPr>
                <w:rFonts w:hint="eastAsia" w:ascii="仿宋" w:hAnsi="仿宋" w:eastAsia="仿宋" w:cs="仿宋"/>
                <w:sz w:val="24"/>
                <w:szCs w:val="24"/>
              </w:rPr>
              <w:t>。</w:t>
            </w:r>
          </w:p>
        </w:tc>
      </w:tr>
    </w:tbl>
    <w:p>
      <w:pPr>
        <w:rPr>
          <w:rFonts w:hint="eastAsia" w:ascii="仿宋" w:hAnsi="仿宋" w:eastAsia="仿宋" w:cs="仿宋"/>
          <w:color w:val="auto"/>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0" w:right="71" w:firstLine="419"/>
        <w:textAlignment w:val="baseline"/>
        <w:rPr>
          <w:rFonts w:hint="eastAsia" w:ascii="仿宋" w:hAnsi="仿宋" w:eastAsia="仿宋" w:cs="仿宋"/>
          <w:spacing w:val="11"/>
          <w:sz w:val="24"/>
          <w:szCs w:val="24"/>
          <w:highlight w:val="none"/>
        </w:rPr>
      </w:pPr>
      <w:bookmarkStart w:id="140" w:name="_Toc325211697"/>
      <w:bookmarkStart w:id="141" w:name="_Toc29790"/>
      <w:bookmarkStart w:id="142" w:name="_Toc24435"/>
      <w:bookmarkStart w:id="143" w:name="_Toc26744"/>
      <w:bookmarkStart w:id="144" w:name="_Toc20467"/>
      <w:bookmarkStart w:id="145" w:name="_Toc26975"/>
      <w:bookmarkStart w:id="146" w:name="_Toc7858"/>
      <w:bookmarkStart w:id="147" w:name="_Toc3970"/>
      <w:bookmarkStart w:id="148" w:name="_Toc22323"/>
      <w:bookmarkStart w:id="149" w:name="_Toc14978"/>
      <w:bookmarkStart w:id="150" w:name="_Toc3329"/>
      <w:bookmarkStart w:id="151" w:name="_Toc19490"/>
      <w:bookmarkStart w:id="152" w:name="_Toc28250"/>
      <w:bookmarkStart w:id="153" w:name="_Toc11844"/>
      <w:bookmarkStart w:id="154" w:name="_Toc2851"/>
      <w:r>
        <w:rPr>
          <w:rFonts w:hint="eastAsia" w:ascii="仿宋" w:hAnsi="仿宋" w:eastAsia="仿宋" w:cs="仿宋"/>
          <w:spacing w:val="11"/>
          <w:sz w:val="24"/>
          <w:szCs w:val="24"/>
          <w:highlight w:val="none"/>
        </w:rPr>
        <w:t>注：各供应商根据企业自身实际情况提供的各项证明材料必须真实有效。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 w:right="71" w:firstLine="419"/>
        <w:textAlignment w:val="baseline"/>
        <w:rPr>
          <w:rFonts w:hint="eastAsia" w:ascii="仿宋" w:hAnsi="仿宋" w:eastAsia="仿宋" w:cs="仿宋"/>
          <w:spacing w:val="11"/>
          <w:sz w:val="24"/>
          <w:szCs w:val="24"/>
          <w:highlight w:val="none"/>
        </w:rPr>
      </w:pPr>
      <w:r>
        <w:rPr>
          <w:rFonts w:hint="eastAsia" w:ascii="仿宋" w:hAnsi="仿宋" w:eastAsia="仿宋" w:cs="仿宋"/>
          <w:spacing w:val="11"/>
          <w:sz w:val="24"/>
          <w:szCs w:val="24"/>
          <w:highlight w:val="none"/>
        </w:rPr>
        <w:t>磋商小组依据《综合评分法》一览表的评分细则对各供应商的响应文件进行综合评审后，取所有评委评分的算术平均值作为该供应商的最终得分，并按综合得分从高到低的顺序确定3名成交候选供应商。最终得分相等时，按照最后报价由低到高的顺序推荐。评审得分且最后报价相同的，按照技术</w:t>
      </w:r>
      <w:r>
        <w:rPr>
          <w:rFonts w:hint="eastAsia" w:ascii="仿宋" w:hAnsi="仿宋" w:eastAsia="仿宋" w:cs="仿宋"/>
          <w:spacing w:val="11"/>
          <w:sz w:val="24"/>
          <w:szCs w:val="24"/>
          <w:highlight w:val="none"/>
          <w:lang w:val="en-US" w:eastAsia="zh-CN"/>
        </w:rPr>
        <w:t>评审</w:t>
      </w:r>
      <w:r>
        <w:rPr>
          <w:rFonts w:hint="eastAsia" w:ascii="仿宋" w:hAnsi="仿宋" w:eastAsia="仿宋" w:cs="仿宋"/>
          <w:spacing w:val="11"/>
          <w:sz w:val="24"/>
          <w:szCs w:val="24"/>
          <w:highlight w:val="none"/>
        </w:rPr>
        <w:t>得分由高到低的顺序推荐。</w:t>
      </w:r>
    </w:p>
    <w:p>
      <w:pPr>
        <w:pStyle w:val="30"/>
        <w:ind w:firstLine="643"/>
        <w:rPr>
          <w:rFonts w:hint="eastAsia" w:ascii="仿宋" w:hAnsi="仿宋" w:eastAsia="仿宋" w:cs="仿宋"/>
          <w:b/>
          <w:color w:val="auto"/>
          <w:sz w:val="32"/>
          <w:szCs w:val="32"/>
          <w:highlight w:val="none"/>
        </w:rPr>
      </w:pPr>
    </w:p>
    <w:p>
      <w:pPr>
        <w:rPr>
          <w:rFonts w:hint="eastAsia" w:ascii="仿宋" w:hAnsi="仿宋" w:eastAsia="仿宋" w:cs="仿宋"/>
          <w:color w:val="auto"/>
          <w:highlight w:val="none"/>
        </w:rPr>
      </w:pP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jc w:val="center"/>
        <w:outlineLvl w:val="0"/>
        <w:rPr>
          <w:rFonts w:hint="eastAsia" w:ascii="仿宋" w:hAnsi="仿宋" w:eastAsia="仿宋" w:cs="仿宋"/>
          <w:b/>
          <w:color w:val="auto"/>
          <w:kern w:val="40"/>
          <w:sz w:val="24"/>
          <w:highlight w:val="none"/>
        </w:rPr>
      </w:pPr>
      <w:r>
        <w:rPr>
          <w:rFonts w:hint="eastAsia" w:ascii="仿宋" w:hAnsi="仿宋" w:eastAsia="仿宋" w:cs="仿宋"/>
          <w:b/>
          <w:color w:val="auto"/>
          <w:sz w:val="32"/>
          <w:szCs w:val="32"/>
          <w:highlight w:val="none"/>
        </w:rPr>
        <w:t xml:space="preserve">第四章 </w:t>
      </w:r>
      <w:bookmarkEnd w:id="140"/>
      <w:bookmarkEnd w:id="141"/>
      <w:bookmarkEnd w:id="142"/>
      <w:bookmarkEnd w:id="143"/>
      <w:bookmarkEnd w:id="144"/>
      <w:bookmarkEnd w:id="145"/>
      <w:bookmarkEnd w:id="146"/>
      <w:bookmarkStart w:id="155" w:name="_Toc199575432"/>
      <w:bookmarkStart w:id="156" w:name="_Toc325211698"/>
      <w:r>
        <w:rPr>
          <w:rStyle w:val="39"/>
          <w:rFonts w:hint="eastAsia" w:ascii="仿宋" w:hAnsi="仿宋" w:eastAsia="仿宋" w:cs="仿宋"/>
          <w:color w:val="auto"/>
          <w:szCs w:val="32"/>
          <w:highlight w:val="none"/>
        </w:rPr>
        <w:t>合同书格式</w:t>
      </w:r>
      <w:bookmarkEnd w:id="147"/>
      <w:bookmarkEnd w:id="148"/>
      <w:bookmarkEnd w:id="149"/>
      <w:bookmarkEnd w:id="150"/>
      <w:bookmarkEnd w:id="151"/>
      <w:bookmarkEnd w:id="152"/>
      <w:bookmarkEnd w:id="153"/>
      <w:bookmarkEnd w:id="154"/>
    </w:p>
    <w:p>
      <w:pPr>
        <w:spacing w:line="360" w:lineRule="auto"/>
        <w:jc w:val="center"/>
        <w:rPr>
          <w:rFonts w:hint="eastAsia" w:ascii="仿宋" w:hAnsi="仿宋" w:eastAsia="仿宋" w:cs="仿宋"/>
          <w:b/>
          <w:color w:val="auto"/>
          <w:kern w:val="40"/>
          <w:sz w:val="24"/>
          <w:highlight w:val="none"/>
        </w:rPr>
      </w:pPr>
    </w:p>
    <w:p>
      <w:pPr>
        <w:spacing w:line="360" w:lineRule="auto"/>
        <w:jc w:val="center"/>
        <w:rPr>
          <w:rFonts w:hint="eastAsia" w:ascii="仿宋" w:hAnsi="仿宋" w:eastAsia="仿宋" w:cs="仿宋"/>
          <w:b/>
          <w:color w:val="auto"/>
          <w:kern w:val="40"/>
          <w:sz w:val="24"/>
          <w:highlight w:val="none"/>
        </w:rPr>
      </w:pPr>
    </w:p>
    <w:p>
      <w:pPr>
        <w:spacing w:line="360" w:lineRule="auto"/>
        <w:jc w:val="center"/>
        <w:rPr>
          <w:rFonts w:hint="eastAsia" w:ascii="仿宋" w:hAnsi="仿宋" w:eastAsia="仿宋" w:cs="仿宋"/>
          <w:b/>
          <w:color w:val="auto"/>
          <w:kern w:val="40"/>
          <w:sz w:val="24"/>
          <w:highlight w:val="none"/>
        </w:rPr>
      </w:pPr>
    </w:p>
    <w:p>
      <w:pPr>
        <w:pStyle w:val="11"/>
        <w:rPr>
          <w:rFonts w:hint="eastAsia" w:ascii="仿宋" w:hAnsi="仿宋" w:eastAsia="仿宋" w:cs="仿宋"/>
          <w:b/>
          <w:color w:val="auto"/>
          <w:sz w:val="20"/>
          <w:highlight w:val="none"/>
        </w:rPr>
      </w:pPr>
    </w:p>
    <w:p>
      <w:pPr>
        <w:jc w:val="center"/>
        <w:rPr>
          <w:rFonts w:hint="eastAsia" w:ascii="仿宋" w:hAnsi="仿宋" w:eastAsia="仿宋" w:cs="仿宋"/>
          <w:color w:val="auto"/>
          <w:highlight w:val="none"/>
        </w:rPr>
      </w:pPr>
    </w:p>
    <w:bookmarkEnd w:id="155"/>
    <w:bookmarkEnd w:id="156"/>
    <w:p>
      <w:pPr>
        <w:spacing w:before="59"/>
        <w:ind w:right="356" w:firstLine="643" w:firstLineChars="200"/>
        <w:jc w:val="center"/>
        <w:rPr>
          <w:rFonts w:hint="eastAsia" w:ascii="仿宋" w:hAnsi="仿宋" w:eastAsia="仿宋" w:cs="仿宋"/>
          <w:b/>
          <w:color w:val="auto"/>
          <w:sz w:val="32"/>
          <w:szCs w:val="32"/>
          <w:highlight w:val="none"/>
        </w:rPr>
      </w:pPr>
      <w:bookmarkStart w:id="157" w:name="_Toc15879"/>
      <w:bookmarkStart w:id="158" w:name="_Toc3991"/>
      <w:bookmarkStart w:id="159" w:name="_Toc10176"/>
      <w:bookmarkStart w:id="160" w:name="_Toc10775"/>
      <w:bookmarkStart w:id="161" w:name="_Toc8506"/>
      <w:bookmarkStart w:id="162" w:name="_Toc2841"/>
      <w:bookmarkStart w:id="163" w:name="_Toc14538"/>
      <w:bookmarkStart w:id="164" w:name="_Toc26870"/>
      <w:bookmarkStart w:id="165" w:name="_Toc32598"/>
      <w:bookmarkStart w:id="166" w:name="_Toc19210"/>
      <w:bookmarkStart w:id="167" w:name="_Toc21846"/>
      <w:bookmarkStart w:id="168" w:name="_Toc13184"/>
      <w:bookmarkStart w:id="169" w:name="_Toc32153"/>
      <w:r>
        <w:rPr>
          <w:rFonts w:hint="eastAsia" w:ascii="仿宋" w:hAnsi="仿宋" w:eastAsia="仿宋" w:cs="仿宋"/>
          <w:b/>
          <w:color w:val="auto"/>
          <w:sz w:val="32"/>
          <w:szCs w:val="32"/>
          <w:highlight w:val="none"/>
        </w:rPr>
        <w:t>采 购 合 同</w:t>
      </w:r>
    </w:p>
    <w:p>
      <w:pPr>
        <w:pStyle w:val="11"/>
        <w:rPr>
          <w:rFonts w:hint="eastAsia" w:ascii="仿宋" w:hAnsi="仿宋" w:eastAsia="仿宋" w:cs="仿宋"/>
          <w:b/>
          <w:color w:val="auto"/>
          <w:sz w:val="20"/>
          <w:highlight w:val="none"/>
        </w:rPr>
      </w:pPr>
    </w:p>
    <w:p>
      <w:pPr>
        <w:pStyle w:val="11"/>
        <w:spacing w:before="8"/>
        <w:rPr>
          <w:rFonts w:hint="eastAsia" w:ascii="仿宋" w:hAnsi="仿宋" w:eastAsia="仿宋" w:cs="仿宋"/>
          <w:b/>
          <w:color w:val="auto"/>
          <w:sz w:val="20"/>
          <w:highlight w:val="none"/>
        </w:rPr>
      </w:pPr>
      <w:bookmarkStart w:id="170" w:name="_Toc18850"/>
      <w:bookmarkStart w:id="171" w:name="_Toc328"/>
      <w:bookmarkStart w:id="172" w:name="_Toc484875158"/>
    </w:p>
    <w:p>
      <w:pPr>
        <w:rPr>
          <w:rFonts w:hint="eastAsia" w:ascii="仿宋" w:hAnsi="仿宋" w:eastAsia="仿宋" w:cs="仿宋"/>
          <w:color w:val="auto"/>
          <w:highlight w:val="none"/>
        </w:rPr>
      </w:pPr>
    </w:p>
    <w:p>
      <w:pPr>
        <w:spacing w:before="70" w:line="480" w:lineRule="auto"/>
        <w:ind w:left="1277" w:firstLine="532" w:firstLineChars="200"/>
        <w:rPr>
          <w:rFonts w:hint="eastAsia" w:ascii="仿宋" w:hAnsi="仿宋" w:eastAsia="仿宋" w:cs="仿宋"/>
          <w:b/>
          <w:color w:val="auto"/>
          <w:sz w:val="28"/>
          <w:szCs w:val="28"/>
          <w:highlight w:val="none"/>
        </w:rPr>
      </w:pPr>
      <w:r>
        <w:rPr>
          <w:rFonts w:hint="eastAsia" w:ascii="仿宋" w:hAnsi="仿宋" w:eastAsia="仿宋" w:cs="仿宋"/>
          <w:color w:val="auto"/>
          <w:w w:val="95"/>
          <w:sz w:val="28"/>
          <w:szCs w:val="28"/>
          <w:highlight w:val="none"/>
        </w:rPr>
        <w:t>项目名称:</w:t>
      </w:r>
      <w:r>
        <w:rPr>
          <w:rFonts w:hint="eastAsia" w:ascii="仿宋" w:hAnsi="仿宋" w:eastAsia="仿宋" w:cs="仿宋"/>
          <w:color w:val="auto"/>
          <w:kern w:val="0"/>
          <w:sz w:val="28"/>
          <w:szCs w:val="28"/>
          <w:highlight w:val="none"/>
        </w:rPr>
        <w:t>菏泽市立医院</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项目</w:t>
      </w:r>
    </w:p>
    <w:p>
      <w:pPr>
        <w:spacing w:line="480" w:lineRule="auto"/>
        <w:ind w:left="1277" w:firstLine="532"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w w:val="95"/>
          <w:sz w:val="28"/>
          <w:szCs w:val="28"/>
          <w:highlight w:val="none"/>
        </w:rPr>
        <w:t>项目编号:</w:t>
      </w:r>
      <w:r>
        <w:rPr>
          <w:rFonts w:hint="eastAsia" w:ascii="仿宋" w:hAnsi="仿宋" w:eastAsia="仿宋" w:cs="仿宋"/>
          <w:color w:val="auto"/>
          <w:w w:val="95"/>
          <w:sz w:val="28"/>
          <w:szCs w:val="28"/>
          <w:highlight w:val="none"/>
          <w:u w:val="single"/>
        </w:rPr>
        <w:t xml:space="preserve">                          </w:t>
      </w:r>
    </w:p>
    <w:p>
      <w:pPr>
        <w:pStyle w:val="11"/>
        <w:spacing w:line="480" w:lineRule="auto"/>
        <w:ind w:firstLine="1820" w:firstLineChars="650"/>
        <w:rPr>
          <w:rFonts w:hint="eastAsia" w:ascii="仿宋" w:hAnsi="仿宋" w:eastAsia="仿宋" w:cs="仿宋"/>
          <w:bCs/>
          <w:color w:val="auto"/>
          <w:sz w:val="28"/>
          <w:szCs w:val="28"/>
          <w:highlight w:val="none"/>
          <w:u w:val="single"/>
        </w:rPr>
      </w:pPr>
    </w:p>
    <w:p>
      <w:pPr>
        <w:pStyle w:val="11"/>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3"/>
        <w:rPr>
          <w:rFonts w:hint="eastAsia" w:ascii="仿宋" w:hAnsi="仿宋" w:eastAsia="仿宋" w:cs="仿宋"/>
          <w:color w:val="auto"/>
          <w:sz w:val="28"/>
          <w:szCs w:val="28"/>
          <w:highlight w:val="none"/>
        </w:rPr>
      </w:pPr>
    </w:p>
    <w:p>
      <w:pPr>
        <w:rPr>
          <w:rFonts w:hint="eastAsia" w:ascii="仿宋" w:hAnsi="仿宋" w:eastAsia="仿宋" w:cs="仿宋"/>
          <w:color w:val="auto"/>
          <w:highlight w:val="none"/>
        </w:rPr>
      </w:pPr>
    </w:p>
    <w:p>
      <w:pPr>
        <w:spacing w:before="155"/>
        <w:ind w:left="1283" w:leftChars="611" w:firstLine="391" w:firstLineChars="147"/>
        <w:rPr>
          <w:rFonts w:hint="eastAsia" w:ascii="仿宋" w:hAnsi="仿宋" w:eastAsia="仿宋" w:cs="仿宋"/>
          <w:color w:val="auto"/>
          <w:sz w:val="28"/>
          <w:szCs w:val="28"/>
          <w:highlight w:val="none"/>
        </w:rPr>
      </w:pPr>
      <w:r>
        <w:rPr>
          <w:rFonts w:hint="eastAsia" w:ascii="仿宋" w:hAnsi="仿宋" w:eastAsia="仿宋" w:cs="仿宋"/>
          <w:color w:val="auto"/>
          <w:w w:val="95"/>
          <w:sz w:val="28"/>
          <w:szCs w:val="28"/>
          <w:highlight w:val="none"/>
        </w:rPr>
        <w:t xml:space="preserve">甲方: </w:t>
      </w:r>
      <w:r>
        <w:rPr>
          <w:rFonts w:hint="eastAsia" w:ascii="仿宋" w:hAnsi="仿宋" w:eastAsia="仿宋" w:cs="仿宋"/>
          <w:color w:val="auto"/>
          <w:w w:val="95"/>
          <w:sz w:val="28"/>
          <w:szCs w:val="28"/>
          <w:highlight w:val="none"/>
          <w:u w:val="single"/>
        </w:rPr>
        <w:t>菏泽市立医院</w:t>
      </w:r>
    </w:p>
    <w:p>
      <w:pPr>
        <w:pStyle w:val="11"/>
        <w:spacing w:before="9"/>
        <w:rPr>
          <w:rFonts w:hint="eastAsia" w:ascii="仿宋" w:hAnsi="仿宋" w:eastAsia="仿宋" w:cs="仿宋"/>
          <w:b/>
          <w:color w:val="auto"/>
          <w:sz w:val="28"/>
          <w:szCs w:val="28"/>
          <w:highlight w:val="none"/>
        </w:rPr>
      </w:pPr>
    </w:p>
    <w:p>
      <w:pPr>
        <w:ind w:left="1283" w:leftChars="611" w:firstLine="391" w:firstLineChars="147"/>
        <w:rPr>
          <w:rFonts w:hint="eastAsia" w:ascii="仿宋" w:hAnsi="仿宋" w:eastAsia="仿宋" w:cs="仿宋"/>
          <w:color w:val="auto"/>
          <w:sz w:val="28"/>
          <w:szCs w:val="28"/>
          <w:highlight w:val="none"/>
          <w:u w:val="single"/>
        </w:rPr>
      </w:pPr>
      <w:r>
        <w:rPr>
          <w:rFonts w:hint="eastAsia" w:ascii="仿宋" w:hAnsi="仿宋" w:eastAsia="仿宋" w:cs="仿宋"/>
          <w:color w:val="auto"/>
          <w:w w:val="95"/>
          <w:sz w:val="28"/>
          <w:szCs w:val="28"/>
          <w:highlight w:val="none"/>
        </w:rPr>
        <w:t xml:space="preserve">乙方: </w:t>
      </w:r>
      <w:r>
        <w:rPr>
          <w:rFonts w:hint="eastAsia" w:ascii="仿宋" w:hAnsi="仿宋" w:eastAsia="仿宋" w:cs="仿宋"/>
          <w:color w:val="auto"/>
          <w:w w:val="95"/>
          <w:sz w:val="28"/>
          <w:szCs w:val="28"/>
          <w:highlight w:val="none"/>
          <w:u w:val="single"/>
        </w:rPr>
        <w:t xml:space="preserve">                     </w:t>
      </w:r>
    </w:p>
    <w:p>
      <w:pPr>
        <w:pStyle w:val="11"/>
        <w:rPr>
          <w:rFonts w:hint="eastAsia" w:ascii="仿宋" w:hAnsi="仿宋" w:eastAsia="仿宋" w:cs="仿宋"/>
          <w:b/>
          <w:color w:val="auto"/>
          <w:sz w:val="28"/>
          <w:szCs w:val="28"/>
          <w:highlight w:val="none"/>
        </w:rPr>
      </w:pPr>
    </w:p>
    <w:p>
      <w:pPr>
        <w:pStyle w:val="11"/>
        <w:spacing w:before="10"/>
        <w:rPr>
          <w:rFonts w:hint="eastAsia" w:ascii="仿宋" w:hAnsi="仿宋" w:eastAsia="仿宋" w:cs="仿宋"/>
          <w:b/>
          <w:color w:val="auto"/>
          <w:sz w:val="28"/>
          <w:szCs w:val="28"/>
          <w:highlight w:val="none"/>
        </w:rPr>
      </w:pPr>
    </w:p>
    <w:p>
      <w:pPr>
        <w:tabs>
          <w:tab w:val="left" w:pos="2117"/>
          <w:tab w:val="left" w:pos="2539"/>
          <w:tab w:val="left" w:pos="2962"/>
        </w:tabs>
        <w:ind w:left="1275" w:leftChars="607" w:firstLine="420" w:firstLineChars="150"/>
        <w:rPr>
          <w:rFonts w:hint="eastAsia" w:ascii="仿宋" w:hAnsi="仿宋" w:eastAsia="仿宋" w:cs="仿宋"/>
          <w:color w:val="auto"/>
          <w:sz w:val="28"/>
          <w:szCs w:val="28"/>
          <w:highlight w:val="none"/>
        </w:rPr>
        <w:sectPr>
          <w:pgSz w:w="11910" w:h="16840"/>
          <w:pgMar w:top="1220" w:right="940" w:bottom="1120" w:left="1300" w:header="595" w:footer="1231" w:gutter="0"/>
          <w:pgNumType w:fmt="decimal"/>
          <w:cols w:space="720" w:num="1"/>
        </w:sect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p>
    <w:p>
      <w:pPr>
        <w:spacing w:before="59"/>
        <w:ind w:right="356"/>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 购 合 同</w:t>
      </w:r>
    </w:p>
    <w:p>
      <w:pPr>
        <w:pStyle w:val="11"/>
        <w:rPr>
          <w:rFonts w:hint="eastAsia" w:ascii="仿宋" w:hAnsi="仿宋" w:eastAsia="仿宋" w:cs="仿宋"/>
          <w:b/>
          <w:color w:val="auto"/>
          <w:sz w:val="20"/>
          <w:highlight w:val="none"/>
        </w:rPr>
      </w:pPr>
    </w:p>
    <w:p>
      <w:pPr>
        <w:widowControl/>
        <w:spacing w:line="500" w:lineRule="exact"/>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合同（项目）编号：</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kern w:val="0"/>
          <w:sz w:val="24"/>
          <w:highlight w:val="none"/>
          <w:lang w:val="zh-CN"/>
        </w:rPr>
        <w:tab/>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830"/>
        </w:tabs>
        <w:spacing w:line="500" w:lineRule="exact"/>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采购人（甲方）：</w:t>
      </w:r>
      <w:r>
        <w:rPr>
          <w:rFonts w:hint="eastAsia" w:ascii="仿宋" w:hAnsi="仿宋" w:eastAsia="仿宋" w:cs="仿宋"/>
          <w:b/>
          <w:bCs/>
          <w:color w:val="auto"/>
          <w:kern w:val="0"/>
          <w:sz w:val="24"/>
          <w:highlight w:val="none"/>
          <w:u w:val="single"/>
          <w:lang w:val="zh-CN"/>
        </w:rPr>
        <w:t xml:space="preserve">菏泽市立医院 </w:t>
      </w:r>
      <w:r>
        <w:rPr>
          <w:rFonts w:hint="eastAsia" w:ascii="仿宋" w:hAnsi="仿宋" w:eastAsia="仿宋" w:cs="仿宋"/>
          <w:b/>
          <w:bCs/>
          <w:color w:val="auto"/>
          <w:kern w:val="0"/>
          <w:sz w:val="24"/>
          <w:highlight w:val="none"/>
          <w:u w:val="single"/>
          <w:lang w:val="zh-CN"/>
        </w:rPr>
        <w:tab/>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b/>
          <w:bCs/>
          <w:color w:val="auto"/>
          <w:kern w:val="0"/>
          <w:sz w:val="24"/>
          <w:highlight w:val="none"/>
          <w:u w:val="single"/>
          <w:lang w:val="zh-CN"/>
        </w:rPr>
        <w:tab/>
      </w:r>
    </w:p>
    <w:p>
      <w:pPr>
        <w:widowControl/>
        <w:spacing w:line="500" w:lineRule="exact"/>
        <w:ind w:firstLine="482" w:firstLineChars="200"/>
        <w:jc w:val="left"/>
        <w:rPr>
          <w:rFonts w:hint="eastAsia" w:ascii="仿宋" w:hAnsi="仿宋" w:eastAsia="仿宋" w:cs="仿宋"/>
          <w:color w:val="auto"/>
          <w:kern w:val="0"/>
          <w:sz w:val="24"/>
          <w:highlight w:val="none"/>
          <w:lang w:val="zh-CN"/>
        </w:rPr>
      </w:pPr>
      <w:r>
        <w:rPr>
          <w:rFonts w:hint="eastAsia" w:ascii="仿宋" w:hAnsi="仿宋" w:eastAsia="仿宋" w:cs="仿宋"/>
          <w:b/>
          <w:bCs/>
          <w:color w:val="auto"/>
          <w:kern w:val="0"/>
          <w:sz w:val="24"/>
          <w:highlight w:val="none"/>
        </w:rPr>
        <w:t>供应商</w:t>
      </w:r>
      <w:r>
        <w:rPr>
          <w:rFonts w:hint="eastAsia" w:ascii="仿宋" w:hAnsi="仿宋" w:eastAsia="仿宋" w:cs="仿宋"/>
          <w:b/>
          <w:bCs/>
          <w:color w:val="auto"/>
          <w:kern w:val="0"/>
          <w:sz w:val="24"/>
          <w:highlight w:val="none"/>
          <w:lang w:val="zh-CN"/>
        </w:rPr>
        <w:t>（乙方）</w:t>
      </w:r>
      <w:r>
        <w:rPr>
          <w:rFonts w:hint="eastAsia" w:ascii="仿宋" w:hAnsi="仿宋" w:eastAsia="仿宋" w:cs="仿宋"/>
          <w:color w:val="auto"/>
          <w:kern w:val="0"/>
          <w:sz w:val="24"/>
          <w:highlight w:val="none"/>
          <w:lang w:val="zh-CN"/>
        </w:rPr>
        <w:t xml:space="preserve">： </w:t>
      </w:r>
      <w:r>
        <w:rPr>
          <w:rFonts w:hint="eastAsia" w:ascii="仿宋" w:hAnsi="仿宋" w:eastAsia="仿宋" w:cs="仿宋"/>
          <w:b/>
          <w:bCs/>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zh-CN"/>
        </w:rPr>
        <w:tab/>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w:t>
      </w:r>
      <w:r>
        <w:rPr>
          <w:rFonts w:hint="eastAsia" w:ascii="仿宋" w:hAnsi="仿宋" w:eastAsia="仿宋" w:cs="仿宋"/>
          <w:color w:val="auto"/>
          <w:sz w:val="24"/>
          <w:highlight w:val="none"/>
        </w:rPr>
        <w:t>中华人民共和国</w:t>
      </w:r>
      <w:r>
        <w:rPr>
          <w:rFonts w:hint="eastAsia" w:ascii="仿宋" w:hAnsi="仿宋" w:eastAsia="仿宋" w:cs="仿宋"/>
          <w:color w:val="auto"/>
          <w:kern w:val="0"/>
          <w:sz w:val="24"/>
          <w:highlight w:val="none"/>
        </w:rPr>
        <w:t>民法典</w:t>
      </w:r>
      <w:r>
        <w:rPr>
          <w:rFonts w:hint="eastAsia" w:ascii="仿宋" w:hAnsi="仿宋" w:eastAsia="仿宋" w:cs="仿宋"/>
          <w:color w:val="auto"/>
          <w:kern w:val="0"/>
          <w:sz w:val="24"/>
          <w:highlight w:val="none"/>
          <w:lang w:val="zh-CN"/>
        </w:rPr>
        <w:t>》等相关法规和《</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采购文件》（文件编号：</w:t>
      </w:r>
      <w:r>
        <w:rPr>
          <w:rFonts w:hint="eastAsia" w:ascii="仿宋" w:hAnsi="仿宋" w:eastAsia="仿宋" w:cs="仿宋"/>
          <w:bCs/>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）的要求以及</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文件的承诺，经甲、乙双方协商，达成如下协议。</w:t>
      </w:r>
    </w:p>
    <w:p>
      <w:pPr>
        <w:widowControl/>
        <w:spacing w:line="500" w:lineRule="exact"/>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一、合同文件的组成</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本合同由下列文件按先后顺序构成：</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（一）合同条款及格式</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（二）成交通知书</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（三）成交人在评标过程中做出的有关澄清、说明、承诺或者补正文件</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（四）响应文件</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（五）采购文件及答疑等澄清资料</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（六）本合同附件</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以上文件按先后顺序互为补充、互相约束，同一层次的合同文件规定不一致的以较后时间制定的为准。本合同的范围和条件应与上述合同文件的规定相一致。 </w:t>
      </w:r>
    </w:p>
    <w:p>
      <w:pPr>
        <w:widowControl/>
        <w:spacing w:line="500" w:lineRule="exact"/>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二、服务项目</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本合同所提供的服务项目内容：</w:t>
      </w:r>
      <w:r>
        <w:rPr>
          <w:rFonts w:hint="eastAsia" w:ascii="仿宋" w:hAnsi="仿宋" w:eastAsia="仿宋" w:cs="仿宋"/>
          <w:b/>
          <w:bCs/>
          <w:color w:val="auto"/>
          <w:kern w:val="0"/>
          <w:sz w:val="24"/>
          <w:highlight w:val="none"/>
          <w:u w:val="single"/>
          <w:lang w:val="zh-CN"/>
        </w:rPr>
        <w:tab/>
      </w:r>
      <w:r>
        <w:rPr>
          <w:rFonts w:hint="eastAsia" w:ascii="仿宋" w:hAnsi="仿宋" w:eastAsia="仿宋" w:cs="仿宋"/>
          <w:b/>
          <w:bCs/>
          <w:color w:val="auto"/>
          <w:kern w:val="0"/>
          <w:sz w:val="24"/>
          <w:highlight w:val="none"/>
          <w:u w:val="single"/>
        </w:rPr>
        <w:t xml:space="preserve">                  。</w:t>
      </w:r>
    </w:p>
    <w:p>
      <w:pPr>
        <w:widowControl/>
        <w:spacing w:line="500" w:lineRule="exact"/>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三、</w:t>
      </w:r>
      <w:r>
        <w:rPr>
          <w:rFonts w:hint="eastAsia" w:ascii="仿宋" w:hAnsi="仿宋" w:eastAsia="仿宋" w:cs="仿宋"/>
          <w:b/>
          <w:bCs/>
          <w:color w:val="auto"/>
          <w:kern w:val="0"/>
          <w:sz w:val="24"/>
          <w:highlight w:val="none"/>
        </w:rPr>
        <w:t>服务</w:t>
      </w:r>
      <w:r>
        <w:rPr>
          <w:rFonts w:hint="eastAsia" w:ascii="仿宋" w:hAnsi="仿宋" w:eastAsia="仿宋" w:cs="仿宋"/>
          <w:b/>
          <w:bCs/>
          <w:color w:val="auto"/>
          <w:kern w:val="0"/>
          <w:sz w:val="24"/>
          <w:highlight w:val="none"/>
          <w:lang w:val="zh-CN"/>
        </w:rPr>
        <w:t>时间、地点</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b/>
          <w:bCs/>
          <w:color w:val="auto"/>
          <w:kern w:val="0"/>
          <w:sz w:val="24"/>
          <w:highlight w:val="none"/>
          <w:lang w:eastAsia="zh-CN"/>
        </w:rPr>
        <w:t>质保期</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b/>
          <w:bCs/>
          <w:color w:val="auto"/>
          <w:kern w:val="0"/>
          <w:sz w:val="24"/>
          <w:highlight w:val="none"/>
          <w:u w:val="single"/>
          <w:lang w:val="zh-CN"/>
        </w:rPr>
        <w:tab/>
      </w:r>
    </w:p>
    <w:p>
      <w:pPr>
        <w:widowControl/>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rPr>
        <w:t>服务</w:t>
      </w:r>
      <w:r>
        <w:rPr>
          <w:rFonts w:hint="eastAsia" w:ascii="仿宋" w:hAnsi="仿宋" w:eastAsia="仿宋" w:cs="仿宋"/>
          <w:color w:val="auto"/>
          <w:kern w:val="0"/>
          <w:sz w:val="24"/>
          <w:highlight w:val="none"/>
          <w:lang w:val="zh-CN"/>
        </w:rPr>
        <w:t>地点：</w:t>
      </w:r>
      <w:r>
        <w:rPr>
          <w:rFonts w:hint="eastAsia" w:ascii="仿宋" w:hAnsi="仿宋" w:eastAsia="仿宋" w:cs="仿宋"/>
          <w:b/>
          <w:bCs/>
          <w:color w:val="auto"/>
          <w:kern w:val="0"/>
          <w:sz w:val="24"/>
          <w:highlight w:val="none"/>
          <w:u w:val="single"/>
        </w:rPr>
        <w:t>菏泽市立医院</w:t>
      </w:r>
    </w:p>
    <w:p>
      <w:pPr>
        <w:widowControl/>
        <w:spacing w:line="50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、其他要求</w:t>
      </w:r>
      <w:r>
        <w:rPr>
          <w:rFonts w:hint="eastAsia" w:ascii="仿宋" w:hAnsi="仿宋" w:eastAsia="仿宋" w:cs="仿宋"/>
          <w:color w:val="auto"/>
          <w:kern w:val="0"/>
          <w:sz w:val="24"/>
          <w:highlight w:val="none"/>
        </w:rPr>
        <w:t>：</w:t>
      </w:r>
    </w:p>
    <w:p>
      <w:pPr>
        <w:widowControl/>
        <w:spacing w:line="500" w:lineRule="exact"/>
        <w:ind w:firstLine="482" w:firstLineChars="200"/>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zh-CN"/>
        </w:rPr>
        <w:t>四、合同价款</w:t>
      </w:r>
    </w:p>
    <w:p>
      <w:pPr>
        <w:widowControl/>
        <w:spacing w:line="500" w:lineRule="exact"/>
        <w:ind w:firstLine="480"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lang w:val="zh-CN"/>
        </w:rPr>
        <w:t>1、合同金额：</w:t>
      </w:r>
      <w:r>
        <w:rPr>
          <w:rFonts w:hint="eastAsia" w:ascii="仿宋" w:hAnsi="仿宋" w:eastAsia="仿宋" w:cs="仿宋"/>
          <w:b/>
          <w:bCs/>
          <w:color w:val="auto"/>
          <w:kern w:val="0"/>
          <w:sz w:val="24"/>
          <w:highlight w:val="none"/>
          <w:lang w:val="zh-CN"/>
        </w:rPr>
        <w:t>人民币（大写</w:t>
      </w:r>
      <w:r>
        <w:rPr>
          <w:rFonts w:hint="eastAsia" w:ascii="仿宋" w:hAnsi="仿宋" w:eastAsia="仿宋" w:cs="仿宋"/>
          <w:b/>
          <w:bCs/>
          <w:color w:val="auto"/>
          <w:kern w:val="0"/>
          <w:sz w:val="24"/>
          <w:highlight w:val="none"/>
          <w:u w:val="single"/>
          <w:lang w:val="zh-CN"/>
        </w:rPr>
        <w:t xml:space="preserve">          </w:t>
      </w:r>
      <w:r>
        <w:rPr>
          <w:rFonts w:hint="eastAsia" w:ascii="仿宋" w:hAnsi="仿宋" w:eastAsia="仿宋" w:cs="仿宋"/>
          <w:b/>
          <w:bCs/>
          <w:color w:val="auto"/>
          <w:kern w:val="0"/>
          <w:sz w:val="24"/>
          <w:highlight w:val="none"/>
          <w:lang w:val="zh-CN"/>
        </w:rPr>
        <w:t>元整）；(小写</w:t>
      </w:r>
      <w:r>
        <w:rPr>
          <w:rFonts w:hint="eastAsia" w:ascii="仿宋" w:hAnsi="仿宋" w:eastAsia="仿宋" w:cs="仿宋"/>
          <w:bCs/>
          <w:color w:val="auto"/>
          <w:kern w:val="0"/>
          <w:sz w:val="24"/>
          <w:highlight w:val="none"/>
          <w:u w:val="single"/>
          <w:lang w:val="zh-CN"/>
        </w:rPr>
        <w:t xml:space="preserve">           </w:t>
      </w:r>
      <w:r>
        <w:rPr>
          <w:rFonts w:hint="eastAsia" w:ascii="仿宋" w:hAnsi="仿宋" w:eastAsia="仿宋" w:cs="仿宋"/>
          <w:b/>
          <w:bCs/>
          <w:color w:val="auto"/>
          <w:kern w:val="0"/>
          <w:sz w:val="24"/>
          <w:highlight w:val="none"/>
          <w:lang w:val="zh-CN"/>
        </w:rPr>
        <w:t>.00元)</w:t>
      </w:r>
    </w:p>
    <w:p>
      <w:pPr>
        <w:widowControl/>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rPr>
        <w:t>付款方式：</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w:t>
      </w:r>
    </w:p>
    <w:p>
      <w:pPr>
        <w:widowControl/>
        <w:spacing w:line="500" w:lineRule="exact"/>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五、</w:t>
      </w:r>
      <w:r>
        <w:rPr>
          <w:rFonts w:hint="eastAsia" w:ascii="仿宋" w:hAnsi="仿宋" w:eastAsia="仿宋" w:cs="仿宋"/>
          <w:b/>
          <w:bCs/>
          <w:color w:val="auto"/>
          <w:kern w:val="0"/>
          <w:sz w:val="24"/>
          <w:highlight w:val="none"/>
        </w:rPr>
        <w:t>服务</w:t>
      </w:r>
      <w:r>
        <w:rPr>
          <w:rFonts w:hint="eastAsia" w:ascii="仿宋" w:hAnsi="仿宋" w:eastAsia="仿宋" w:cs="仿宋"/>
          <w:b/>
          <w:bCs/>
          <w:color w:val="auto"/>
          <w:kern w:val="0"/>
          <w:sz w:val="24"/>
          <w:highlight w:val="none"/>
          <w:lang w:val="zh-CN"/>
        </w:rPr>
        <w:t>保证及售后服务</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乙方提供的服务应符合国家（或行业）规定标准。</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、乙方应按采购文件、响应文件及乙方在招标过程中做出的书面说明或承诺提供及时、快速、优质的售后服务。</w:t>
      </w:r>
    </w:p>
    <w:p>
      <w:pPr>
        <w:widowControl/>
        <w:spacing w:line="500" w:lineRule="exact"/>
        <w:ind w:firstLine="480" w:firstLineChars="200"/>
        <w:jc w:val="left"/>
        <w:rPr>
          <w:rFonts w:hint="eastAsia"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、其他售后服务内容：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p>
    <w:p>
      <w:pPr>
        <w:widowControl/>
        <w:spacing w:line="500" w:lineRule="exact"/>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rPr>
        <w:t>六</w:t>
      </w:r>
      <w:r>
        <w:rPr>
          <w:rFonts w:hint="eastAsia" w:ascii="仿宋" w:hAnsi="仿宋" w:eastAsia="仿宋" w:cs="仿宋"/>
          <w:b/>
          <w:bCs/>
          <w:color w:val="auto"/>
          <w:kern w:val="0"/>
          <w:sz w:val="24"/>
          <w:highlight w:val="none"/>
          <w:lang w:val="zh-CN"/>
        </w:rPr>
        <w:t>、违约责任</w:t>
      </w:r>
    </w:p>
    <w:p>
      <w:pPr>
        <w:widowControl/>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甲方未按照合同约定履行义务，给乙方造成经济损失的，甲方应予以赔偿；因甲方责任造成服务延期的，合同服务期顺延。如果乙方未按甲方的要求提供服务的，甲方有权要求乙方重新制定服务方案，其相应费用由</w:t>
      </w:r>
      <w:r>
        <w:rPr>
          <w:rFonts w:hint="eastAsia" w:ascii="仿宋" w:hAnsi="仿宋" w:eastAsia="仿宋" w:cs="仿宋"/>
          <w:color w:val="auto"/>
          <w:kern w:val="0"/>
          <w:sz w:val="24"/>
          <w:highlight w:val="none"/>
        </w:rPr>
        <w:t>违约</w:t>
      </w:r>
      <w:r>
        <w:rPr>
          <w:rFonts w:hint="eastAsia" w:ascii="仿宋" w:hAnsi="仿宋" w:eastAsia="仿宋" w:cs="仿宋"/>
          <w:color w:val="auto"/>
          <w:kern w:val="0"/>
          <w:sz w:val="24"/>
          <w:highlight w:val="none"/>
          <w:lang w:val="zh-CN"/>
        </w:rPr>
        <w:t>人承担，影响质保期的，由乙方承担违约责任。</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其他未尽事宜，以《中华人民共和国民法典》和其他有关法律、法规为准，无相关规定的，双方协商解决。</w:t>
      </w:r>
    </w:p>
    <w:p>
      <w:pPr>
        <w:widowControl/>
        <w:spacing w:line="500" w:lineRule="exact"/>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rPr>
        <w:t>七</w:t>
      </w:r>
      <w:r>
        <w:rPr>
          <w:rFonts w:hint="eastAsia" w:ascii="仿宋" w:hAnsi="仿宋" w:eastAsia="仿宋" w:cs="仿宋"/>
          <w:b/>
          <w:bCs/>
          <w:color w:val="auto"/>
          <w:kern w:val="0"/>
          <w:sz w:val="24"/>
          <w:highlight w:val="none"/>
          <w:lang w:val="zh-CN"/>
        </w:rPr>
        <w:t>、不可抗力</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甲、乙</w:t>
      </w:r>
      <w:r>
        <w:rPr>
          <w:rFonts w:hint="eastAsia" w:ascii="仿宋" w:hAnsi="仿宋" w:eastAsia="仿宋" w:cs="仿宋"/>
          <w:color w:val="auto"/>
          <w:kern w:val="0"/>
          <w:sz w:val="24"/>
          <w:highlight w:val="none"/>
        </w:rPr>
        <w:t>双</w:t>
      </w:r>
      <w:r>
        <w:rPr>
          <w:rFonts w:hint="eastAsia" w:ascii="仿宋" w:hAnsi="仿宋" w:eastAsia="仿宋" w:cs="仿宋"/>
          <w:color w:val="auto"/>
          <w:kern w:val="0"/>
          <w:sz w:val="24"/>
          <w:highlight w:val="none"/>
          <w:lang w:val="zh-CN"/>
        </w:rPr>
        <w:t>方中任何一方因不可抗力事件不能及时履行或完全履行合同时，应及时书面通知对方，并在</w:t>
      </w:r>
      <w:r>
        <w:rPr>
          <w:rFonts w:hint="eastAsia" w:ascii="仿宋" w:hAnsi="仿宋" w:eastAsia="仿宋" w:cs="仿宋"/>
          <w:color w:val="auto"/>
          <w:kern w:val="0"/>
          <w:sz w:val="24"/>
          <w:highlight w:val="none"/>
        </w:rPr>
        <w:t>10</w:t>
      </w:r>
      <w:r>
        <w:rPr>
          <w:rFonts w:hint="eastAsia" w:ascii="仿宋" w:hAnsi="仿宋" w:eastAsia="仿宋" w:cs="仿宋"/>
          <w:color w:val="auto"/>
          <w:kern w:val="0"/>
          <w:sz w:val="24"/>
          <w:highlight w:val="none"/>
          <w:lang w:val="zh-CN"/>
        </w:rPr>
        <w:t>天内提供相应证明。未履行完合同部分是否继续履行、如何履行等问题，可由双方协商解决并通知</w:t>
      </w:r>
      <w:r>
        <w:rPr>
          <w:rFonts w:hint="eastAsia" w:ascii="仿宋" w:hAnsi="仿宋" w:eastAsia="仿宋" w:cs="仿宋"/>
          <w:color w:val="auto"/>
          <w:kern w:val="0"/>
          <w:sz w:val="24"/>
          <w:highlight w:val="none"/>
        </w:rPr>
        <w:t>对</w:t>
      </w:r>
      <w:r>
        <w:rPr>
          <w:rFonts w:hint="eastAsia" w:ascii="仿宋" w:hAnsi="仿宋" w:eastAsia="仿宋" w:cs="仿宋"/>
          <w:color w:val="auto"/>
          <w:kern w:val="0"/>
          <w:sz w:val="24"/>
          <w:highlight w:val="none"/>
          <w:lang w:val="zh-CN"/>
        </w:rPr>
        <w:t>方，但确定为不可抗拒力原因造成的损失，免予承担责任。</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不可抗力事件是指甲乙双方在缔结合同时所不能预见的，且它的发生及其后果是无法避免和无法克服的情况，因准备不足、疏忽大意或者违法违规引起的合同无法履行不在此列。</w:t>
      </w:r>
    </w:p>
    <w:p>
      <w:pPr>
        <w:widowControl/>
        <w:spacing w:line="500" w:lineRule="exact"/>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rPr>
        <w:t>八</w:t>
      </w:r>
      <w:r>
        <w:rPr>
          <w:rFonts w:hint="eastAsia" w:ascii="仿宋" w:hAnsi="仿宋" w:eastAsia="仿宋" w:cs="仿宋"/>
          <w:b/>
          <w:bCs/>
          <w:color w:val="auto"/>
          <w:kern w:val="0"/>
          <w:sz w:val="24"/>
          <w:highlight w:val="none"/>
          <w:lang w:val="zh-CN"/>
        </w:rPr>
        <w:t>、费用负担</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1、在服务过程中，乙方所产生的一切费用及风险（包括但不限于：人员、餐饮、住宿、交通工具、意外风险等）均由乙方自行承担。</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2、根据国家现行税法征收的与本合同有关的一切税费均由乙方承担。 </w:t>
      </w:r>
    </w:p>
    <w:p>
      <w:pPr>
        <w:widowControl/>
        <w:spacing w:line="500" w:lineRule="exact"/>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rPr>
        <w:t>九</w:t>
      </w:r>
      <w:r>
        <w:rPr>
          <w:rFonts w:hint="eastAsia" w:ascii="仿宋" w:hAnsi="仿宋" w:eastAsia="仿宋" w:cs="仿宋"/>
          <w:b/>
          <w:bCs/>
          <w:color w:val="auto"/>
          <w:kern w:val="0"/>
          <w:sz w:val="24"/>
          <w:highlight w:val="none"/>
          <w:lang w:val="zh-CN"/>
        </w:rPr>
        <w:t>、合同修改、分包和转让</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1、甲乙双方应当按照采购文件内所附合同条款、内容。</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2、乙方不得分包、部分或全部转让其应履行的合同义务。</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3、甲方发现乙方进行转包、擅自分包的，有权单方解除合同，取消乙方</w:t>
      </w:r>
      <w:r>
        <w:rPr>
          <w:rFonts w:hint="eastAsia" w:ascii="仿宋" w:hAnsi="仿宋" w:eastAsia="仿宋" w:cs="仿宋"/>
          <w:color w:val="auto"/>
          <w:kern w:val="0"/>
          <w:sz w:val="24"/>
          <w:highlight w:val="none"/>
        </w:rPr>
        <w:t>服务</w:t>
      </w:r>
      <w:r>
        <w:rPr>
          <w:rFonts w:hint="eastAsia" w:ascii="仿宋" w:hAnsi="仿宋" w:eastAsia="仿宋" w:cs="仿宋"/>
          <w:color w:val="auto"/>
          <w:kern w:val="0"/>
          <w:sz w:val="24"/>
          <w:highlight w:val="none"/>
          <w:lang w:val="zh-CN"/>
        </w:rPr>
        <w:t>项目资格。乙方除赔偿损失外，还须向甲方支付项目合同总价款 10%的违约金。</w:t>
      </w:r>
    </w:p>
    <w:p>
      <w:pPr>
        <w:widowControl/>
        <w:spacing w:line="500" w:lineRule="exact"/>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十、争议解决</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本合同执行中所发生的或与本合同有关的争端由甲、乙双方通过友好协商解决，也可由有关部门调解。如经协商、调解无法解决，任何一方均可采用以下第 2 项方式处理：</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向（签订合同所在地）仲裁委员会申请仲裁；</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向（签订合同所在地）人民法院起诉。</w:t>
      </w:r>
    </w:p>
    <w:p>
      <w:pPr>
        <w:widowControl/>
        <w:spacing w:line="500" w:lineRule="exact"/>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十</w:t>
      </w:r>
      <w:r>
        <w:rPr>
          <w:rFonts w:hint="eastAsia" w:ascii="仿宋" w:hAnsi="仿宋" w:eastAsia="仿宋" w:cs="仿宋"/>
          <w:b/>
          <w:bCs/>
          <w:color w:val="auto"/>
          <w:kern w:val="0"/>
          <w:sz w:val="24"/>
          <w:highlight w:val="none"/>
        </w:rPr>
        <w:t>一</w:t>
      </w:r>
      <w:r>
        <w:rPr>
          <w:rFonts w:hint="eastAsia" w:ascii="仿宋" w:hAnsi="仿宋" w:eastAsia="仿宋" w:cs="仿宋"/>
          <w:b/>
          <w:bCs/>
          <w:color w:val="auto"/>
          <w:kern w:val="0"/>
          <w:sz w:val="24"/>
          <w:highlight w:val="none"/>
          <w:lang w:val="zh-CN"/>
        </w:rPr>
        <w:t>、保密条款</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本合同任何一方对其获知的本合同涉及的所有有形、无形的信息及资料(包括但不限于甲乙双方的往来书面文字文件、电子邮件及信息、光盘资料等)中另一方的商业秘密或国家秘密负有保密义务。除非法律、法规另有规定或得到本合同之另一方的书面许可，任何一方不得泄露前款规定的商业秘密或国家秘密。保密期限自任何一方获知该商业秘密或国家秘密之日起至本秘密成为公众信息之日止。</w:t>
      </w:r>
    </w:p>
    <w:p>
      <w:pPr>
        <w:widowControl/>
        <w:spacing w:line="500" w:lineRule="exact"/>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十</w:t>
      </w:r>
      <w:r>
        <w:rPr>
          <w:rFonts w:hint="eastAsia" w:ascii="仿宋" w:hAnsi="仿宋" w:eastAsia="仿宋" w:cs="仿宋"/>
          <w:b/>
          <w:bCs/>
          <w:color w:val="auto"/>
          <w:kern w:val="0"/>
          <w:sz w:val="24"/>
          <w:highlight w:val="none"/>
        </w:rPr>
        <w:t>二</w:t>
      </w:r>
      <w:r>
        <w:rPr>
          <w:rFonts w:hint="eastAsia" w:ascii="仿宋" w:hAnsi="仿宋" w:eastAsia="仿宋" w:cs="仿宋"/>
          <w:b/>
          <w:bCs/>
          <w:color w:val="auto"/>
          <w:kern w:val="0"/>
          <w:sz w:val="24"/>
          <w:highlight w:val="none"/>
          <w:lang w:val="zh-CN"/>
        </w:rPr>
        <w:t>、合同生效</w:t>
      </w: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本合同一式六份，甲方四份，乙方一份，采购代理机构一份。</w:t>
      </w:r>
    </w:p>
    <w:p>
      <w:pPr>
        <w:widowControl/>
        <w:spacing w:line="500" w:lineRule="exact"/>
        <w:ind w:firstLine="480" w:firstLineChars="200"/>
        <w:jc w:val="left"/>
        <w:rPr>
          <w:rFonts w:hint="eastAsia" w:ascii="仿宋" w:hAnsi="仿宋" w:eastAsia="仿宋" w:cs="仿宋"/>
          <w:color w:val="auto"/>
          <w:kern w:val="0"/>
          <w:sz w:val="24"/>
          <w:highlight w:val="none"/>
          <w:lang w:val="zh-CN"/>
        </w:rPr>
      </w:pP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甲方：菏泽市立医院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 xml:space="preserve">   乙方：</w:t>
      </w:r>
    </w:p>
    <w:p>
      <w:pPr>
        <w:widowControl/>
        <w:spacing w:line="500" w:lineRule="exact"/>
        <w:ind w:firstLine="480" w:firstLineChars="200"/>
        <w:jc w:val="left"/>
        <w:rPr>
          <w:rFonts w:hint="eastAsia" w:ascii="仿宋" w:hAnsi="仿宋" w:eastAsia="仿宋" w:cs="仿宋"/>
          <w:color w:val="auto"/>
          <w:kern w:val="0"/>
          <w:sz w:val="24"/>
          <w:highlight w:val="none"/>
          <w:lang w:val="zh-CN"/>
        </w:rPr>
      </w:pPr>
    </w:p>
    <w:p>
      <w:pPr>
        <w:widowControl/>
        <w:spacing w:line="5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法人或委托代理人（签字或盖章）：        法人或委托代理人（签字或盖章）：</w:t>
      </w:r>
    </w:p>
    <w:p>
      <w:pPr>
        <w:widowControl/>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 期：</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 xml:space="preserve">日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 期：</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pStyle w:val="30"/>
        <w:spacing w:line="360" w:lineRule="auto"/>
        <w:ind w:left="0" w:leftChars="0" w:firstLine="0" w:firstLineChars="0"/>
        <w:rPr>
          <w:rFonts w:hint="eastAsia" w:ascii="仿宋" w:hAnsi="仿宋" w:eastAsia="仿宋" w:cs="仿宋"/>
          <w:b/>
          <w:color w:val="auto"/>
          <w:kern w:val="0"/>
          <w:sz w:val="24"/>
          <w:highlight w:val="none"/>
        </w:rPr>
      </w:pPr>
    </w:p>
    <w:p>
      <w:pPr>
        <w:spacing w:line="360" w:lineRule="auto"/>
        <w:ind w:firstLine="420" w:firstLineChars="200"/>
        <w:rPr>
          <w:rFonts w:hint="eastAsia" w:ascii="仿宋" w:hAnsi="仿宋" w:eastAsia="仿宋" w:cs="仿宋"/>
          <w:bCs/>
          <w:color w:val="auto"/>
          <w:szCs w:val="21"/>
          <w:highlight w:val="none"/>
        </w:rPr>
      </w:pPr>
    </w:p>
    <w:bookmarkEnd w:id="170"/>
    <w:bookmarkEnd w:id="171"/>
    <w:bookmarkEnd w:id="172"/>
    <w:p>
      <w:pPr>
        <w:spacing w:line="600" w:lineRule="exact"/>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（此合同仅供参考。以最终采购人与中标人签定的合同为准进行公示，最终签定合同的主要条款不能与招标文件冲突）</w:t>
      </w:r>
    </w:p>
    <w:p>
      <w:pPr>
        <w:pStyle w:val="11"/>
        <w:keepNext/>
        <w:numPr>
          <w:ilvl w:val="0"/>
          <w:numId w:val="5"/>
        </w:numPr>
        <w:wordWrap w:val="0"/>
        <w:spacing w:before="1" w:line="417" w:lineRule="auto"/>
        <w:ind w:right="485" w:firstLine="422" w:firstLineChars="20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Cs w:val="21"/>
          <w:highlight w:val="none"/>
        </w:rPr>
        <w:br w:type="page"/>
      </w:r>
      <w:bookmarkEnd w:id="157"/>
      <w:bookmarkEnd w:id="158"/>
      <w:bookmarkEnd w:id="159"/>
      <w:bookmarkEnd w:id="160"/>
      <w:bookmarkEnd w:id="161"/>
      <w:bookmarkEnd w:id="162"/>
      <w:bookmarkEnd w:id="163"/>
      <w:bookmarkEnd w:id="164"/>
      <w:bookmarkEnd w:id="165"/>
      <w:r>
        <w:rPr>
          <w:rFonts w:hint="eastAsia" w:ascii="仿宋" w:hAnsi="仿宋" w:eastAsia="仿宋" w:cs="仿宋"/>
          <w:b/>
          <w:color w:val="auto"/>
          <w:sz w:val="36"/>
          <w:szCs w:val="36"/>
          <w:highlight w:val="none"/>
          <w:lang w:eastAsia="zh-CN"/>
        </w:rPr>
        <w:t>技术</w:t>
      </w:r>
      <w:r>
        <w:rPr>
          <w:rFonts w:hint="eastAsia" w:ascii="仿宋" w:hAnsi="仿宋" w:eastAsia="仿宋" w:cs="仿宋"/>
          <w:b/>
          <w:color w:val="auto"/>
          <w:sz w:val="36"/>
          <w:szCs w:val="36"/>
          <w:highlight w:val="none"/>
        </w:rPr>
        <w:t>标准及要求</w:t>
      </w:r>
      <w:bookmarkEnd w:id="166"/>
      <w:bookmarkEnd w:id="167"/>
      <w:bookmarkEnd w:id="168"/>
      <w:bookmarkEnd w:id="169"/>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rPr>
      </w:pPr>
      <w:r>
        <w:rPr>
          <w:rFonts w:hint="eastAsia" w:ascii="仿宋" w:hAnsi="仿宋" w:eastAsia="仿宋" w:cs="仿宋"/>
          <w:lang w:val="en-US" w:eastAsia="zh-CN"/>
        </w:rPr>
        <w:t>5.1</w:t>
      </w:r>
      <w:r>
        <w:rPr>
          <w:rFonts w:hint="eastAsia" w:ascii="仿宋" w:hAnsi="仿宋" w:eastAsia="仿宋" w:cs="仿宋"/>
        </w:rPr>
        <w:t>整体要求</w:t>
      </w:r>
    </w:p>
    <w:p>
      <w:pPr>
        <w:pStyle w:val="59"/>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rPr>
        <w:t>根据我院的需求进行个体化模块设计，适应我院不断变化的需求。</w:t>
      </w:r>
    </w:p>
    <w:p>
      <w:pPr>
        <w:pStyle w:val="59"/>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rPr>
        <w:t>系统某一模块的维护和更新都不影响其它模块，系统具有容错能力。</w:t>
      </w:r>
    </w:p>
    <w:p>
      <w:pPr>
        <w:pStyle w:val="59"/>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rPr>
        <w:t>提供最新版本的系统，该系统必须是经过测试正式推出的，其可靠性、稳定性经过严格验证的。</w:t>
      </w:r>
      <w:r>
        <w:rPr>
          <w:rFonts w:hint="eastAsia" w:ascii="仿宋" w:hAnsi="仿宋" w:eastAsia="仿宋" w:cs="仿宋"/>
          <w:sz w:val="24"/>
          <w:szCs w:val="24"/>
          <w:lang w:val="en-US" w:eastAsia="zh-CN"/>
        </w:rPr>
        <w:t xml:space="preserve"> </w:t>
      </w:r>
    </w:p>
    <w:p>
      <w:pPr>
        <w:pStyle w:val="59"/>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rPr>
        <w:t>系统版本升级时，应提供相应的新版本功能说明书及修改说明书。同时，应明确是否影响系统业务正常运行及更新所需的时间。</w:t>
      </w:r>
    </w:p>
    <w:p>
      <w:pPr>
        <w:pStyle w:val="59"/>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rPr>
        <w:t>系统用户界面友好，风格一致，操作简便，并提供针对界面的操作帮助系统。系统中所集成的不同模块和软件应保持一致的操作界面、操作特性，其中包括控件外观、菜单布置、右键功能和功能键、热键布置。</w:t>
      </w:r>
    </w:p>
    <w:p>
      <w:pPr>
        <w:pStyle w:val="59"/>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充分保证数据安全性、完整性。系统需要提供基于用户名、密码的用户身份认证和分别基于角色、基于功能、基于试验项目的用户权限管理功能。</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rPr>
      </w:pPr>
      <w:r>
        <w:rPr>
          <w:rFonts w:hint="eastAsia" w:ascii="仿宋" w:hAnsi="仿宋" w:eastAsia="仿宋" w:cs="仿宋"/>
          <w:lang w:val="en-US" w:eastAsia="zh-CN"/>
        </w:rPr>
        <w:t>5.2</w:t>
      </w:r>
      <w:r>
        <w:rPr>
          <w:rFonts w:hint="eastAsia" w:ascii="仿宋" w:hAnsi="仿宋" w:eastAsia="仿宋" w:cs="仿宋"/>
        </w:rPr>
        <w:t>技术要求</w:t>
      </w:r>
    </w:p>
    <w:p>
      <w:pPr>
        <w:pStyle w:val="18"/>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firstLine="588" w:firstLineChars="245"/>
        <w:textAlignment w:val="auto"/>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本系统需要采用基于Java的WEB应用，系统运行原则上不依赖任何特定操作系统、中间件、硬件。</w:t>
      </w:r>
    </w:p>
    <w:p>
      <w:pPr>
        <w:pStyle w:val="59"/>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textAlignment w:val="auto"/>
        <w:outlineLvl w:val="3"/>
        <w:rPr>
          <w:rFonts w:hint="eastAsia" w:ascii="仿宋" w:hAnsi="仿宋" w:eastAsia="仿宋" w:cs="仿宋"/>
          <w:sz w:val="24"/>
          <w:szCs w:val="24"/>
        </w:rPr>
      </w:pPr>
      <w:r>
        <w:rPr>
          <w:rFonts w:hint="eastAsia" w:ascii="仿宋" w:hAnsi="仿宋" w:eastAsia="仿宋" w:cs="仿宋"/>
          <w:sz w:val="24"/>
          <w:szCs w:val="24"/>
        </w:rPr>
        <w:t>系统具有跨平台能力，需部署在LINUX系统上，运行在docker容器中，充分利用主流技术保障系统的稳定、流畅、安全运行。采用工作流驱动业务审批、业务衔接，通过基于对业务服务的编排和规则配置形成面向流程的流程。</w:t>
      </w:r>
    </w:p>
    <w:p>
      <w:pPr>
        <w:pStyle w:val="59"/>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textAlignment w:val="auto"/>
        <w:outlineLvl w:val="3"/>
        <w:rPr>
          <w:rFonts w:hint="eastAsia" w:ascii="仿宋" w:hAnsi="仿宋" w:eastAsia="仿宋" w:cs="仿宋"/>
          <w:sz w:val="24"/>
          <w:szCs w:val="24"/>
        </w:rPr>
      </w:pPr>
      <w:r>
        <w:rPr>
          <w:rFonts w:hint="eastAsia" w:ascii="仿宋" w:hAnsi="仿宋" w:eastAsia="仿宋" w:cs="仿宋"/>
          <w:sz w:val="24"/>
          <w:szCs w:val="24"/>
        </w:rPr>
        <w:t>采用API技术实现JSON数据结构。规范和定义标准的API服务接口，集成现有业务系统资源。</w:t>
      </w:r>
    </w:p>
    <w:p>
      <w:pPr>
        <w:pStyle w:val="59"/>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textAlignment w:val="auto"/>
        <w:outlineLvl w:val="3"/>
        <w:rPr>
          <w:rFonts w:hint="eastAsia" w:ascii="仿宋" w:hAnsi="仿宋" w:eastAsia="仿宋" w:cs="仿宋"/>
          <w:sz w:val="24"/>
          <w:szCs w:val="24"/>
        </w:rPr>
      </w:pPr>
      <w:r>
        <w:rPr>
          <w:rFonts w:hint="eastAsia" w:ascii="仿宋" w:hAnsi="仿宋" w:eastAsia="仿宋" w:cs="仿宋"/>
          <w:sz w:val="24"/>
          <w:szCs w:val="24"/>
        </w:rPr>
        <w:t>数据库系统：产品利用开源的关系型数据库。</w:t>
      </w:r>
    </w:p>
    <w:p>
      <w:pPr>
        <w:pStyle w:val="59"/>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textAlignment w:val="auto"/>
        <w:outlineLvl w:val="3"/>
        <w:rPr>
          <w:rFonts w:hint="eastAsia" w:ascii="仿宋" w:hAnsi="仿宋" w:eastAsia="仿宋" w:cs="仿宋"/>
          <w:sz w:val="24"/>
          <w:szCs w:val="24"/>
        </w:rPr>
      </w:pPr>
      <w:r>
        <w:rPr>
          <w:rFonts w:hint="eastAsia" w:ascii="仿宋" w:hAnsi="仿宋" w:eastAsia="仿宋" w:cs="仿宋"/>
          <w:sz w:val="24"/>
          <w:szCs w:val="24"/>
        </w:rPr>
        <w:t>数据对接：与医院现有信息化系统（如HIS、电子病历系统</w:t>
      </w:r>
      <w:r>
        <w:rPr>
          <w:rFonts w:hint="eastAsia" w:ascii="仿宋" w:hAnsi="仿宋" w:eastAsia="仿宋" w:cs="仿宋"/>
          <w:sz w:val="24"/>
          <w:szCs w:val="24"/>
          <w:lang w:eastAsia="zh-CN"/>
        </w:rPr>
        <w:t>、集成平台</w:t>
      </w:r>
      <w:r>
        <w:rPr>
          <w:rFonts w:hint="eastAsia" w:ascii="仿宋" w:hAnsi="仿宋" w:eastAsia="仿宋" w:cs="仿宋"/>
          <w:sz w:val="24"/>
          <w:szCs w:val="24"/>
        </w:rPr>
        <w:t>等）数据对接，可实现数据自动更新，数据时效性可达天级别更新；并根据业务需要，具备做到小时级甚至分钟级数据更新的能力。</w:t>
      </w:r>
    </w:p>
    <w:p>
      <w:pPr>
        <w:pStyle w:val="59"/>
        <w:keepNext w:val="0"/>
        <w:keepLines w:val="0"/>
        <w:pageBreakBefore w:val="0"/>
        <w:widowControl w:val="0"/>
        <w:numPr>
          <w:ilvl w:val="0"/>
          <w:numId w:val="8"/>
        </w:numPr>
        <w:kinsoku/>
        <w:wordWrap/>
        <w:overflowPunct/>
        <w:topLinePunct w:val="0"/>
        <w:autoSpaceDE/>
        <w:autoSpaceDN/>
        <w:bidi w:val="0"/>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rPr>
        <w:t>服务部署和数据存储符合医院信息安全管理要求，提供外网服务的程序和数据部署存储在外网区域，提供内网服务的程序和数据部署存储在内网区域。</w:t>
      </w:r>
    </w:p>
    <w:p>
      <w:pPr>
        <w:pStyle w:val="59"/>
        <w:keepNext w:val="0"/>
        <w:keepLines w:val="0"/>
        <w:pageBreakBefore w:val="0"/>
        <w:widowControl w:val="0"/>
        <w:numPr>
          <w:ilvl w:val="0"/>
          <w:numId w:val="8"/>
        </w:numPr>
        <w:kinsoku/>
        <w:wordWrap/>
        <w:overflowPunct/>
        <w:topLinePunct w:val="0"/>
        <w:autoSpaceDE/>
        <w:autoSpaceDN/>
        <w:bidi w:val="0"/>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rPr>
        <w:t>部署在医院外网和内网的系统，在满足医院通过网闸限制的条件下，可实现账号打通、多个模块不用单独登</w:t>
      </w:r>
      <w:r>
        <w:rPr>
          <w:rFonts w:hint="eastAsia" w:ascii="仿宋" w:hAnsi="仿宋" w:eastAsia="仿宋" w:cs="仿宋"/>
          <w:sz w:val="24"/>
          <w:szCs w:val="24"/>
          <w:lang w:eastAsia="zh-CN"/>
        </w:rPr>
        <w:t>录</w:t>
      </w:r>
      <w:r>
        <w:rPr>
          <w:rFonts w:hint="eastAsia" w:ascii="仿宋" w:hAnsi="仿宋" w:eastAsia="仿宋" w:cs="仿宋"/>
          <w:sz w:val="24"/>
          <w:szCs w:val="24"/>
        </w:rPr>
        <w:t>，一处登</w:t>
      </w:r>
      <w:r>
        <w:rPr>
          <w:rFonts w:hint="eastAsia" w:ascii="仿宋" w:hAnsi="仿宋" w:eastAsia="仿宋" w:cs="仿宋"/>
          <w:sz w:val="24"/>
          <w:szCs w:val="24"/>
          <w:lang w:eastAsia="zh-CN"/>
        </w:rPr>
        <w:t>录</w:t>
      </w:r>
      <w:r>
        <w:rPr>
          <w:rFonts w:hint="eastAsia" w:ascii="仿宋" w:hAnsi="仿宋" w:eastAsia="仿宋" w:cs="仿宋"/>
          <w:sz w:val="24"/>
          <w:szCs w:val="24"/>
        </w:rPr>
        <w:t>，多点操作；权限基于项目</w:t>
      </w:r>
      <w:r>
        <w:rPr>
          <w:rFonts w:hint="eastAsia" w:ascii="仿宋" w:hAnsi="仿宋" w:eastAsia="仿宋" w:cs="仿宋"/>
          <w:sz w:val="24"/>
          <w:szCs w:val="24"/>
          <w:lang w:eastAsia="zh-CN"/>
        </w:rPr>
        <w:t>、</w:t>
      </w:r>
      <w:r>
        <w:rPr>
          <w:rFonts w:hint="eastAsia" w:ascii="仿宋" w:hAnsi="仿宋" w:eastAsia="仿宋" w:cs="仿宋"/>
          <w:sz w:val="24"/>
          <w:szCs w:val="24"/>
        </w:rPr>
        <w:t>角色</w:t>
      </w:r>
      <w:r>
        <w:rPr>
          <w:rFonts w:hint="eastAsia" w:ascii="仿宋" w:hAnsi="仿宋" w:eastAsia="仿宋" w:cs="仿宋"/>
          <w:sz w:val="24"/>
          <w:szCs w:val="24"/>
          <w:lang w:eastAsia="zh-CN"/>
        </w:rPr>
        <w:t>、</w:t>
      </w:r>
      <w:r>
        <w:rPr>
          <w:rFonts w:hint="eastAsia" w:ascii="仿宋" w:hAnsi="仿宋" w:eastAsia="仿宋" w:cs="仿宋"/>
          <w:sz w:val="24"/>
          <w:szCs w:val="24"/>
        </w:rPr>
        <w:t>用户做控制，权限力度要能控制到模块</w:t>
      </w:r>
      <w:r>
        <w:rPr>
          <w:rFonts w:hint="eastAsia" w:ascii="仿宋" w:hAnsi="仿宋" w:eastAsia="仿宋" w:cs="仿宋"/>
          <w:sz w:val="24"/>
          <w:szCs w:val="24"/>
          <w:lang w:eastAsia="zh-CN"/>
        </w:rPr>
        <w:t>、</w:t>
      </w:r>
      <w:r>
        <w:rPr>
          <w:rFonts w:hint="eastAsia" w:ascii="仿宋" w:hAnsi="仿宋" w:eastAsia="仿宋" w:cs="仿宋"/>
          <w:sz w:val="24"/>
          <w:szCs w:val="24"/>
        </w:rPr>
        <w:t>页面</w:t>
      </w:r>
      <w:r>
        <w:rPr>
          <w:rFonts w:hint="eastAsia" w:ascii="仿宋" w:hAnsi="仿宋" w:eastAsia="仿宋" w:cs="仿宋"/>
          <w:sz w:val="24"/>
          <w:szCs w:val="24"/>
          <w:lang w:eastAsia="zh-CN"/>
        </w:rPr>
        <w:t>、</w:t>
      </w:r>
      <w:r>
        <w:rPr>
          <w:rFonts w:hint="eastAsia" w:ascii="仿宋" w:hAnsi="仿宋" w:eastAsia="仿宋" w:cs="仿宋"/>
          <w:sz w:val="24"/>
          <w:szCs w:val="24"/>
        </w:rPr>
        <w:t>按钮粒度，为了保证数据安全，外网用户访问不被授权的服务和数据要受限。</w:t>
      </w:r>
    </w:p>
    <w:p>
      <w:pPr>
        <w:pStyle w:val="59"/>
        <w:keepNext w:val="0"/>
        <w:keepLines w:val="0"/>
        <w:pageBreakBefore w:val="0"/>
        <w:widowControl w:val="0"/>
        <w:numPr>
          <w:ilvl w:val="0"/>
          <w:numId w:val="8"/>
        </w:numPr>
        <w:kinsoku/>
        <w:wordWrap/>
        <w:overflowPunct/>
        <w:topLinePunct w:val="0"/>
        <w:autoSpaceDE/>
        <w:autoSpaceDN/>
        <w:bidi w:val="0"/>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rPr>
        <w:t>项目流程管理要提供配置化功能，可根据业务需求灵活配置；支持流程输入、输出的定义，业务流程状态转移定义；业务流转可配置实现用户</w:t>
      </w:r>
      <w:r>
        <w:rPr>
          <w:rFonts w:hint="eastAsia" w:ascii="仿宋" w:hAnsi="仿宋" w:eastAsia="仿宋" w:cs="仿宋"/>
          <w:sz w:val="24"/>
          <w:szCs w:val="24"/>
          <w:lang w:eastAsia="zh-CN"/>
        </w:rPr>
        <w:t>、</w:t>
      </w:r>
      <w:r>
        <w:rPr>
          <w:rFonts w:hint="eastAsia" w:ascii="仿宋" w:hAnsi="仿宋" w:eastAsia="仿宋" w:cs="仿宋"/>
          <w:sz w:val="24"/>
          <w:szCs w:val="24"/>
        </w:rPr>
        <w:t>消息</w:t>
      </w:r>
      <w:r>
        <w:rPr>
          <w:rFonts w:hint="eastAsia" w:ascii="仿宋" w:hAnsi="仿宋" w:eastAsia="仿宋" w:cs="仿宋"/>
          <w:sz w:val="24"/>
          <w:szCs w:val="24"/>
          <w:lang w:eastAsia="zh-CN"/>
        </w:rPr>
        <w:t>、</w:t>
      </w:r>
      <w:r>
        <w:rPr>
          <w:rFonts w:hint="eastAsia" w:ascii="仿宋" w:hAnsi="仿宋" w:eastAsia="仿宋" w:cs="仿宋"/>
          <w:sz w:val="24"/>
          <w:szCs w:val="24"/>
        </w:rPr>
        <w:t>任务通知；流程需要遵循BPMN 2.0规范。</w:t>
      </w:r>
    </w:p>
    <w:p>
      <w:pPr>
        <w:pStyle w:val="59"/>
        <w:keepNext w:val="0"/>
        <w:keepLines w:val="0"/>
        <w:pageBreakBefore w:val="0"/>
        <w:widowControl w:val="0"/>
        <w:numPr>
          <w:ilvl w:val="0"/>
          <w:numId w:val="8"/>
        </w:numPr>
        <w:kinsoku/>
        <w:wordWrap/>
        <w:overflowPunct/>
        <w:topLinePunct w:val="0"/>
        <w:autoSpaceDE/>
        <w:autoSpaceDN/>
        <w:bidi w:val="0"/>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rPr>
        <w:t>考虑业务场景需求，流程部分需要支持驳回</w:t>
      </w:r>
      <w:r>
        <w:rPr>
          <w:rFonts w:hint="eastAsia" w:ascii="仿宋" w:hAnsi="仿宋" w:eastAsia="仿宋" w:cs="仿宋"/>
          <w:sz w:val="24"/>
          <w:szCs w:val="24"/>
          <w:lang w:eastAsia="zh-CN"/>
        </w:rPr>
        <w:t>、</w:t>
      </w:r>
      <w:r>
        <w:rPr>
          <w:rFonts w:hint="eastAsia" w:ascii="仿宋" w:hAnsi="仿宋" w:eastAsia="仿宋" w:cs="仿宋"/>
          <w:sz w:val="24"/>
          <w:szCs w:val="24"/>
        </w:rPr>
        <w:t>自由跳转</w:t>
      </w:r>
      <w:r>
        <w:rPr>
          <w:rFonts w:hint="eastAsia" w:ascii="仿宋" w:hAnsi="仿宋" w:eastAsia="仿宋" w:cs="仿宋"/>
          <w:sz w:val="24"/>
          <w:szCs w:val="24"/>
          <w:lang w:eastAsia="zh-CN"/>
        </w:rPr>
        <w:t>、</w:t>
      </w:r>
      <w:r>
        <w:rPr>
          <w:rFonts w:hint="eastAsia" w:ascii="仿宋" w:hAnsi="仿宋" w:eastAsia="仿宋" w:cs="仿宋"/>
          <w:sz w:val="24"/>
          <w:szCs w:val="24"/>
        </w:rPr>
        <w:t>会签</w:t>
      </w:r>
      <w:r>
        <w:rPr>
          <w:rFonts w:hint="eastAsia" w:ascii="仿宋" w:hAnsi="仿宋" w:eastAsia="仿宋" w:cs="仿宋"/>
          <w:sz w:val="24"/>
          <w:szCs w:val="24"/>
          <w:lang w:eastAsia="zh-CN"/>
        </w:rPr>
        <w:t>、</w:t>
      </w:r>
      <w:r>
        <w:rPr>
          <w:rFonts w:hint="eastAsia" w:ascii="仿宋" w:hAnsi="仿宋" w:eastAsia="仿宋" w:cs="仿宋"/>
          <w:sz w:val="24"/>
          <w:szCs w:val="24"/>
        </w:rPr>
        <w:t>子流程</w:t>
      </w:r>
      <w:r>
        <w:rPr>
          <w:rFonts w:hint="eastAsia" w:ascii="仿宋" w:hAnsi="仿宋" w:eastAsia="仿宋" w:cs="仿宋"/>
          <w:sz w:val="24"/>
          <w:szCs w:val="24"/>
          <w:lang w:eastAsia="zh-CN"/>
        </w:rPr>
        <w:t>、</w:t>
      </w:r>
      <w:r>
        <w:rPr>
          <w:rFonts w:hint="eastAsia" w:ascii="仿宋" w:hAnsi="仿宋" w:eastAsia="仿宋" w:cs="仿宋"/>
          <w:sz w:val="24"/>
          <w:szCs w:val="24"/>
        </w:rPr>
        <w:t>撤销</w:t>
      </w:r>
      <w:r>
        <w:rPr>
          <w:rFonts w:hint="eastAsia" w:ascii="仿宋" w:hAnsi="仿宋" w:eastAsia="仿宋" w:cs="仿宋"/>
          <w:sz w:val="24"/>
          <w:szCs w:val="24"/>
          <w:lang w:eastAsia="zh-CN"/>
        </w:rPr>
        <w:t>、</w:t>
      </w:r>
      <w:r>
        <w:rPr>
          <w:rFonts w:hint="eastAsia" w:ascii="仿宋" w:hAnsi="仿宋" w:eastAsia="仿宋" w:cs="仿宋"/>
          <w:sz w:val="24"/>
          <w:szCs w:val="24"/>
        </w:rPr>
        <w:t>催办等；流程部分需要支持版本升级，老项目走老流程，新项目走新流程。</w:t>
      </w:r>
    </w:p>
    <w:p>
      <w:pPr>
        <w:pStyle w:val="59"/>
        <w:keepNext w:val="0"/>
        <w:keepLines w:val="0"/>
        <w:pageBreakBefore w:val="0"/>
        <w:widowControl w:val="0"/>
        <w:numPr>
          <w:ilvl w:val="0"/>
          <w:numId w:val="8"/>
        </w:numPr>
        <w:kinsoku/>
        <w:wordWrap/>
        <w:overflowPunct/>
        <w:topLinePunct w:val="0"/>
        <w:autoSpaceDE/>
        <w:autoSpaceDN/>
        <w:bidi w:val="0"/>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rPr>
        <w:t>流程数据需要支持修订功能，在流程执行结束后，可通过修订功能进行数据修正，修订操作需要有操作留痕。</w:t>
      </w:r>
    </w:p>
    <w:p>
      <w:pPr>
        <w:pStyle w:val="59"/>
        <w:keepNext w:val="0"/>
        <w:keepLines w:val="0"/>
        <w:pageBreakBefore w:val="0"/>
        <w:widowControl w:val="0"/>
        <w:numPr>
          <w:ilvl w:val="0"/>
          <w:numId w:val="8"/>
        </w:numPr>
        <w:kinsoku/>
        <w:wordWrap/>
        <w:overflowPunct/>
        <w:topLinePunct w:val="0"/>
        <w:autoSpaceDE/>
        <w:autoSpaceDN/>
        <w:bidi w:val="0"/>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rPr>
        <w:t>消息部分支持系统消息和用户消息，可灵活配置消息模板，管理的角色和人员，实现消息的在线和离线逻辑</w:t>
      </w:r>
      <w:r>
        <w:rPr>
          <w:rFonts w:hint="eastAsia" w:ascii="仿宋" w:hAnsi="仿宋" w:eastAsia="仿宋" w:cs="仿宋"/>
          <w:sz w:val="24"/>
          <w:szCs w:val="24"/>
          <w:lang w:eastAsia="zh-CN"/>
        </w:rPr>
        <w:t>。</w:t>
      </w:r>
    </w:p>
    <w:p>
      <w:pPr>
        <w:pStyle w:val="59"/>
        <w:keepNext w:val="0"/>
        <w:keepLines w:val="0"/>
        <w:pageBreakBefore w:val="0"/>
        <w:widowControl w:val="0"/>
        <w:numPr>
          <w:ilvl w:val="0"/>
          <w:numId w:val="8"/>
        </w:numPr>
        <w:kinsoku/>
        <w:wordWrap/>
        <w:overflowPunct/>
        <w:topLinePunct w:val="0"/>
        <w:autoSpaceDE/>
        <w:autoSpaceDN/>
        <w:bidi w:val="0"/>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rPr>
        <w:t>任务部分需要支持自定义，可按项目、角色、用户配置任务，支持任务的多级依赖，支持任务的时效配置。</w:t>
      </w:r>
    </w:p>
    <w:p>
      <w:pPr>
        <w:pStyle w:val="59"/>
        <w:keepNext w:val="0"/>
        <w:keepLines w:val="0"/>
        <w:pageBreakBefore w:val="0"/>
        <w:widowControl w:val="0"/>
        <w:numPr>
          <w:ilvl w:val="0"/>
          <w:numId w:val="8"/>
        </w:numPr>
        <w:kinsoku/>
        <w:wordWrap/>
        <w:overflowPunct/>
        <w:topLinePunct w:val="0"/>
        <w:autoSpaceDE/>
        <w:autoSpaceDN/>
        <w:bidi w:val="0"/>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rPr>
        <w:t>项目执行中涉及的文档管理，需要支持文档多版本记录</w:t>
      </w:r>
      <w:r>
        <w:rPr>
          <w:rFonts w:hint="eastAsia" w:ascii="仿宋" w:hAnsi="仿宋" w:eastAsia="仿宋" w:cs="仿宋"/>
          <w:sz w:val="24"/>
          <w:szCs w:val="24"/>
          <w:lang w:eastAsia="zh-CN"/>
        </w:rPr>
        <w:t>、</w:t>
      </w:r>
      <w:r>
        <w:rPr>
          <w:rFonts w:hint="eastAsia" w:ascii="仿宋" w:hAnsi="仿宋" w:eastAsia="仿宋" w:cs="仿宋"/>
          <w:sz w:val="24"/>
          <w:szCs w:val="24"/>
        </w:rPr>
        <w:t>操作留痕，支持按照项目、角色、人员的粒度做文档的权限控制，支持文档的归档操作。</w:t>
      </w:r>
    </w:p>
    <w:p>
      <w:pPr>
        <w:pStyle w:val="59"/>
        <w:keepNext w:val="0"/>
        <w:keepLines w:val="0"/>
        <w:pageBreakBefore w:val="0"/>
        <w:widowControl w:val="0"/>
        <w:numPr>
          <w:ilvl w:val="0"/>
          <w:numId w:val="8"/>
        </w:numPr>
        <w:kinsoku/>
        <w:wordWrap/>
        <w:overflowPunct/>
        <w:topLinePunct w:val="0"/>
        <w:autoSpaceDE/>
        <w:autoSpaceDN/>
        <w:bidi w:val="0"/>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rPr>
        <w:t>药房管理部分需要与院内HIS医嘱系统对接；支持对接HIS</w:t>
      </w:r>
      <w:r>
        <w:rPr>
          <w:rFonts w:hint="eastAsia" w:ascii="仿宋" w:hAnsi="仿宋" w:eastAsia="仿宋" w:cs="仿宋"/>
          <w:sz w:val="24"/>
          <w:szCs w:val="24"/>
          <w:lang w:eastAsia="zh-CN"/>
        </w:rPr>
        <w:t>、</w:t>
      </w:r>
      <w:r>
        <w:rPr>
          <w:rFonts w:hint="eastAsia" w:ascii="仿宋" w:hAnsi="仿宋" w:eastAsia="仿宋" w:cs="仿宋"/>
          <w:sz w:val="24"/>
          <w:szCs w:val="24"/>
        </w:rPr>
        <w:t>项目管理等系统。</w:t>
      </w:r>
    </w:p>
    <w:p>
      <w:pPr>
        <w:pStyle w:val="59"/>
        <w:keepNext w:val="0"/>
        <w:keepLines w:val="0"/>
        <w:pageBreakBefore w:val="0"/>
        <w:widowControl w:val="0"/>
        <w:numPr>
          <w:ilvl w:val="0"/>
          <w:numId w:val="8"/>
        </w:numPr>
        <w:kinsoku/>
        <w:wordWrap/>
        <w:overflowPunct/>
        <w:topLinePunct w:val="0"/>
        <w:autoSpaceDE/>
        <w:autoSpaceDN/>
        <w:bidi w:val="0"/>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rPr>
        <w:t>配置系统支持：满足业务流转部署的系统，需要有统一配置入口，支持访视配置，表单配置，业务流程配置，提醒配置，任务配置，内外网服务支持开关配置等。</w:t>
      </w:r>
    </w:p>
    <w:p>
      <w:pPr>
        <w:pStyle w:val="59"/>
        <w:keepNext w:val="0"/>
        <w:keepLines w:val="0"/>
        <w:pageBreakBefore w:val="0"/>
        <w:widowControl w:val="0"/>
        <w:numPr>
          <w:ilvl w:val="0"/>
          <w:numId w:val="8"/>
        </w:numPr>
        <w:kinsoku/>
        <w:wordWrap/>
        <w:overflowPunct/>
        <w:topLinePunct w:val="0"/>
        <w:autoSpaceDE/>
        <w:autoSpaceDN/>
        <w:bidi w:val="0"/>
        <w:spacing w:line="360" w:lineRule="auto"/>
        <w:ind w:left="0"/>
        <w:textAlignment w:val="auto"/>
        <w:rPr>
          <w:rFonts w:hint="eastAsia" w:ascii="仿宋" w:hAnsi="仿宋" w:eastAsia="仿宋" w:cs="仿宋"/>
          <w:sz w:val="24"/>
          <w:szCs w:val="24"/>
          <w:highlight w:val="none"/>
        </w:rPr>
      </w:pPr>
      <w:r>
        <w:rPr>
          <w:rFonts w:hint="eastAsia" w:ascii="仿宋" w:hAnsi="仿宋" w:eastAsia="仿宋" w:cs="仿宋"/>
          <w:sz w:val="24"/>
          <w:szCs w:val="24"/>
        </w:rPr>
        <w:t>考虑数据安全性，能协助处理安</w:t>
      </w:r>
      <w:r>
        <w:rPr>
          <w:rFonts w:hint="eastAsia" w:ascii="仿宋" w:hAnsi="仿宋" w:eastAsia="仿宋" w:cs="仿宋"/>
          <w:sz w:val="24"/>
          <w:szCs w:val="24"/>
          <w:highlight w:val="none"/>
        </w:rPr>
        <w:t>全测试发现的漏洞。</w:t>
      </w:r>
    </w:p>
    <w:p>
      <w:pPr>
        <w:pStyle w:val="59"/>
        <w:keepNext w:val="0"/>
        <w:keepLines w:val="0"/>
        <w:pageBreakBefore w:val="0"/>
        <w:widowControl w:val="0"/>
        <w:numPr>
          <w:ilvl w:val="0"/>
          <w:numId w:val="8"/>
        </w:numPr>
        <w:kinsoku/>
        <w:wordWrap/>
        <w:overflowPunct/>
        <w:topLinePunct w:val="0"/>
        <w:autoSpaceDE/>
        <w:autoSpaceDN/>
        <w:bidi w:val="0"/>
        <w:spacing w:line="360" w:lineRule="auto"/>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系统建设完成后，在应用服务器和数据库服务器可用率≧90%，不考虑Internet网络传输条件的情况下，以局域网为基准，达到如下性能指标：</w:t>
      </w:r>
    </w:p>
    <w:p>
      <w:pPr>
        <w:pStyle w:val="59"/>
        <w:keepNext w:val="0"/>
        <w:keepLines w:val="0"/>
        <w:pageBreakBefore w:val="0"/>
        <w:widowControl w:val="0"/>
        <w:numPr>
          <w:ilvl w:val="0"/>
          <w:numId w:val="0"/>
        </w:numPr>
        <w:kinsoku/>
        <w:wordWrap/>
        <w:overflowPunct/>
        <w:topLinePunct w:val="0"/>
        <w:autoSpaceDE/>
        <w:autoSpaceDN/>
        <w:bidi w:val="0"/>
        <w:spacing w:line="360" w:lineRule="auto"/>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系统并发：可同时支持300个并发访问并使用。</w:t>
      </w:r>
    </w:p>
    <w:p>
      <w:pPr>
        <w:pStyle w:val="59"/>
        <w:keepNext w:val="0"/>
        <w:keepLines w:val="0"/>
        <w:pageBreakBefore w:val="0"/>
        <w:widowControl w:val="0"/>
        <w:numPr>
          <w:ilvl w:val="0"/>
          <w:numId w:val="0"/>
        </w:numPr>
        <w:kinsoku/>
        <w:wordWrap/>
        <w:overflowPunct/>
        <w:topLinePunct w:val="0"/>
        <w:autoSpaceDE/>
        <w:autoSpaceDN/>
        <w:bidi w:val="0"/>
        <w:spacing w:line="360" w:lineRule="auto"/>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响应时延：操作页面等待的平均时间≦1秒。</w:t>
      </w:r>
    </w:p>
    <w:p>
      <w:pPr>
        <w:pStyle w:val="59"/>
        <w:keepNext w:val="0"/>
        <w:keepLines w:val="0"/>
        <w:pageBreakBefore w:val="0"/>
        <w:widowControl w:val="0"/>
        <w:numPr>
          <w:ilvl w:val="0"/>
          <w:numId w:val="0"/>
        </w:numPr>
        <w:kinsoku/>
        <w:wordWrap/>
        <w:overflowPunct/>
        <w:topLinePunct w:val="0"/>
        <w:autoSpaceDE/>
        <w:autoSpaceDN/>
        <w:bidi w:val="0"/>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rPr>
        <w:t>安全可靠性：每年不可用时间不超过24小时。</w:t>
      </w:r>
    </w:p>
    <w:p>
      <w:pPr>
        <w:pStyle w:val="59"/>
        <w:keepNext w:val="0"/>
        <w:keepLines w:val="0"/>
        <w:pageBreakBefore w:val="0"/>
        <w:widowControl w:val="0"/>
        <w:numPr>
          <w:ilvl w:val="0"/>
          <w:numId w:val="0"/>
        </w:numPr>
        <w:kinsoku/>
        <w:wordWrap/>
        <w:overflowPunct/>
        <w:topLinePunct w:val="0"/>
        <w:autoSpaceDE/>
        <w:autoSpaceDN/>
        <w:bidi w:val="0"/>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rPr>
        <w:t>系统支持的用户数量可达300000人。</w:t>
      </w:r>
    </w:p>
    <w:p>
      <w:pPr>
        <w:rPr>
          <w:rFonts w:hint="eastAsia" w:ascii="仿宋" w:hAnsi="仿宋" w:eastAsia="仿宋" w:cs="仿宋"/>
          <w:lang w:val="en-US" w:eastAsia="zh-CN"/>
        </w:rPr>
      </w:pPr>
      <w:r>
        <w:rPr>
          <w:rFonts w:hint="eastAsia" w:ascii="仿宋" w:hAnsi="仿宋" w:eastAsia="仿宋" w:cs="仿宋"/>
          <w:lang w:val="en-US" w:eastAsia="zh-CN"/>
        </w:rPr>
        <w:br w:type="page"/>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rPr>
      </w:pPr>
      <w:r>
        <w:rPr>
          <w:rFonts w:hint="eastAsia" w:ascii="仿宋" w:hAnsi="仿宋" w:eastAsia="仿宋" w:cs="仿宋"/>
          <w:lang w:val="en-US" w:eastAsia="zh-CN"/>
        </w:rPr>
        <w:t>5.3</w:t>
      </w:r>
      <w:r>
        <w:rPr>
          <w:rFonts w:hint="eastAsia" w:ascii="仿宋" w:hAnsi="仿宋" w:eastAsia="仿宋" w:cs="仿宋"/>
        </w:rPr>
        <w:t>功能要求</w:t>
      </w:r>
    </w:p>
    <w:p>
      <w:pPr>
        <w:pageBreakBefore w:val="0"/>
        <w:widowControl w:val="0"/>
        <w:kinsoku/>
        <w:wordWrap/>
        <w:overflowPunct/>
        <w:topLinePunct w:val="0"/>
        <w:autoSpaceDE/>
        <w:autoSpaceDN/>
        <w:bidi w:val="0"/>
        <w:spacing w:line="360" w:lineRule="auto"/>
        <w:ind w:left="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数量：1套系统</w:t>
      </w:r>
      <w:r>
        <w:rPr>
          <w:rFonts w:hint="eastAsia" w:ascii="仿宋" w:hAnsi="仿宋" w:eastAsia="仿宋" w:cs="仿宋"/>
          <w:b/>
          <w:bCs/>
          <w:sz w:val="24"/>
          <w:szCs w:val="24"/>
          <w:highlight w:val="none"/>
          <w:lang w:val="en-US" w:eastAsia="zh-CN"/>
        </w:rPr>
        <w:t>（注：根据医院需求，本项目系统需支持与HIS、电子病历系统、集成平台等核心信息系统的对接，以下技术参数信息中涉及“HIS”的均代指以上3项等核心信息系统。）</w:t>
      </w:r>
    </w:p>
    <w:tbl>
      <w:tblPr>
        <w:tblStyle w:val="31"/>
        <w:tblW w:w="946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3"/>
        <w:gridCol w:w="1182"/>
        <w:gridCol w:w="739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83" w:type="dxa"/>
            <w:shd w:val="clear" w:color="000000" w:fill="D9D9D9"/>
            <w:vAlign w:val="center"/>
          </w:tcPr>
          <w:p>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szCs w:val="21"/>
              </w:rPr>
            </w:pPr>
            <w:r>
              <w:rPr>
                <w:rFonts w:hint="eastAsia" w:ascii="仿宋" w:hAnsi="仿宋" w:eastAsia="仿宋" w:cs="仿宋"/>
                <w:b/>
                <w:szCs w:val="21"/>
              </w:rPr>
              <w:t>名称</w:t>
            </w:r>
          </w:p>
        </w:tc>
        <w:tc>
          <w:tcPr>
            <w:tcW w:w="8580" w:type="dxa"/>
            <w:gridSpan w:val="2"/>
            <w:shd w:val="clear" w:color="000000" w:fill="D9D9D9"/>
            <w:vAlign w:val="center"/>
          </w:tcPr>
          <w:p>
            <w:pPr>
              <w:pageBreakBefore w:val="0"/>
              <w:widowControl w:val="0"/>
              <w:kinsoku/>
              <w:wordWrap/>
              <w:overflowPunct/>
              <w:topLinePunct w:val="0"/>
              <w:autoSpaceDE/>
              <w:autoSpaceDN/>
              <w:bidi w:val="0"/>
              <w:adjustRightInd w:val="0"/>
              <w:snapToGrid w:val="0"/>
              <w:spacing w:line="360" w:lineRule="auto"/>
              <w:ind w:left="0" w:firstLine="422" w:firstLineChars="200"/>
              <w:jc w:val="center"/>
              <w:textAlignment w:val="auto"/>
              <w:rPr>
                <w:rFonts w:hint="eastAsia" w:ascii="仿宋" w:hAnsi="仿宋" w:eastAsia="仿宋" w:cs="仿宋"/>
                <w:b/>
                <w:szCs w:val="21"/>
              </w:rPr>
            </w:pPr>
            <w:r>
              <w:rPr>
                <w:rFonts w:hint="eastAsia" w:ascii="仿宋" w:hAnsi="仿宋" w:eastAsia="仿宋" w:cs="仿宋"/>
                <w:b/>
                <w:szCs w:val="21"/>
              </w:rPr>
              <w:t>招标技术参数及相关要求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83" w:type="dxa"/>
            <w:vMerge w:val="restart"/>
            <w:vAlign w:val="center"/>
          </w:tcPr>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rPr>
            </w:pPr>
            <w:r>
              <w:rPr>
                <w:rFonts w:hint="eastAsia" w:ascii="仿宋" w:hAnsi="仿宋" w:eastAsia="仿宋" w:cs="仿宋"/>
                <w:b/>
                <w:szCs w:val="21"/>
              </w:rPr>
              <w:t>临床试验管理系统</w:t>
            </w:r>
          </w:p>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rPr>
            </w:pPr>
          </w:p>
        </w:tc>
        <w:tc>
          <w:tcPr>
            <w:tcW w:w="8580" w:type="dxa"/>
            <w:gridSpan w:val="2"/>
            <w:vAlign w:val="center"/>
          </w:tcPr>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rPr>
            </w:pPr>
            <w:r>
              <w:rPr>
                <w:rFonts w:hint="eastAsia" w:ascii="仿宋" w:hAnsi="仿宋" w:eastAsia="仿宋" w:cs="仿宋"/>
                <w:b/>
                <w:szCs w:val="21"/>
              </w:rPr>
              <w:t>1、功能需求说明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83" w:type="dxa"/>
            <w:vMerge w:val="continue"/>
            <w:vAlign w:val="center"/>
          </w:tcPr>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rPr>
            </w:pPr>
          </w:p>
        </w:tc>
        <w:tc>
          <w:tcPr>
            <w:tcW w:w="1182" w:type="dxa"/>
            <w:vAlign w:val="center"/>
          </w:tcPr>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rPr>
            </w:pPr>
            <w:r>
              <w:rPr>
                <w:rFonts w:hint="eastAsia" w:ascii="仿宋" w:hAnsi="仿宋" w:eastAsia="仿宋" w:cs="仿宋"/>
                <w:b/>
                <w:szCs w:val="21"/>
              </w:rPr>
              <w:t>1.</w:t>
            </w:r>
            <w:r>
              <w:rPr>
                <w:rFonts w:hint="eastAsia" w:ascii="仿宋" w:hAnsi="仿宋" w:eastAsia="仿宋" w:cs="仿宋"/>
                <w:b/>
                <w:szCs w:val="21"/>
              </w:rPr>
              <w:tab/>
            </w:r>
            <w:r>
              <w:rPr>
                <w:rFonts w:hint="eastAsia" w:ascii="仿宋" w:hAnsi="仿宋" w:eastAsia="仿宋" w:cs="仿宋"/>
                <w:b/>
                <w:szCs w:val="21"/>
              </w:rPr>
              <w:t>临床试验项目管理</w:t>
            </w:r>
          </w:p>
        </w:tc>
        <w:tc>
          <w:tcPr>
            <w:tcW w:w="7398" w:type="dxa"/>
            <w:vAlign w:val="center"/>
          </w:tcPr>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kern w:val="0"/>
                <w:szCs w:val="21"/>
              </w:rPr>
              <w:t>项目立项：</w:t>
            </w:r>
            <w:r>
              <w:rPr>
                <w:rFonts w:hint="eastAsia" w:ascii="仿宋" w:hAnsi="仿宋" w:eastAsia="仿宋" w:cs="仿宋"/>
                <w:b w:val="0"/>
                <w:kern w:val="0"/>
                <w:szCs w:val="21"/>
              </w:rPr>
              <w:t>完成从申办方立项递交到合同签署正式启动的全流程。</w:t>
            </w:r>
          </w:p>
          <w:p>
            <w:pPr>
              <w:pStyle w:val="59"/>
              <w:pageBreakBefore w:val="0"/>
              <w:widowControl w:val="0"/>
              <w:numPr>
                <w:ilvl w:val="0"/>
                <w:numId w:val="10"/>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根据机构SOP要求递交立项递交资料，支持外网线上递交，根据机构要求可以预判（例如盖章不合格，不能提交），支持机构人员修订，并反馈。</w:t>
            </w:r>
          </w:p>
          <w:p>
            <w:pPr>
              <w:pStyle w:val="59"/>
              <w:pageBreakBefore w:val="0"/>
              <w:widowControl w:val="0"/>
              <w:numPr>
                <w:ilvl w:val="0"/>
                <w:numId w:val="10"/>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支持研究者发起的临床试验（IIT）项目，及研究者项目无需打款，签署协议等特殊流程适配。</w:t>
            </w:r>
          </w:p>
          <w:p>
            <w:pPr>
              <w:pStyle w:val="59"/>
              <w:pageBreakBefore w:val="0"/>
              <w:widowControl w:val="0"/>
              <w:numPr>
                <w:ilvl w:val="0"/>
                <w:numId w:val="10"/>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支持文件替换修订并操作留痕。</w:t>
            </w:r>
          </w:p>
          <w:p>
            <w:pPr>
              <w:pStyle w:val="59"/>
              <w:pageBreakBefore w:val="0"/>
              <w:widowControl w:val="0"/>
              <w:numPr>
                <w:ilvl w:val="0"/>
                <w:numId w:val="10"/>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立项过程中产生的批件支持在线发送，下载导出，自动归档和跟踪管理。</w:t>
            </w:r>
          </w:p>
          <w:p>
            <w:pPr>
              <w:pStyle w:val="59"/>
              <w:pageBreakBefore w:val="0"/>
              <w:widowControl w:val="0"/>
              <w:numPr>
                <w:ilvl w:val="0"/>
                <w:numId w:val="10"/>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上传的附件，可自动带入立项会会议审查或伦理审查中。</w:t>
            </w:r>
          </w:p>
          <w:p>
            <w:pPr>
              <w:pStyle w:val="59"/>
              <w:pageBreakBefore w:val="0"/>
              <w:widowControl w:val="0"/>
              <w:numPr>
                <w:ilvl w:val="0"/>
                <w:numId w:val="10"/>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立项合同分为条款审核和财务审核两部分，均支持在线递交、修改、审批，分角色限制查看和修改权限，申办方在审核前撤回，充分节省审核人力</w:t>
            </w:r>
            <w:r>
              <w:rPr>
                <w:rFonts w:hint="eastAsia" w:ascii="仿宋" w:hAnsi="仿宋" w:eastAsia="仿宋" w:cs="仿宋"/>
                <w:kern w:val="0"/>
                <w:szCs w:val="21"/>
                <w:lang w:eastAsia="zh-CN"/>
              </w:rPr>
              <w:t>，</w:t>
            </w:r>
            <w:r>
              <w:rPr>
                <w:rFonts w:hint="eastAsia" w:ascii="仿宋" w:hAnsi="仿宋" w:eastAsia="仿宋" w:cs="仿宋"/>
                <w:kern w:val="0"/>
                <w:szCs w:val="21"/>
              </w:rPr>
              <w:t>保障信息安全。</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kern w:val="0"/>
                <w:szCs w:val="21"/>
              </w:rPr>
            </w:pPr>
            <w:r>
              <w:rPr>
                <w:rFonts w:hint="eastAsia" w:ascii="仿宋" w:hAnsi="仿宋" w:eastAsia="仿宋" w:cs="仿宋"/>
                <w:kern w:val="0"/>
                <w:szCs w:val="21"/>
              </w:rPr>
              <w:t>立项审核会/启动会：</w:t>
            </w:r>
          </w:p>
          <w:p>
            <w:pPr>
              <w:pStyle w:val="59"/>
              <w:pageBreakBefore w:val="0"/>
              <w:widowControl w:val="0"/>
              <w:numPr>
                <w:ilvl w:val="0"/>
                <w:numId w:val="11"/>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提供线上会议创建</w:t>
            </w:r>
            <w:r>
              <w:rPr>
                <w:rFonts w:hint="eastAsia" w:ascii="仿宋" w:hAnsi="仿宋" w:eastAsia="仿宋" w:cs="仿宋"/>
                <w:kern w:val="0"/>
                <w:szCs w:val="21"/>
                <w:lang w:eastAsia="zh-CN"/>
              </w:rPr>
              <w:t>、</w:t>
            </w:r>
            <w:r>
              <w:rPr>
                <w:rFonts w:hint="eastAsia" w:ascii="仿宋" w:hAnsi="仿宋" w:eastAsia="仿宋" w:cs="仿宋"/>
                <w:kern w:val="0"/>
                <w:szCs w:val="21"/>
              </w:rPr>
              <w:t>签到</w:t>
            </w:r>
            <w:r>
              <w:rPr>
                <w:rFonts w:hint="eastAsia" w:ascii="仿宋" w:hAnsi="仿宋" w:eastAsia="仿宋" w:cs="仿宋"/>
                <w:kern w:val="0"/>
                <w:szCs w:val="21"/>
                <w:lang w:eastAsia="zh-CN"/>
              </w:rPr>
              <w:t>、</w:t>
            </w:r>
            <w:r>
              <w:rPr>
                <w:rFonts w:hint="eastAsia" w:ascii="仿宋" w:hAnsi="仿宋" w:eastAsia="仿宋" w:cs="仿宋"/>
                <w:kern w:val="0"/>
                <w:szCs w:val="21"/>
              </w:rPr>
              <w:t>会议纪要填写导出等功能。</w:t>
            </w:r>
          </w:p>
          <w:p>
            <w:pPr>
              <w:pStyle w:val="59"/>
              <w:pageBreakBefore w:val="0"/>
              <w:widowControl w:val="0"/>
              <w:numPr>
                <w:ilvl w:val="0"/>
                <w:numId w:val="11"/>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临床试验信息自动带入立项审议表，并关联伦理审查。</w:t>
            </w:r>
          </w:p>
          <w:p>
            <w:pPr>
              <w:pStyle w:val="59"/>
              <w:pageBreakBefore w:val="0"/>
              <w:widowControl w:val="0"/>
              <w:numPr>
                <w:ilvl w:val="0"/>
                <w:numId w:val="11"/>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支持线上投票、统计、自动带入立项审议表。</w:t>
            </w:r>
          </w:p>
          <w:p>
            <w:pPr>
              <w:pStyle w:val="59"/>
              <w:pageBreakBefore w:val="0"/>
              <w:widowControl w:val="0"/>
              <w:numPr>
                <w:ilvl w:val="0"/>
                <w:numId w:val="11"/>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对于会议形成的决议，关联伦理查阅。</w:t>
            </w:r>
          </w:p>
          <w:p>
            <w:pPr>
              <w:pStyle w:val="59"/>
              <w:pageBreakBefore w:val="0"/>
              <w:widowControl w:val="0"/>
              <w:numPr>
                <w:ilvl w:val="0"/>
                <w:numId w:val="11"/>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会议近期消息提醒。</w:t>
            </w:r>
          </w:p>
          <w:p>
            <w:pPr>
              <w:pStyle w:val="59"/>
              <w:pageBreakBefore w:val="0"/>
              <w:widowControl w:val="0"/>
              <w:numPr>
                <w:ilvl w:val="0"/>
                <w:numId w:val="11"/>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会议通知短信的一键发送。</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kern w:val="0"/>
                <w:szCs w:val="21"/>
              </w:rPr>
            </w:pPr>
            <w:r>
              <w:rPr>
                <w:rFonts w:hint="eastAsia" w:ascii="仿宋" w:hAnsi="仿宋" w:eastAsia="仿宋" w:cs="仿宋"/>
                <w:kern w:val="0"/>
                <w:szCs w:val="21"/>
              </w:rPr>
              <w:t>项目流程图：</w:t>
            </w:r>
            <w:r>
              <w:rPr>
                <w:rFonts w:hint="eastAsia" w:ascii="仿宋" w:hAnsi="仿宋" w:eastAsia="仿宋" w:cs="仿宋"/>
                <w:b w:val="0"/>
                <w:bCs w:val="0"/>
                <w:kern w:val="0"/>
                <w:szCs w:val="21"/>
              </w:rPr>
              <w:t>提供项目进展流程图，以便研究相关角色</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清楚项目流程及当前进展情况。</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bCs w:val="0"/>
                <w:kern w:val="0"/>
                <w:szCs w:val="21"/>
              </w:rPr>
              <w:t>人类遗传资源信息管理：</w:t>
            </w:r>
          </w:p>
          <w:p>
            <w:pPr>
              <w:pStyle w:val="59"/>
              <w:pageBreakBefore w:val="0"/>
              <w:widowControl w:val="0"/>
              <w:numPr>
                <w:ilvl w:val="0"/>
                <w:numId w:val="12"/>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szCs w:val="21"/>
              </w:rPr>
            </w:pPr>
            <w:r>
              <w:rPr>
                <w:rFonts w:hint="eastAsia" w:ascii="仿宋" w:hAnsi="仿宋" w:eastAsia="仿宋" w:cs="仿宋"/>
                <w:szCs w:val="21"/>
              </w:rPr>
              <w:t>支持选择项目是否需要办理人类遗传资源管理审批申请。</w:t>
            </w:r>
          </w:p>
          <w:p>
            <w:pPr>
              <w:pStyle w:val="59"/>
              <w:pageBreakBefore w:val="0"/>
              <w:widowControl w:val="0"/>
              <w:numPr>
                <w:ilvl w:val="0"/>
                <w:numId w:val="12"/>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szCs w:val="21"/>
              </w:rPr>
            </w:pPr>
            <w:r>
              <w:rPr>
                <w:rFonts w:hint="eastAsia" w:ascii="仿宋" w:hAnsi="仿宋" w:eastAsia="仿宋" w:cs="仿宋"/>
                <w:szCs w:val="21"/>
              </w:rPr>
              <w:t>需要支持最新的人类遗传资源管理审批申请类型。</w:t>
            </w:r>
          </w:p>
          <w:p>
            <w:pPr>
              <w:pStyle w:val="59"/>
              <w:pageBreakBefore w:val="0"/>
              <w:widowControl w:val="0"/>
              <w:numPr>
                <w:ilvl w:val="0"/>
                <w:numId w:val="12"/>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szCs w:val="21"/>
              </w:rPr>
            </w:pPr>
            <w:r>
              <w:rPr>
                <w:rFonts w:hint="eastAsia" w:ascii="仿宋" w:hAnsi="仿宋" w:eastAsia="仿宋" w:cs="仿宋"/>
                <w:szCs w:val="21"/>
              </w:rPr>
              <w:t>根据我院是否</w:t>
            </w:r>
            <w:r>
              <w:rPr>
                <w:rFonts w:hint="eastAsia" w:ascii="仿宋" w:hAnsi="仿宋" w:eastAsia="仿宋" w:cs="仿宋"/>
                <w:szCs w:val="21"/>
                <w:highlight w:val="none"/>
                <w:lang w:eastAsia="zh-CN"/>
              </w:rPr>
              <w:t>为</w:t>
            </w:r>
            <w:r>
              <w:rPr>
                <w:rFonts w:hint="eastAsia" w:ascii="仿宋" w:hAnsi="仿宋" w:eastAsia="仿宋" w:cs="仿宋"/>
                <w:szCs w:val="21"/>
              </w:rPr>
              <w:t>组长单位，自动判断/选择我院需要签署的相关文件类型，上传附件类型，机构办统一下载后签字盖章。</w:t>
            </w:r>
          </w:p>
          <w:p>
            <w:pPr>
              <w:pStyle w:val="59"/>
              <w:pageBreakBefore w:val="0"/>
              <w:widowControl w:val="0"/>
              <w:numPr>
                <w:ilvl w:val="0"/>
                <w:numId w:val="12"/>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szCs w:val="21"/>
              </w:rPr>
            </w:pPr>
            <w:r>
              <w:rPr>
                <w:rFonts w:hint="eastAsia" w:ascii="仿宋" w:hAnsi="仿宋" w:eastAsia="仿宋" w:cs="仿宋"/>
                <w:szCs w:val="21"/>
              </w:rPr>
              <w:t>如我院作为申请单位，需线上递交申请，上传人遗办网站提交附件、人遗办批件，我院签署相关文件后提醒相关申请人领取文件。</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受试者管理：</w:t>
            </w:r>
            <w:r>
              <w:rPr>
                <w:rFonts w:hint="eastAsia" w:ascii="仿宋" w:hAnsi="仿宋" w:eastAsia="仿宋" w:cs="仿宋"/>
                <w:b w:val="0"/>
                <w:kern w:val="0"/>
                <w:szCs w:val="21"/>
              </w:rPr>
              <w:t>提供全部/筛选不合格/筛选中/给药中/复查随访/生存随访/退出/结束各种状态对受试者实行过程管理，方便研究团队筛选查询。</w:t>
            </w:r>
          </w:p>
          <w:p>
            <w:pPr>
              <w:pStyle w:val="59"/>
              <w:pageBreakBefore w:val="0"/>
              <w:widowControl w:val="0"/>
              <w:numPr>
                <w:ilvl w:val="0"/>
                <w:numId w:val="13"/>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支持受试者按状态筛选查询。</w:t>
            </w:r>
          </w:p>
          <w:p>
            <w:pPr>
              <w:pStyle w:val="59"/>
              <w:pageBreakBefore w:val="0"/>
              <w:widowControl w:val="0"/>
              <w:numPr>
                <w:ilvl w:val="0"/>
                <w:numId w:val="13"/>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受试者管理基于方案访视活动项配置，支持按项目方案访视阶段查看受试者访视日历，按受试者实际情况，记录受试者每次访视时间勾选活动项，包括计划外随访。方便研究团队了解受试者访视及活动项完成情况。</w:t>
            </w:r>
          </w:p>
          <w:p>
            <w:pPr>
              <w:pStyle w:val="59"/>
              <w:pageBreakBefore w:val="0"/>
              <w:widowControl w:val="0"/>
              <w:numPr>
                <w:ilvl w:val="0"/>
                <w:numId w:val="13"/>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支持按实际访视时间和访视活动项配置自动向研究者及受试者发送短信，提醒访视时间及活动项准备。</w:t>
            </w:r>
          </w:p>
          <w:p>
            <w:pPr>
              <w:pStyle w:val="59"/>
              <w:pageBreakBefore w:val="0"/>
              <w:widowControl w:val="0"/>
              <w:numPr>
                <w:ilvl w:val="0"/>
                <w:numId w:val="13"/>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支持访视超窗预警以及消息提醒。</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kern w:val="0"/>
                <w:szCs w:val="21"/>
              </w:rPr>
              <w:t>质量管理：</w:t>
            </w:r>
            <w:r>
              <w:rPr>
                <w:rFonts w:hint="eastAsia" w:ascii="仿宋" w:hAnsi="仿宋" w:eastAsia="仿宋" w:cs="仿宋"/>
                <w:b w:val="0"/>
                <w:kern w:val="0"/>
                <w:szCs w:val="21"/>
              </w:rPr>
              <w:t>分为首次核查、中期核查、完结核查三个阶段。支持机构根据医院特色设定质控计划，对质控参数如质控流程抽检例数和比例、质控人员、预计质控时间等按项目配置。并根据质控计划提前提醒研究团队做好质控准备。除预先设置好的质控计划外，</w:t>
            </w:r>
            <w:r>
              <w:rPr>
                <w:rFonts w:hint="eastAsia" w:ascii="仿宋" w:hAnsi="仿宋" w:eastAsia="仿宋" w:cs="仿宋"/>
                <w:b w:val="0"/>
                <w:kern w:val="0"/>
                <w:szCs w:val="21"/>
                <w:highlight w:val="none"/>
                <w:lang w:eastAsia="zh-CN"/>
              </w:rPr>
              <w:t>还应</w:t>
            </w:r>
            <w:r>
              <w:rPr>
                <w:rFonts w:hint="eastAsia" w:ascii="仿宋" w:hAnsi="仿宋" w:eastAsia="仿宋" w:cs="仿宋"/>
                <w:b w:val="0"/>
                <w:kern w:val="0"/>
                <w:szCs w:val="21"/>
              </w:rPr>
              <w:t>支持质控员发起计划外核查。</w:t>
            </w:r>
          </w:p>
          <w:p>
            <w:pPr>
              <w:pStyle w:val="59"/>
              <w:pageBreakBefore w:val="0"/>
              <w:widowControl w:val="0"/>
              <w:numPr>
                <w:ilvl w:val="0"/>
                <w:numId w:val="14"/>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支持对质控问题等级、质控内容进行配置。</w:t>
            </w:r>
          </w:p>
          <w:p>
            <w:pPr>
              <w:pStyle w:val="59"/>
              <w:pageBreakBefore w:val="0"/>
              <w:widowControl w:val="0"/>
              <w:numPr>
                <w:ilvl w:val="0"/>
                <w:numId w:val="14"/>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支持按里程碑、受试者序号、质控频率、入组比例等进行质控计划设置及提醒。</w:t>
            </w:r>
          </w:p>
          <w:p>
            <w:pPr>
              <w:pStyle w:val="59"/>
              <w:pageBreakBefore w:val="0"/>
              <w:widowControl w:val="0"/>
              <w:numPr>
                <w:ilvl w:val="0"/>
                <w:numId w:val="14"/>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支持按质控计划自动完成质控任务或质控消息的推送研究者。</w:t>
            </w:r>
          </w:p>
          <w:p>
            <w:pPr>
              <w:pStyle w:val="59"/>
              <w:pageBreakBefore w:val="0"/>
              <w:widowControl w:val="0"/>
              <w:numPr>
                <w:ilvl w:val="0"/>
                <w:numId w:val="14"/>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自动分配和跟踪质控任务，质控人员发现的质量问题，会自动流转提醒相关CRA、研究者回复，给到质控员确认。避免质控工作遗漏和任务超期。</w:t>
            </w:r>
          </w:p>
          <w:p>
            <w:pPr>
              <w:pStyle w:val="59"/>
              <w:pageBreakBefore w:val="0"/>
              <w:widowControl w:val="0"/>
              <w:numPr>
                <w:ilvl w:val="0"/>
                <w:numId w:val="14"/>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质控员质控checklist和撰写的质控报告，支持按照医院质量管理SOP动态配置。</w:t>
            </w:r>
          </w:p>
          <w:p>
            <w:pPr>
              <w:pStyle w:val="59"/>
              <w:pageBreakBefore w:val="0"/>
              <w:widowControl w:val="0"/>
              <w:numPr>
                <w:ilvl w:val="0"/>
                <w:numId w:val="14"/>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支持监查、稽查管理流程，便于机构管理监查、稽查工作计划，查看相关监查、稽查报告。</w:t>
            </w:r>
          </w:p>
          <w:p>
            <w:pPr>
              <w:pStyle w:val="59"/>
              <w:pageBreakBefore w:val="0"/>
              <w:widowControl w:val="0"/>
              <w:numPr>
                <w:ilvl w:val="0"/>
                <w:numId w:val="14"/>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项目质控情况自动导入统计分析模块进行实时动态分析，支持按质量问题分类、分级、科室、项目等各个纬度动态组合分析绘图导出。</w:t>
            </w:r>
          </w:p>
          <w:p>
            <w:pPr>
              <w:pStyle w:val="59"/>
              <w:pageBreakBefore w:val="0"/>
              <w:widowControl w:val="0"/>
              <w:numPr>
                <w:ilvl w:val="0"/>
                <w:numId w:val="14"/>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质量问题列表形成统一报告，提供研究团队和机构管理者查询，并结合分析报表制定针对性调优计划，持续跟踪整改反馈情况。</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kern w:val="0"/>
                <w:szCs w:val="21"/>
              </w:rPr>
            </w:pPr>
            <w:r>
              <w:rPr>
                <w:rFonts w:hint="eastAsia" w:ascii="仿宋" w:hAnsi="仿宋" w:eastAsia="仿宋" w:cs="仿宋"/>
                <w:kern w:val="0"/>
                <w:szCs w:val="21"/>
              </w:rPr>
              <w:t>项目结题：</w:t>
            </w:r>
            <w:r>
              <w:rPr>
                <w:rFonts w:hint="eastAsia" w:ascii="仿宋" w:hAnsi="仿宋" w:eastAsia="仿宋" w:cs="仿宋"/>
                <w:b w:val="0"/>
                <w:kern w:val="0"/>
                <w:szCs w:val="21"/>
              </w:rPr>
              <w:t>包括关中心申请，试验物资（包括药品）退回、销毁，伦理结题审查，关中心前质控，研究费用结算，资料归档，分中心小结，结题转签等环节，需要依次经相关人员在线审查同意后才完成项目结题工作。</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kern w:val="0"/>
                <w:szCs w:val="21"/>
              </w:rPr>
              <w:t>项目清理：</w:t>
            </w:r>
            <w:r>
              <w:rPr>
                <w:rFonts w:hint="eastAsia" w:ascii="仿宋" w:hAnsi="仿宋" w:eastAsia="仿宋" w:cs="仿宋"/>
                <w:b w:val="0"/>
                <w:kern w:val="0"/>
                <w:szCs w:val="21"/>
              </w:rPr>
              <w:t>项目超过归档年限提醒申办方和机构办进行销毁或收费处理。</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Cs w:val="0"/>
                <w:kern w:val="0"/>
                <w:szCs w:val="21"/>
              </w:rPr>
            </w:pPr>
            <w:r>
              <w:rPr>
                <w:rFonts w:hint="eastAsia" w:ascii="仿宋" w:hAnsi="仿宋" w:eastAsia="仿宋" w:cs="仿宋"/>
                <w:bCs w:val="0"/>
                <w:kern w:val="0"/>
                <w:szCs w:val="21"/>
              </w:rPr>
              <w:t>预约管理：</w:t>
            </w:r>
          </w:p>
          <w:p>
            <w:pPr>
              <w:pStyle w:val="59"/>
              <w:pageBreakBefore w:val="0"/>
              <w:widowControl w:val="0"/>
              <w:numPr>
                <w:ilvl w:val="0"/>
                <w:numId w:val="15"/>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提供在线预约管理功能，例如线下资料递交，申请盖章等。</w:t>
            </w:r>
          </w:p>
          <w:p>
            <w:pPr>
              <w:pStyle w:val="59"/>
              <w:pageBreakBefore w:val="0"/>
              <w:widowControl w:val="0"/>
              <w:numPr>
                <w:ilvl w:val="0"/>
                <w:numId w:val="15"/>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支持预约事项，预约处理人，预约人，预约时间等配置。</w:t>
            </w:r>
          </w:p>
          <w:p>
            <w:pPr>
              <w:pStyle w:val="59"/>
              <w:pageBreakBefore w:val="0"/>
              <w:widowControl w:val="0"/>
              <w:numPr>
                <w:ilvl w:val="0"/>
                <w:numId w:val="15"/>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支持预约后预约处理人取消或调整时间，并发送消息通知。</w:t>
            </w:r>
          </w:p>
          <w:p>
            <w:pPr>
              <w:pStyle w:val="59"/>
              <w:pageBreakBefore w:val="0"/>
              <w:widowControl w:val="0"/>
              <w:numPr>
                <w:ilvl w:val="0"/>
                <w:numId w:val="15"/>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支持预约人</w:t>
            </w:r>
            <w:r>
              <w:rPr>
                <w:rFonts w:hint="eastAsia" w:ascii="仿宋" w:hAnsi="仿宋" w:eastAsia="仿宋" w:cs="仿宋"/>
                <w:kern w:val="0"/>
                <w:szCs w:val="21"/>
                <w:highlight w:val="none"/>
                <w:lang w:eastAsia="zh-CN"/>
              </w:rPr>
              <w:t>未</w:t>
            </w:r>
            <w:r>
              <w:rPr>
                <w:rFonts w:hint="eastAsia" w:ascii="仿宋" w:hAnsi="仿宋" w:eastAsia="仿宋" w:cs="仿宋"/>
                <w:kern w:val="0"/>
                <w:szCs w:val="21"/>
              </w:rPr>
              <w:t>按时到来，重新预约。</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Cs w:val="0"/>
                <w:kern w:val="0"/>
                <w:szCs w:val="21"/>
              </w:rPr>
            </w:pPr>
            <w:r>
              <w:rPr>
                <w:rFonts w:hint="eastAsia" w:ascii="仿宋" w:hAnsi="仿宋" w:eastAsia="仿宋" w:cs="仿宋"/>
                <w:bCs w:val="0"/>
                <w:kern w:val="0"/>
                <w:szCs w:val="21"/>
              </w:rPr>
              <w:t>设备管理：</w:t>
            </w:r>
          </w:p>
          <w:p>
            <w:pPr>
              <w:pStyle w:val="59"/>
              <w:pageBreakBefore w:val="0"/>
              <w:widowControl w:val="0"/>
              <w:numPr>
                <w:ilvl w:val="0"/>
                <w:numId w:val="16"/>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支持临床试验用设备档案的新建、修改、启用、停用、设备信息维护以及合格证等资料PDF上传。</w:t>
            </w:r>
          </w:p>
          <w:p>
            <w:pPr>
              <w:pStyle w:val="59"/>
              <w:pageBreakBefore w:val="0"/>
              <w:widowControl w:val="0"/>
              <w:numPr>
                <w:ilvl w:val="0"/>
                <w:numId w:val="16"/>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支持设备维护计划的新建、修改以及维护期自动提醒。</w:t>
            </w:r>
          </w:p>
          <w:p>
            <w:pPr>
              <w:pStyle w:val="59"/>
              <w:pageBreakBefore w:val="0"/>
              <w:widowControl w:val="0"/>
              <w:numPr>
                <w:ilvl w:val="0"/>
                <w:numId w:val="16"/>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支持设备维护档案的新建、修改以及设备维护证明材料的附件文档上传及在线查看。</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Cs w:val="0"/>
                <w:kern w:val="0"/>
                <w:szCs w:val="21"/>
              </w:rPr>
            </w:pPr>
            <w:r>
              <w:rPr>
                <w:rFonts w:hint="eastAsia" w:ascii="仿宋" w:hAnsi="仿宋" w:eastAsia="仿宋" w:cs="仿宋"/>
                <w:bCs w:val="0"/>
                <w:kern w:val="0"/>
                <w:szCs w:val="21"/>
              </w:rPr>
              <w:t>信息发布与查阅：</w:t>
            </w:r>
          </w:p>
          <w:p>
            <w:pPr>
              <w:pStyle w:val="59"/>
              <w:pageBreakBefore w:val="0"/>
              <w:widowControl w:val="0"/>
              <w:numPr>
                <w:ilvl w:val="0"/>
                <w:numId w:val="17"/>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需要支持通知、公告、学术交流等信息编辑、图片上传、发布。</w:t>
            </w:r>
          </w:p>
          <w:p>
            <w:pPr>
              <w:pStyle w:val="59"/>
              <w:pageBreakBefore w:val="0"/>
              <w:widowControl w:val="0"/>
              <w:numPr>
                <w:ilvl w:val="0"/>
                <w:numId w:val="17"/>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支持SOP、规章制度、文档表格在线发布归类。</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kern w:val="0"/>
                <w:szCs w:val="21"/>
              </w:rPr>
              <w:t>标准化工作流程：</w:t>
            </w:r>
            <w:r>
              <w:rPr>
                <w:rFonts w:hint="eastAsia" w:ascii="仿宋" w:hAnsi="仿宋" w:eastAsia="仿宋" w:cs="仿宋"/>
                <w:b w:val="0"/>
                <w:kern w:val="0"/>
                <w:szCs w:val="21"/>
              </w:rPr>
              <w:t>系统预置工作流引擎和国际一流医院临床试验项目标准流程。支持根据医院机构SOP和表单字段灵活配置以及节点依赖如启动会完成后开始项目管理。</w:t>
            </w:r>
          </w:p>
          <w:p>
            <w:pPr>
              <w:pStyle w:val="59"/>
              <w:pageBreakBefore w:val="0"/>
              <w:widowControl w:val="0"/>
              <w:numPr>
                <w:ilvl w:val="0"/>
                <w:numId w:val="18"/>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工作流执行清晰易懂，按重要程度做优先级标注，引导用户快速完成主线工作。且支持用户根据实际业务情况做节点判断，操作节点回退，跳过等。</w:t>
            </w:r>
          </w:p>
          <w:p>
            <w:pPr>
              <w:pStyle w:val="59"/>
              <w:pageBreakBefore w:val="0"/>
              <w:widowControl w:val="0"/>
              <w:numPr>
                <w:ilvl w:val="0"/>
                <w:numId w:val="18"/>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审批流支持系统预先配置审批人员、审批方式和人工选择两种模式。支持多级审核、转审、并行审核等操作。</w:t>
            </w:r>
          </w:p>
          <w:p>
            <w:pPr>
              <w:pStyle w:val="59"/>
              <w:pageBreakBefore w:val="0"/>
              <w:widowControl w:val="0"/>
              <w:numPr>
                <w:ilvl w:val="0"/>
                <w:numId w:val="18"/>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所有操作完成后自动修改相关业务数据，并且留痕，支持重要节点按医院标准模板一键导出，打印签字留档应对检查。</w:t>
            </w:r>
          </w:p>
          <w:p>
            <w:pPr>
              <w:pStyle w:val="59"/>
              <w:pageBreakBefore w:val="0"/>
              <w:widowControl w:val="0"/>
              <w:numPr>
                <w:ilvl w:val="0"/>
                <w:numId w:val="18"/>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支持授权代理审批操作。</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kern w:val="0"/>
                <w:szCs w:val="21"/>
              </w:rPr>
            </w:pPr>
            <w:r>
              <w:rPr>
                <w:rFonts w:hint="eastAsia" w:ascii="仿宋" w:hAnsi="仿宋" w:eastAsia="仿宋" w:cs="仿宋"/>
                <w:kern w:val="0"/>
                <w:szCs w:val="21"/>
              </w:rPr>
              <w:t>接口对接：</w:t>
            </w:r>
          </w:p>
          <w:p>
            <w:pPr>
              <w:pStyle w:val="59"/>
              <w:pageBreakBefore w:val="0"/>
              <w:widowControl w:val="0"/>
              <w:numPr>
                <w:ilvl w:val="0"/>
                <w:numId w:val="19"/>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支持项目管理系统同步项目信息到HIS，根据项目信息操作受试者入组，方便医生在HIS查看受试者及项目相关信息，撰写研究病历，开具研究医嘱。</w:t>
            </w:r>
          </w:p>
          <w:p>
            <w:pPr>
              <w:pStyle w:val="59"/>
              <w:pageBreakBefore w:val="0"/>
              <w:widowControl w:val="0"/>
              <w:numPr>
                <w:ilvl w:val="0"/>
                <w:numId w:val="19"/>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支持HIS同步入组受试者信息到项目管理系统，方便CRC根据访视方案，跟踪受试者访视。</w:t>
            </w:r>
          </w:p>
          <w:p>
            <w:pPr>
              <w:pStyle w:val="59"/>
              <w:pageBreakBefore w:val="0"/>
              <w:widowControl w:val="0"/>
              <w:numPr>
                <w:ilvl w:val="0"/>
                <w:numId w:val="19"/>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支持项目管理系统同步受试者访视及状态信息到HIS，方便医生了解受试者访视情况和状态。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83" w:type="dxa"/>
            <w:vMerge w:val="continue"/>
            <w:vAlign w:val="center"/>
          </w:tcPr>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szCs w:val="21"/>
              </w:rPr>
            </w:pPr>
          </w:p>
        </w:tc>
        <w:tc>
          <w:tcPr>
            <w:tcW w:w="1182" w:type="dxa"/>
            <w:vAlign w:val="center"/>
          </w:tcPr>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rPr>
            </w:pPr>
            <w:r>
              <w:rPr>
                <w:rFonts w:hint="eastAsia" w:ascii="仿宋" w:hAnsi="仿宋" w:eastAsia="仿宋" w:cs="仿宋"/>
                <w:b/>
                <w:szCs w:val="21"/>
              </w:rPr>
              <w:t>2.  临床试验伦理管理</w:t>
            </w:r>
          </w:p>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rPr>
            </w:pPr>
          </w:p>
        </w:tc>
        <w:tc>
          <w:tcPr>
            <w:tcW w:w="7398" w:type="dxa"/>
            <w:vAlign w:val="center"/>
          </w:tcPr>
          <w:p>
            <w:pPr>
              <w:pStyle w:val="59"/>
              <w:keepNext/>
              <w:keepLines/>
              <w:pageBreakBefore w:val="0"/>
              <w:widowControl w:val="0"/>
              <w:numPr>
                <w:ilvl w:val="0"/>
                <w:numId w:val="9"/>
              </w:numPr>
              <w:kinsoku/>
              <w:wordWrap/>
              <w:overflowPunct/>
              <w:topLinePunct w:val="0"/>
              <w:autoSpaceDE/>
              <w:autoSpaceDN/>
              <w:bidi w:val="0"/>
              <w:spacing w:line="360" w:lineRule="auto"/>
              <w:ind w:left="0" w:firstLine="422" w:firstLineChars="200"/>
              <w:textAlignment w:val="auto"/>
              <w:outlineLvl w:val="2"/>
              <w:rPr>
                <w:rFonts w:hint="eastAsia" w:ascii="仿宋" w:hAnsi="仿宋" w:eastAsia="仿宋" w:cs="仿宋"/>
                <w:b/>
                <w:bCs/>
                <w:vanish/>
                <w:kern w:val="0"/>
                <w:szCs w:val="21"/>
              </w:rPr>
            </w:pP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伦理审查业务覆盖：</w:t>
            </w:r>
            <w:r>
              <w:rPr>
                <w:rFonts w:hint="eastAsia" w:ascii="仿宋" w:hAnsi="仿宋" w:eastAsia="仿宋" w:cs="仿宋"/>
                <w:b w:val="0"/>
                <w:kern w:val="0"/>
                <w:szCs w:val="21"/>
              </w:rPr>
              <w:t>包括初始审查、年度跟踪审查、严重不良事件审查、修正案审查、方案违背审查、结题审查、实地访查、结题审查等。</w:t>
            </w:r>
          </w:p>
          <w:p>
            <w:pPr>
              <w:pStyle w:val="59"/>
              <w:pageBreakBefore w:val="0"/>
              <w:widowControl w:val="0"/>
              <w:numPr>
                <w:ilvl w:val="0"/>
                <w:numId w:val="20"/>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审查结果自动影响项目状态，如严重不良事件审查后若结论为项目暂停，则自动冻结项目，整改完毕后恢复。</w:t>
            </w:r>
          </w:p>
          <w:p>
            <w:pPr>
              <w:pStyle w:val="59"/>
              <w:pageBreakBefore w:val="0"/>
              <w:widowControl w:val="0"/>
              <w:numPr>
                <w:ilvl w:val="0"/>
                <w:numId w:val="20"/>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支持查询项目的全部审查信息，包括伦理初审、复审、修正案和SAE（严重不良事件）等审查类别。</w:t>
            </w:r>
          </w:p>
          <w:p>
            <w:pPr>
              <w:pStyle w:val="59"/>
              <w:pageBreakBefore w:val="0"/>
              <w:widowControl w:val="0"/>
              <w:numPr>
                <w:ilvl w:val="0"/>
                <w:numId w:val="20"/>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会议审查：研究者递交资料至伦理委员会</w:t>
            </w:r>
            <w:r>
              <w:rPr>
                <w:rFonts w:hint="eastAsia" w:ascii="仿宋" w:hAnsi="仿宋" w:eastAsia="仿宋" w:cs="仿宋"/>
                <w:kern w:val="0"/>
                <w:szCs w:val="21"/>
                <w:lang w:val="en-US" w:eastAsia="zh-CN"/>
              </w:rPr>
              <w:t>--</w:t>
            </w:r>
            <w:r>
              <w:rPr>
                <w:rFonts w:hint="eastAsia" w:ascii="仿宋" w:hAnsi="仿宋" w:eastAsia="仿宋" w:cs="仿宋"/>
                <w:kern w:val="0"/>
                <w:szCs w:val="21"/>
              </w:rPr>
              <w:t>伦理委员会秘书初步形式审查，资料符合要求</w:t>
            </w:r>
            <w:r>
              <w:rPr>
                <w:rFonts w:hint="eastAsia" w:ascii="仿宋" w:hAnsi="仿宋" w:eastAsia="仿宋" w:cs="仿宋"/>
                <w:kern w:val="0"/>
                <w:szCs w:val="21"/>
                <w:lang w:val="en-US" w:eastAsia="zh-CN"/>
              </w:rPr>
              <w:t>--</w:t>
            </w:r>
            <w:r>
              <w:rPr>
                <w:rFonts w:hint="eastAsia" w:ascii="仿宋" w:hAnsi="仿宋" w:eastAsia="仿宋" w:cs="仿宋"/>
                <w:kern w:val="0"/>
                <w:szCs w:val="21"/>
              </w:rPr>
              <w:t>根据项目特点，选择主审—会议审查</w:t>
            </w:r>
            <w:r>
              <w:rPr>
                <w:rFonts w:hint="eastAsia" w:ascii="仿宋" w:hAnsi="仿宋" w:eastAsia="仿宋" w:cs="仿宋"/>
                <w:kern w:val="0"/>
                <w:szCs w:val="21"/>
                <w:lang w:val="en-US" w:eastAsia="zh-CN"/>
              </w:rPr>
              <w:t>--</w:t>
            </w:r>
            <w:r>
              <w:rPr>
                <w:rFonts w:hint="eastAsia" w:ascii="仿宋" w:hAnsi="仿宋" w:eastAsia="仿宋" w:cs="仿宋"/>
                <w:kern w:val="0"/>
                <w:szCs w:val="21"/>
              </w:rPr>
              <w:t>委员投票</w:t>
            </w:r>
            <w:r>
              <w:rPr>
                <w:rFonts w:hint="eastAsia" w:ascii="仿宋" w:hAnsi="仿宋" w:eastAsia="仿宋" w:cs="仿宋"/>
                <w:kern w:val="0"/>
                <w:szCs w:val="21"/>
                <w:lang w:val="en-US" w:eastAsia="zh-CN"/>
              </w:rPr>
              <w:t>--</w:t>
            </w:r>
            <w:r>
              <w:rPr>
                <w:rFonts w:hint="eastAsia" w:ascii="仿宋" w:hAnsi="仿宋" w:eastAsia="仿宋" w:cs="仿宋"/>
                <w:kern w:val="0"/>
                <w:szCs w:val="21"/>
              </w:rPr>
              <w:t>出具伦理意见（同意、修正后备案、修正后重审、不同意、暂停、终止试验）</w:t>
            </w:r>
            <w:r>
              <w:rPr>
                <w:rFonts w:hint="eastAsia" w:ascii="仿宋" w:hAnsi="仿宋" w:eastAsia="仿宋" w:cs="仿宋"/>
                <w:kern w:val="0"/>
                <w:szCs w:val="21"/>
                <w:lang w:val="en-US" w:eastAsia="zh-CN"/>
              </w:rPr>
              <w:t>--</w:t>
            </w:r>
            <w:r>
              <w:rPr>
                <w:rFonts w:hint="eastAsia" w:ascii="仿宋" w:hAnsi="仿宋" w:eastAsia="仿宋" w:cs="仿宋"/>
                <w:kern w:val="0"/>
                <w:szCs w:val="21"/>
              </w:rPr>
              <w:t>签发伦理批件。</w:t>
            </w:r>
          </w:p>
          <w:p>
            <w:pPr>
              <w:pStyle w:val="59"/>
              <w:pageBreakBefore w:val="0"/>
              <w:widowControl w:val="0"/>
              <w:numPr>
                <w:ilvl w:val="0"/>
                <w:numId w:val="20"/>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快速审查：研究者递交资料至伦理委员会</w:t>
            </w:r>
            <w:r>
              <w:rPr>
                <w:rFonts w:hint="eastAsia" w:ascii="仿宋" w:hAnsi="仿宋" w:eastAsia="仿宋" w:cs="仿宋"/>
                <w:kern w:val="0"/>
                <w:szCs w:val="21"/>
                <w:lang w:val="en-US" w:eastAsia="zh-CN"/>
              </w:rPr>
              <w:t>--</w:t>
            </w:r>
            <w:r>
              <w:rPr>
                <w:rFonts w:hint="eastAsia" w:ascii="仿宋" w:hAnsi="仿宋" w:eastAsia="仿宋" w:cs="仿宋"/>
                <w:kern w:val="0"/>
                <w:szCs w:val="21"/>
              </w:rPr>
              <w:t>伦理委员会秘书初步形式审查，根据项目特点，选择两位主审委员</w:t>
            </w:r>
            <w:r>
              <w:rPr>
                <w:rFonts w:hint="eastAsia" w:ascii="仿宋" w:hAnsi="仿宋" w:eastAsia="仿宋" w:cs="仿宋"/>
                <w:kern w:val="0"/>
                <w:szCs w:val="21"/>
                <w:lang w:val="en-US" w:eastAsia="zh-CN"/>
              </w:rPr>
              <w:t>--</w:t>
            </w:r>
            <w:r>
              <w:rPr>
                <w:rFonts w:hint="eastAsia" w:ascii="仿宋" w:hAnsi="仿宋" w:eastAsia="仿宋" w:cs="仿宋"/>
                <w:kern w:val="0"/>
                <w:szCs w:val="21"/>
              </w:rPr>
              <w:t>快速审查</w:t>
            </w:r>
            <w:r>
              <w:rPr>
                <w:rFonts w:hint="eastAsia" w:ascii="仿宋" w:hAnsi="仿宋" w:eastAsia="仿宋" w:cs="仿宋"/>
                <w:kern w:val="0"/>
                <w:szCs w:val="21"/>
                <w:lang w:val="en-US" w:eastAsia="zh-CN"/>
              </w:rPr>
              <w:t>--</w:t>
            </w:r>
            <w:r>
              <w:rPr>
                <w:rFonts w:hint="eastAsia" w:ascii="仿宋" w:hAnsi="仿宋" w:eastAsia="仿宋" w:cs="仿宋"/>
                <w:kern w:val="0"/>
                <w:szCs w:val="21"/>
              </w:rPr>
              <w:t>委员审核</w:t>
            </w:r>
            <w:r>
              <w:rPr>
                <w:rFonts w:hint="eastAsia" w:ascii="仿宋" w:hAnsi="仿宋" w:eastAsia="仿宋" w:cs="仿宋"/>
                <w:kern w:val="0"/>
                <w:szCs w:val="21"/>
                <w:lang w:val="en-US" w:eastAsia="zh-CN"/>
              </w:rPr>
              <w:t>--</w:t>
            </w:r>
            <w:r>
              <w:rPr>
                <w:rFonts w:hint="eastAsia" w:ascii="仿宋" w:hAnsi="仿宋" w:eastAsia="仿宋" w:cs="仿宋"/>
                <w:kern w:val="0"/>
                <w:szCs w:val="21"/>
              </w:rPr>
              <w:t>形成快审主审综合意见</w:t>
            </w:r>
            <w:r>
              <w:rPr>
                <w:rFonts w:hint="eastAsia" w:ascii="仿宋" w:hAnsi="仿宋" w:eastAsia="仿宋" w:cs="仿宋"/>
                <w:kern w:val="0"/>
                <w:szCs w:val="21"/>
                <w:lang w:val="en-US" w:eastAsia="zh-CN"/>
              </w:rPr>
              <w:t>--</w:t>
            </w:r>
            <w:r>
              <w:rPr>
                <w:rFonts w:hint="eastAsia" w:ascii="仿宋" w:hAnsi="仿宋" w:eastAsia="仿宋" w:cs="仿宋"/>
                <w:kern w:val="0"/>
                <w:szCs w:val="21"/>
              </w:rPr>
              <w:t>反馈意见/批件。</w:t>
            </w:r>
          </w:p>
          <w:p>
            <w:pPr>
              <w:pStyle w:val="59"/>
              <w:pageBreakBefore w:val="0"/>
              <w:widowControl w:val="0"/>
              <w:numPr>
                <w:ilvl w:val="0"/>
                <w:numId w:val="20"/>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跟踪审查：研究者递交资料至伦理委员会</w:t>
            </w:r>
            <w:r>
              <w:rPr>
                <w:rFonts w:hint="eastAsia" w:ascii="仿宋" w:hAnsi="仿宋" w:eastAsia="仿宋" w:cs="仿宋"/>
                <w:kern w:val="0"/>
                <w:szCs w:val="21"/>
                <w:lang w:val="en-US" w:eastAsia="zh-CN"/>
              </w:rPr>
              <w:t>--</w:t>
            </w:r>
            <w:r>
              <w:rPr>
                <w:rFonts w:hint="eastAsia" w:ascii="仿宋" w:hAnsi="仿宋" w:eastAsia="仿宋" w:cs="仿宋"/>
                <w:kern w:val="0"/>
                <w:szCs w:val="21"/>
              </w:rPr>
              <w:t>伦理委员会秘书初步形式审查，安全性信息材料及药检报告更新等材料由秘书审核签字，方案违背由委员审核签字</w:t>
            </w:r>
            <w:r>
              <w:rPr>
                <w:rFonts w:hint="eastAsia" w:ascii="仿宋" w:hAnsi="仿宋" w:eastAsia="仿宋" w:cs="仿宋"/>
                <w:kern w:val="0"/>
                <w:szCs w:val="21"/>
                <w:lang w:val="en-US" w:eastAsia="zh-CN"/>
              </w:rPr>
              <w:t>--</w:t>
            </w:r>
            <w:r>
              <w:rPr>
                <w:rFonts w:hint="eastAsia" w:ascii="仿宋" w:hAnsi="仿宋" w:eastAsia="仿宋" w:cs="仿宋"/>
                <w:kern w:val="0"/>
                <w:szCs w:val="21"/>
              </w:rPr>
              <w:t>会议审查</w:t>
            </w:r>
            <w:r>
              <w:rPr>
                <w:rFonts w:hint="eastAsia" w:ascii="仿宋" w:hAnsi="仿宋" w:eastAsia="仿宋" w:cs="仿宋"/>
                <w:kern w:val="0"/>
                <w:szCs w:val="21"/>
                <w:lang w:val="en-US" w:eastAsia="zh-CN"/>
              </w:rPr>
              <w:t>--</w:t>
            </w:r>
            <w:r>
              <w:rPr>
                <w:rFonts w:hint="eastAsia" w:ascii="仿宋" w:hAnsi="仿宋" w:eastAsia="仿宋" w:cs="仿宋"/>
                <w:kern w:val="0"/>
                <w:szCs w:val="21"/>
              </w:rPr>
              <w:t>委员投票</w:t>
            </w:r>
            <w:r>
              <w:rPr>
                <w:rFonts w:hint="eastAsia" w:ascii="仿宋" w:hAnsi="仿宋" w:eastAsia="仿宋" w:cs="仿宋"/>
                <w:kern w:val="0"/>
                <w:szCs w:val="21"/>
                <w:lang w:val="en-US" w:eastAsia="zh-CN"/>
              </w:rPr>
              <w:t>--</w:t>
            </w:r>
            <w:r>
              <w:rPr>
                <w:rFonts w:hint="eastAsia" w:ascii="仿宋" w:hAnsi="仿宋" w:eastAsia="仿宋" w:cs="仿宋"/>
                <w:kern w:val="0"/>
                <w:szCs w:val="21"/>
              </w:rPr>
              <w:t>反馈意见。</w:t>
            </w:r>
          </w:p>
          <w:p>
            <w:pPr>
              <w:pStyle w:val="59"/>
              <w:pageBreakBefore w:val="0"/>
              <w:widowControl w:val="0"/>
              <w:numPr>
                <w:ilvl w:val="0"/>
                <w:numId w:val="20"/>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SAE（严重不良事件）督察：伦理秘书定期整理可能与试验有关及死亡SAE</w:t>
            </w:r>
            <w:r>
              <w:rPr>
                <w:rFonts w:hint="eastAsia" w:ascii="仿宋" w:hAnsi="仿宋" w:eastAsia="仿宋" w:cs="仿宋"/>
                <w:kern w:val="0"/>
                <w:szCs w:val="21"/>
                <w:lang w:val="en-US" w:eastAsia="zh-CN"/>
              </w:rPr>
              <w:t>--</w:t>
            </w:r>
            <w:r>
              <w:rPr>
                <w:rFonts w:hint="eastAsia" w:ascii="仿宋" w:hAnsi="仿宋" w:eastAsia="仿宋" w:cs="仿宋"/>
                <w:kern w:val="0"/>
                <w:szCs w:val="21"/>
              </w:rPr>
              <w:t>请两位委员审核发生SAE受试者相关病历、知情同意书等</w:t>
            </w:r>
            <w:r>
              <w:rPr>
                <w:rFonts w:hint="eastAsia" w:ascii="仿宋" w:hAnsi="仿宋" w:eastAsia="仿宋" w:cs="仿宋"/>
                <w:kern w:val="0"/>
                <w:szCs w:val="21"/>
                <w:lang w:val="en-US" w:eastAsia="zh-CN"/>
              </w:rPr>
              <w:t>--</w:t>
            </w:r>
            <w:r>
              <w:rPr>
                <w:rFonts w:hint="eastAsia" w:ascii="仿宋" w:hAnsi="仿宋" w:eastAsia="仿宋" w:cs="仿宋"/>
                <w:kern w:val="0"/>
                <w:szCs w:val="21"/>
              </w:rPr>
              <w:t>提出审核意见</w:t>
            </w:r>
            <w:r>
              <w:rPr>
                <w:rFonts w:hint="eastAsia" w:ascii="仿宋" w:hAnsi="仿宋" w:eastAsia="仿宋" w:cs="仿宋"/>
                <w:kern w:val="0"/>
                <w:szCs w:val="21"/>
                <w:lang w:val="en-US" w:eastAsia="zh-CN"/>
              </w:rPr>
              <w:t>--</w:t>
            </w:r>
            <w:r>
              <w:rPr>
                <w:rFonts w:hint="eastAsia" w:ascii="仿宋" w:hAnsi="仿宋" w:eastAsia="仿宋" w:cs="仿宋"/>
                <w:kern w:val="0"/>
                <w:szCs w:val="21"/>
              </w:rPr>
              <w:t>反馈专业。</w:t>
            </w:r>
          </w:p>
          <w:p>
            <w:pPr>
              <w:pStyle w:val="59"/>
              <w:pageBreakBefore w:val="0"/>
              <w:widowControl w:val="0"/>
              <w:numPr>
                <w:ilvl w:val="0"/>
                <w:numId w:val="20"/>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年度审查：伦理秘书每月对需年度定期跟踪审查项目进行跟踪，对随访中的在研项目提出需递交年度定期跟踪审查材料</w:t>
            </w:r>
            <w:r>
              <w:rPr>
                <w:rFonts w:hint="eastAsia" w:ascii="仿宋" w:hAnsi="仿宋" w:eastAsia="仿宋" w:cs="仿宋"/>
                <w:kern w:val="0"/>
                <w:szCs w:val="21"/>
                <w:lang w:val="en-US" w:eastAsia="zh-CN"/>
              </w:rPr>
              <w:t>--</w:t>
            </w:r>
            <w:r>
              <w:rPr>
                <w:rFonts w:hint="eastAsia" w:ascii="仿宋" w:hAnsi="仿宋" w:eastAsia="仿宋" w:cs="仿宋"/>
                <w:kern w:val="0"/>
                <w:szCs w:val="21"/>
              </w:rPr>
              <w:t>资料符合要求送审</w:t>
            </w:r>
            <w:r>
              <w:rPr>
                <w:rFonts w:hint="eastAsia" w:ascii="仿宋" w:hAnsi="仿宋" w:eastAsia="仿宋" w:cs="仿宋"/>
                <w:kern w:val="0"/>
                <w:szCs w:val="21"/>
                <w:lang w:val="en-US" w:eastAsia="zh-CN"/>
              </w:rPr>
              <w:t>--</w:t>
            </w:r>
            <w:r>
              <w:rPr>
                <w:rFonts w:hint="eastAsia" w:ascii="仿宋" w:hAnsi="仿宋" w:eastAsia="仿宋" w:cs="仿宋"/>
                <w:kern w:val="0"/>
                <w:szCs w:val="21"/>
              </w:rPr>
              <w:t>委员审核</w:t>
            </w:r>
            <w:r>
              <w:rPr>
                <w:rFonts w:hint="eastAsia" w:ascii="仿宋" w:hAnsi="仿宋" w:eastAsia="仿宋" w:cs="仿宋"/>
                <w:kern w:val="0"/>
                <w:szCs w:val="21"/>
                <w:lang w:val="en-US" w:eastAsia="zh-CN"/>
              </w:rPr>
              <w:t>--</w:t>
            </w:r>
            <w:r>
              <w:rPr>
                <w:rFonts w:hint="eastAsia" w:ascii="仿宋" w:hAnsi="仿宋" w:eastAsia="仿宋" w:cs="仿宋"/>
                <w:kern w:val="0"/>
                <w:szCs w:val="21"/>
              </w:rPr>
              <w:t>反馈签字。</w:t>
            </w:r>
          </w:p>
          <w:p>
            <w:pPr>
              <w:pStyle w:val="59"/>
              <w:pageBreakBefore w:val="0"/>
              <w:widowControl w:val="0"/>
              <w:numPr>
                <w:ilvl w:val="0"/>
                <w:numId w:val="20"/>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结题审查：研究者递交资料至伦理委员会</w:t>
            </w:r>
            <w:r>
              <w:rPr>
                <w:rFonts w:hint="eastAsia" w:ascii="仿宋" w:hAnsi="仿宋" w:eastAsia="仿宋" w:cs="仿宋"/>
                <w:kern w:val="0"/>
                <w:szCs w:val="21"/>
                <w:lang w:val="en-US" w:eastAsia="zh-CN"/>
              </w:rPr>
              <w:t>--</w:t>
            </w:r>
            <w:r>
              <w:rPr>
                <w:rFonts w:hint="eastAsia" w:ascii="仿宋" w:hAnsi="仿宋" w:eastAsia="仿宋" w:cs="仿宋"/>
                <w:kern w:val="0"/>
                <w:szCs w:val="21"/>
              </w:rPr>
              <w:t>伦理委员会秘书初步形式审查结题报告及临床试验结束函，资料符合要求</w:t>
            </w:r>
            <w:r>
              <w:rPr>
                <w:rFonts w:hint="eastAsia" w:ascii="仿宋" w:hAnsi="仿宋" w:eastAsia="仿宋" w:cs="仿宋"/>
                <w:kern w:val="0"/>
                <w:szCs w:val="21"/>
                <w:lang w:val="en-US" w:eastAsia="zh-CN"/>
              </w:rPr>
              <w:t>--</w:t>
            </w:r>
            <w:r>
              <w:rPr>
                <w:rFonts w:hint="eastAsia" w:ascii="仿宋" w:hAnsi="仿宋" w:eastAsia="仿宋" w:cs="仿宋"/>
                <w:kern w:val="0"/>
                <w:szCs w:val="21"/>
              </w:rPr>
              <w:t>送委员审核</w:t>
            </w:r>
            <w:r>
              <w:rPr>
                <w:rFonts w:hint="eastAsia" w:ascii="仿宋" w:hAnsi="仿宋" w:eastAsia="仿宋" w:cs="仿宋"/>
                <w:kern w:val="0"/>
                <w:szCs w:val="21"/>
                <w:lang w:val="en-US" w:eastAsia="zh-CN"/>
              </w:rPr>
              <w:t>--</w:t>
            </w:r>
            <w:r>
              <w:rPr>
                <w:rFonts w:hint="eastAsia" w:ascii="仿宋" w:hAnsi="仿宋" w:eastAsia="仿宋" w:cs="仿宋"/>
                <w:kern w:val="0"/>
                <w:szCs w:val="21"/>
              </w:rPr>
              <w:t>反馈意见。</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kern w:val="0"/>
                <w:szCs w:val="21"/>
              </w:rPr>
              <w:t>伦理材料递交受理：</w:t>
            </w:r>
            <w:r>
              <w:rPr>
                <w:rFonts w:hint="eastAsia" w:ascii="仿宋" w:hAnsi="仿宋" w:eastAsia="仿宋" w:cs="仿宋"/>
                <w:b w:val="0"/>
                <w:kern w:val="0"/>
                <w:szCs w:val="21"/>
              </w:rPr>
              <w:t>支持申办方在线递交审查文件，伦理秘书在线形式审查送审文件，下达受理或重新提交通知，并提醒申办方缴纳伦理费用，在线上传缴费凭证。</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szCs w:val="21"/>
              </w:rPr>
            </w:pPr>
            <w:r>
              <w:rPr>
                <w:rFonts w:hint="eastAsia" w:ascii="仿宋" w:hAnsi="仿宋" w:eastAsia="仿宋" w:cs="仿宋"/>
                <w:kern w:val="0"/>
                <w:szCs w:val="21"/>
              </w:rPr>
              <w:t>伦理材料预审处理：</w:t>
            </w:r>
            <w:r>
              <w:rPr>
                <w:rFonts w:hint="eastAsia" w:ascii="仿宋" w:hAnsi="仿宋" w:eastAsia="仿宋" w:cs="仿宋"/>
                <w:b w:val="0"/>
                <w:kern w:val="0"/>
                <w:szCs w:val="21"/>
              </w:rPr>
              <w:t>支持伦理秘书在线选择伦理委员预审并填写预审意见，可选主审委员或独立顾问在线审查，</w:t>
            </w:r>
            <w:r>
              <w:rPr>
                <w:rFonts w:hint="eastAsia" w:ascii="仿宋" w:hAnsi="仿宋" w:eastAsia="仿宋" w:cs="仿宋"/>
                <w:b w:val="0"/>
                <w:kern w:val="0"/>
                <w:szCs w:val="21"/>
                <w:lang w:eastAsia="zh-CN"/>
              </w:rPr>
              <w:t>具备修改</w:t>
            </w:r>
            <w:r>
              <w:rPr>
                <w:rFonts w:hint="eastAsia" w:ascii="仿宋" w:hAnsi="仿宋" w:eastAsia="仿宋" w:cs="仿宋"/>
                <w:b w:val="0"/>
                <w:kern w:val="0"/>
                <w:szCs w:val="21"/>
              </w:rPr>
              <w:t>委员名单</w:t>
            </w:r>
            <w:r>
              <w:rPr>
                <w:rFonts w:hint="eastAsia" w:ascii="仿宋" w:hAnsi="仿宋" w:eastAsia="仿宋" w:cs="仿宋"/>
                <w:b w:val="0"/>
                <w:kern w:val="0"/>
                <w:szCs w:val="21"/>
                <w:lang w:eastAsia="zh-CN"/>
              </w:rPr>
              <w:t>功能</w:t>
            </w:r>
            <w:r>
              <w:rPr>
                <w:rFonts w:hint="eastAsia" w:ascii="仿宋" w:hAnsi="仿宋" w:eastAsia="仿宋" w:cs="仿宋"/>
                <w:b w:val="0"/>
                <w:kern w:val="0"/>
                <w:szCs w:val="21"/>
              </w:rPr>
              <w:t>。</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kern w:val="0"/>
                <w:szCs w:val="21"/>
              </w:rPr>
              <w:t>伦理材料审查：</w:t>
            </w:r>
            <w:r>
              <w:rPr>
                <w:rFonts w:hint="eastAsia" w:ascii="仿宋" w:hAnsi="仿宋" w:eastAsia="仿宋" w:cs="仿宋"/>
                <w:b w:val="0"/>
                <w:kern w:val="0"/>
                <w:szCs w:val="21"/>
              </w:rPr>
              <w:t>支持伦理秘书在线安排伦理会议日程和议程，并按快审通报和上会审查两类导出议程安排，通知参会委员。</w:t>
            </w:r>
          </w:p>
          <w:p>
            <w:pPr>
              <w:pStyle w:val="59"/>
              <w:pageBreakBefore w:val="0"/>
              <w:widowControl w:val="0"/>
              <w:numPr>
                <w:ilvl w:val="0"/>
                <w:numId w:val="21"/>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支持快审、会审、紧急会议等审查方式：</w:t>
            </w:r>
          </w:p>
          <w:p>
            <w:pPr>
              <w:pStyle w:val="59"/>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会议审查由主审委员/独立顾问在线提前预审填写意见，由伦理秘书安排审查会议，在会议上由伦理委员充分讨论和投票表决，最终形成统一审查意见/批件发送申办方。</w:t>
            </w:r>
          </w:p>
          <w:p>
            <w:pPr>
              <w:pStyle w:val="59"/>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快速审查由主审委员/独立顾问在线预审，伦理秘书安排审查会议，在会议上作为通告项由伦理秘书向伦理委员通告快审结果，形成统一审查意见/批件。</w:t>
            </w:r>
          </w:p>
          <w:p>
            <w:pPr>
              <w:pStyle w:val="59"/>
              <w:pageBreakBefore w:val="0"/>
              <w:widowControl w:val="0"/>
              <w:numPr>
                <w:ilvl w:val="0"/>
                <w:numId w:val="21"/>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线下伦理会支持伦理委员在线查看项目资料，完成审查投票。并将审查意见自动汇总到伦理秘书处，形成支持导出的会议纪要。伦理秘书汇总后下发批件/审查意见。</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bCs w:val="0"/>
                <w:kern w:val="0"/>
                <w:szCs w:val="21"/>
              </w:rPr>
            </w:pPr>
            <w:r>
              <w:rPr>
                <w:rFonts w:hint="eastAsia" w:ascii="仿宋" w:hAnsi="仿宋" w:eastAsia="仿宋" w:cs="仿宋"/>
                <w:kern w:val="0"/>
                <w:szCs w:val="21"/>
              </w:rPr>
              <w:t>伦理机构信息按权限共享：</w:t>
            </w:r>
            <w:r>
              <w:rPr>
                <w:rFonts w:hint="eastAsia" w:ascii="仿宋" w:hAnsi="仿宋" w:eastAsia="仿宋" w:cs="仿宋"/>
                <w:b w:val="0"/>
                <w:bCs w:val="0"/>
                <w:kern w:val="0"/>
                <w:szCs w:val="21"/>
              </w:rPr>
              <w:t>伦理模块与机构管理之间</w:t>
            </w:r>
            <w:r>
              <w:rPr>
                <w:rFonts w:hint="eastAsia" w:ascii="仿宋" w:hAnsi="仿宋" w:eastAsia="仿宋" w:cs="仿宋"/>
                <w:b w:val="0"/>
                <w:bCs w:val="0"/>
                <w:kern w:val="0"/>
                <w:szCs w:val="21"/>
                <w:lang w:eastAsia="zh-CN"/>
              </w:rPr>
              <w:t>应</w:t>
            </w:r>
            <w:r>
              <w:rPr>
                <w:rFonts w:hint="eastAsia" w:ascii="仿宋" w:hAnsi="仿宋" w:eastAsia="仿宋" w:cs="仿宋"/>
                <w:b w:val="0"/>
                <w:bCs w:val="0"/>
                <w:kern w:val="0"/>
                <w:szCs w:val="21"/>
              </w:rPr>
              <w:t>共享项目的进展情况，伦理审查情况等。</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Cs w:val="0"/>
                <w:szCs w:val="21"/>
              </w:rPr>
            </w:pPr>
            <w:r>
              <w:rPr>
                <w:rFonts w:hint="eastAsia" w:ascii="仿宋" w:hAnsi="仿宋" w:eastAsia="仿宋" w:cs="仿宋"/>
                <w:bCs w:val="0"/>
                <w:kern w:val="0"/>
                <w:szCs w:val="21"/>
              </w:rPr>
              <w:t>伦理数据统计：</w:t>
            </w:r>
          </w:p>
          <w:p>
            <w:pPr>
              <w:pStyle w:val="59"/>
              <w:pageBreakBefore w:val="0"/>
              <w:widowControl w:val="0"/>
              <w:numPr>
                <w:ilvl w:val="0"/>
                <w:numId w:val="22"/>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支持对伦理委员年度审查项目数、伦理会议出勤情况统计。</w:t>
            </w:r>
          </w:p>
          <w:p>
            <w:pPr>
              <w:pStyle w:val="59"/>
              <w:pageBreakBefore w:val="0"/>
              <w:widowControl w:val="0"/>
              <w:numPr>
                <w:ilvl w:val="0"/>
                <w:numId w:val="22"/>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bCs/>
                <w:kern w:val="0"/>
                <w:szCs w:val="21"/>
              </w:rPr>
              <w:t>支持分区段统计相关信息数量，支持伦理委员会年度工作报告中要求统计的基本信息内容。</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bCs w:val="0"/>
                <w:kern w:val="0"/>
                <w:szCs w:val="21"/>
              </w:rPr>
            </w:pPr>
            <w:r>
              <w:rPr>
                <w:rFonts w:hint="eastAsia" w:ascii="仿宋" w:hAnsi="仿宋" w:eastAsia="仿宋" w:cs="仿宋"/>
                <w:kern w:val="0"/>
                <w:szCs w:val="21"/>
              </w:rPr>
              <w:t>伦理委员管理：</w:t>
            </w:r>
            <w:r>
              <w:rPr>
                <w:rFonts w:hint="eastAsia" w:ascii="仿宋" w:hAnsi="仿宋" w:eastAsia="仿宋" w:cs="仿宋"/>
                <w:b w:val="0"/>
                <w:bCs w:val="0"/>
                <w:kern w:val="0"/>
                <w:szCs w:val="21"/>
              </w:rPr>
              <w:t>提供伦理委员管理功能，委员资料、委任日期更新等提醒功能。</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bCs w:val="0"/>
                <w:kern w:val="0"/>
                <w:szCs w:val="21"/>
              </w:rPr>
              <w:t>伦理委员签名：</w:t>
            </w:r>
            <w:r>
              <w:rPr>
                <w:rFonts w:hint="eastAsia" w:ascii="仿宋" w:hAnsi="仿宋" w:eastAsia="仿宋" w:cs="仿宋"/>
                <w:b w:val="0"/>
                <w:kern w:val="0"/>
                <w:szCs w:val="21"/>
              </w:rPr>
              <w:t>支持伦理委员电子签名，导出已签名的文件。</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bCs w:val="0"/>
                <w:kern w:val="0"/>
                <w:szCs w:val="21"/>
              </w:rPr>
              <w:t>伦理费用管理：</w:t>
            </w:r>
            <w:r>
              <w:rPr>
                <w:rFonts w:hint="eastAsia" w:ascii="仿宋" w:hAnsi="仿宋" w:eastAsia="仿宋" w:cs="仿宋"/>
                <w:b w:val="0"/>
                <w:kern w:val="0"/>
                <w:szCs w:val="21"/>
              </w:rPr>
              <w:t>支持伦理费用审批管理。</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kern w:val="0"/>
                <w:szCs w:val="21"/>
              </w:rPr>
              <w:t>标准化工作流程：</w:t>
            </w:r>
            <w:r>
              <w:rPr>
                <w:rFonts w:hint="eastAsia" w:ascii="仿宋" w:hAnsi="仿宋" w:eastAsia="仿宋" w:cs="仿宋"/>
                <w:b w:val="0"/>
                <w:kern w:val="0"/>
                <w:szCs w:val="21"/>
              </w:rPr>
              <w:t>系统预置工作流引擎和国际一流医院伦理标准流程。支持根据医院伦理SOP和表单字段灵活配置以及节点依赖如立项完成后进行伦理初始审查申请，项目启动后开始修正案、方案违背、不良事件审查申请。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83" w:type="dxa"/>
            <w:vMerge w:val="continue"/>
            <w:vAlign w:val="center"/>
          </w:tcPr>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szCs w:val="21"/>
              </w:rPr>
            </w:pPr>
          </w:p>
        </w:tc>
        <w:tc>
          <w:tcPr>
            <w:tcW w:w="1182" w:type="dxa"/>
            <w:vAlign w:val="center"/>
          </w:tcPr>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rPr>
            </w:pPr>
            <w:r>
              <w:rPr>
                <w:rFonts w:hint="eastAsia" w:ascii="仿宋" w:hAnsi="仿宋" w:eastAsia="仿宋" w:cs="仿宋"/>
                <w:b/>
                <w:szCs w:val="21"/>
              </w:rPr>
              <w:t>3.  临床试验文档管理</w:t>
            </w:r>
          </w:p>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rPr>
            </w:pPr>
          </w:p>
        </w:tc>
        <w:tc>
          <w:tcPr>
            <w:tcW w:w="7398" w:type="dxa"/>
            <w:vAlign w:val="center"/>
          </w:tcPr>
          <w:p>
            <w:pPr>
              <w:pStyle w:val="59"/>
              <w:keepNext/>
              <w:keepLines/>
              <w:pageBreakBefore w:val="0"/>
              <w:widowControl w:val="0"/>
              <w:numPr>
                <w:ilvl w:val="0"/>
                <w:numId w:val="9"/>
              </w:numPr>
              <w:kinsoku/>
              <w:wordWrap/>
              <w:overflowPunct/>
              <w:topLinePunct w:val="0"/>
              <w:autoSpaceDE/>
              <w:autoSpaceDN/>
              <w:bidi w:val="0"/>
              <w:spacing w:line="360" w:lineRule="auto"/>
              <w:ind w:left="0" w:firstLine="422" w:firstLineChars="200"/>
              <w:textAlignment w:val="auto"/>
              <w:outlineLvl w:val="2"/>
              <w:rPr>
                <w:rFonts w:hint="eastAsia" w:ascii="仿宋" w:hAnsi="仿宋" w:eastAsia="仿宋" w:cs="仿宋"/>
                <w:b/>
                <w:vanish/>
                <w:kern w:val="0"/>
                <w:szCs w:val="21"/>
              </w:rPr>
            </w:pPr>
          </w:p>
          <w:p>
            <w:pPr>
              <w:keepNext/>
              <w:keepLines/>
              <w:pageBreakBefore w:val="0"/>
              <w:widowControl w:val="0"/>
              <w:numPr>
                <w:ilvl w:val="1"/>
                <w:numId w:val="9"/>
              </w:numPr>
              <w:kinsoku/>
              <w:wordWrap/>
              <w:overflowPunct/>
              <w:topLinePunct w:val="0"/>
              <w:autoSpaceDE/>
              <w:autoSpaceDN/>
              <w:bidi w:val="0"/>
              <w:spacing w:line="360" w:lineRule="auto"/>
              <w:ind w:left="0" w:firstLine="422" w:firstLineChars="200"/>
              <w:jc w:val="both"/>
              <w:textAlignment w:val="auto"/>
              <w:outlineLvl w:val="2"/>
              <w:rPr>
                <w:rFonts w:hint="eastAsia" w:ascii="仿宋" w:hAnsi="仿宋" w:eastAsia="仿宋" w:cs="仿宋"/>
                <w:bCs/>
                <w:szCs w:val="21"/>
              </w:rPr>
            </w:pPr>
            <w:r>
              <w:rPr>
                <w:rFonts w:hint="eastAsia" w:ascii="仿宋" w:hAnsi="仿宋" w:eastAsia="仿宋" w:cs="仿宋"/>
                <w:b/>
                <w:szCs w:val="21"/>
              </w:rPr>
              <w:t>文档</w:t>
            </w:r>
            <w:r>
              <w:rPr>
                <w:rFonts w:hint="eastAsia" w:ascii="仿宋" w:hAnsi="仿宋" w:eastAsia="仿宋" w:cs="仿宋"/>
                <w:b/>
                <w:bCs/>
                <w:szCs w:val="21"/>
              </w:rPr>
              <w:t>管理：</w:t>
            </w:r>
            <w:r>
              <w:rPr>
                <w:rFonts w:hint="eastAsia" w:ascii="仿宋" w:hAnsi="仿宋" w:eastAsia="仿宋" w:cs="仿宋"/>
                <w:bCs/>
                <w:szCs w:val="21"/>
              </w:rPr>
              <w:t>分项目文件夹、机构/伦理文件夹，均支持根据医院SOP做自定义配置如文件目录等。</w:t>
            </w:r>
          </w:p>
          <w:p>
            <w:pPr>
              <w:pageBreakBefore w:val="0"/>
              <w:widowControl w:val="0"/>
              <w:numPr>
                <w:ilvl w:val="0"/>
                <w:numId w:val="23"/>
              </w:numPr>
              <w:kinsoku/>
              <w:wordWrap/>
              <w:overflowPunct/>
              <w:topLinePunct w:val="0"/>
              <w:autoSpaceDE/>
              <w:autoSpaceDN/>
              <w:bidi w:val="0"/>
              <w:spacing w:line="360" w:lineRule="auto"/>
              <w:ind w:left="0" w:firstLine="420" w:firstLineChars="200"/>
              <w:jc w:val="both"/>
              <w:textAlignment w:val="auto"/>
              <w:rPr>
                <w:rFonts w:hint="eastAsia" w:ascii="仿宋" w:hAnsi="仿宋" w:eastAsia="仿宋" w:cs="仿宋"/>
                <w:szCs w:val="21"/>
              </w:rPr>
            </w:pPr>
            <w:r>
              <w:rPr>
                <w:rFonts w:hint="eastAsia" w:ascii="仿宋" w:hAnsi="仿宋" w:eastAsia="仿宋" w:cs="仿宋"/>
                <w:szCs w:val="21"/>
              </w:rPr>
              <w:t>支持文档视图，查看文档明细，根据权限做修改编辑，修改时所有文档均支持版本号、版本日期，操作留痕。</w:t>
            </w:r>
          </w:p>
          <w:p>
            <w:pPr>
              <w:pageBreakBefore w:val="0"/>
              <w:widowControl w:val="0"/>
              <w:numPr>
                <w:ilvl w:val="0"/>
                <w:numId w:val="23"/>
              </w:numPr>
              <w:kinsoku/>
              <w:wordWrap/>
              <w:overflowPunct/>
              <w:topLinePunct w:val="0"/>
              <w:autoSpaceDE/>
              <w:autoSpaceDN/>
              <w:bidi w:val="0"/>
              <w:spacing w:line="360" w:lineRule="auto"/>
              <w:ind w:left="0" w:firstLine="420" w:firstLineChars="200"/>
              <w:jc w:val="both"/>
              <w:textAlignment w:val="auto"/>
              <w:rPr>
                <w:rFonts w:hint="eastAsia" w:ascii="仿宋" w:hAnsi="仿宋" w:eastAsia="仿宋" w:cs="仿宋"/>
                <w:szCs w:val="21"/>
              </w:rPr>
            </w:pPr>
            <w:r>
              <w:rPr>
                <w:rFonts w:hint="eastAsia" w:ascii="仿宋" w:hAnsi="仿宋" w:eastAsia="仿宋" w:cs="仿宋"/>
                <w:szCs w:val="21"/>
              </w:rPr>
              <w:t>支持用户对文档进行搜索、打标，查看编辑，文档管理按项目、用户分权限可配，数据保存超过5年。</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kern w:val="0"/>
                <w:szCs w:val="21"/>
              </w:rPr>
            </w:pPr>
            <w:r>
              <w:rPr>
                <w:rFonts w:hint="eastAsia" w:ascii="仿宋" w:hAnsi="仿宋" w:eastAsia="仿宋" w:cs="仿宋"/>
                <w:kern w:val="0"/>
                <w:szCs w:val="21"/>
              </w:rPr>
              <w:t>项目文件夹：</w:t>
            </w:r>
            <w:r>
              <w:rPr>
                <w:rFonts w:hint="eastAsia" w:ascii="仿宋" w:hAnsi="仿宋" w:eastAsia="仿宋" w:cs="仿宋"/>
                <w:b w:val="0"/>
                <w:kern w:val="0"/>
                <w:szCs w:val="21"/>
              </w:rPr>
              <w:t>项目文件夹文档目录要求根据GCP规范构建，包括立项表、研究方案、知情同意书、研究者手册、财务文件、药品管理文件、质量管理文件、沟通文件等，支持自定义扩展添加。</w:t>
            </w:r>
          </w:p>
          <w:p>
            <w:pPr>
              <w:pStyle w:val="59"/>
              <w:pageBreakBefore w:val="0"/>
              <w:widowControl w:val="0"/>
              <w:numPr>
                <w:ilvl w:val="0"/>
                <w:numId w:val="24"/>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支持项目、伦理流程中涉及的资料清单配置，并与项目文档目录关联，完成资料的自动同步归档，且支持手工归档上传，编辑修改。</w:t>
            </w:r>
          </w:p>
          <w:p>
            <w:pPr>
              <w:pStyle w:val="59"/>
              <w:pageBreakBefore w:val="0"/>
              <w:widowControl w:val="0"/>
              <w:numPr>
                <w:ilvl w:val="0"/>
                <w:numId w:val="24"/>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支持机构归档明细表录入归档文件信息，并定位归档柜号位置。</w:t>
            </w:r>
          </w:p>
          <w:p>
            <w:pPr>
              <w:pStyle w:val="59"/>
              <w:pageBreakBefore w:val="0"/>
              <w:widowControl w:val="0"/>
              <w:numPr>
                <w:ilvl w:val="0"/>
                <w:numId w:val="24"/>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试验资料归档后，设置归档资料的储存管理、借阅登记、到期提醒及归档资料的处置管理等功能。</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kern w:val="0"/>
                <w:szCs w:val="21"/>
              </w:rPr>
              <w:t>机构/伦理文件夹：</w:t>
            </w:r>
            <w:r>
              <w:rPr>
                <w:rFonts w:hint="eastAsia" w:ascii="仿宋" w:hAnsi="仿宋" w:eastAsia="仿宋" w:cs="仿宋"/>
                <w:b w:val="0"/>
                <w:kern w:val="0"/>
                <w:szCs w:val="21"/>
              </w:rPr>
              <w:t>由机构和伦理授权人员维护，支持上传维护管理SOP、设备检定证书、正常值范围等资料。相关资料可根据项目需要授权相关人员查询、更新、下载、打印。</w:t>
            </w:r>
          </w:p>
          <w:p>
            <w:pPr>
              <w:pStyle w:val="59"/>
              <w:pageBreakBefore w:val="0"/>
              <w:widowControl w:val="0"/>
              <w:numPr>
                <w:ilvl w:val="0"/>
                <w:numId w:val="25"/>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rPr>
            </w:pPr>
            <w:r>
              <w:rPr>
                <w:rFonts w:hint="eastAsia" w:ascii="仿宋" w:hAnsi="仿宋" w:eastAsia="仿宋" w:cs="仿宋"/>
                <w:szCs w:val="21"/>
              </w:rPr>
              <w:t>支持SOP设计的文档表单定制导出。</w:t>
            </w:r>
          </w:p>
          <w:p>
            <w:pPr>
              <w:pStyle w:val="59"/>
              <w:pageBreakBefore w:val="0"/>
              <w:widowControl w:val="0"/>
              <w:numPr>
                <w:ilvl w:val="0"/>
                <w:numId w:val="25"/>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rPr>
            </w:pPr>
            <w:r>
              <w:rPr>
                <w:rFonts w:hint="eastAsia" w:ascii="仿宋" w:hAnsi="仿宋" w:eastAsia="仿宋" w:cs="仿宋"/>
                <w:szCs w:val="21"/>
              </w:rPr>
              <w:t>支持统计管理制度、SOP及设计规范修订频次、修订内容。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83" w:type="dxa"/>
            <w:vMerge w:val="continue"/>
            <w:vAlign w:val="center"/>
          </w:tcPr>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szCs w:val="21"/>
              </w:rPr>
            </w:pPr>
          </w:p>
        </w:tc>
        <w:tc>
          <w:tcPr>
            <w:tcW w:w="1182" w:type="dxa"/>
            <w:vAlign w:val="center"/>
          </w:tcPr>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rPr>
            </w:pPr>
            <w:r>
              <w:rPr>
                <w:rFonts w:hint="eastAsia" w:ascii="仿宋" w:hAnsi="仿宋" w:eastAsia="仿宋" w:cs="仿宋"/>
                <w:b/>
                <w:szCs w:val="21"/>
              </w:rPr>
              <w:t>4.  临床试验财务管理</w:t>
            </w:r>
          </w:p>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szCs w:val="21"/>
              </w:rPr>
            </w:pPr>
          </w:p>
        </w:tc>
        <w:tc>
          <w:tcPr>
            <w:tcW w:w="7398" w:type="dxa"/>
            <w:vAlign w:val="center"/>
          </w:tcPr>
          <w:p>
            <w:pPr>
              <w:pStyle w:val="59"/>
              <w:keepNext/>
              <w:keepLines/>
              <w:pageBreakBefore w:val="0"/>
              <w:widowControl w:val="0"/>
              <w:numPr>
                <w:ilvl w:val="0"/>
                <w:numId w:val="9"/>
              </w:numPr>
              <w:kinsoku/>
              <w:wordWrap/>
              <w:overflowPunct/>
              <w:topLinePunct w:val="0"/>
              <w:autoSpaceDE/>
              <w:autoSpaceDN/>
              <w:bidi w:val="0"/>
              <w:spacing w:line="360" w:lineRule="auto"/>
              <w:ind w:left="0" w:firstLine="422" w:firstLineChars="200"/>
              <w:textAlignment w:val="auto"/>
              <w:outlineLvl w:val="2"/>
              <w:rPr>
                <w:rFonts w:hint="eastAsia" w:ascii="仿宋" w:hAnsi="仿宋" w:eastAsia="仿宋" w:cs="仿宋"/>
                <w:b/>
                <w:bCs/>
                <w:vanish/>
                <w:kern w:val="0"/>
                <w:szCs w:val="21"/>
              </w:rPr>
            </w:pP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kern w:val="0"/>
                <w:szCs w:val="21"/>
              </w:rPr>
              <w:t>合同管理：</w:t>
            </w:r>
            <w:r>
              <w:rPr>
                <w:rFonts w:hint="eastAsia" w:ascii="仿宋" w:hAnsi="仿宋" w:eastAsia="仿宋" w:cs="仿宋"/>
                <w:b w:val="0"/>
                <w:kern w:val="0"/>
                <w:szCs w:val="21"/>
              </w:rPr>
              <w:t>支持申办方/CRO发起合同/协议审批，研究者、机构、财务、律师等管理人员审批，形成最终合同/协议。所有项目合同/协议由机构统一管理。</w:t>
            </w:r>
          </w:p>
          <w:p>
            <w:pPr>
              <w:pStyle w:val="59"/>
              <w:pageBreakBefore w:val="0"/>
              <w:widowControl w:val="0"/>
              <w:numPr>
                <w:ilvl w:val="0"/>
                <w:numId w:val="26"/>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szCs w:val="21"/>
              </w:rPr>
            </w:pPr>
            <w:r>
              <w:rPr>
                <w:rFonts w:hint="eastAsia" w:ascii="仿宋" w:hAnsi="仿宋" w:eastAsia="仿宋" w:cs="仿宋"/>
                <w:szCs w:val="21"/>
              </w:rPr>
              <w:t>项目电子合同支持基本协议、补充协议、CRC协议。</w:t>
            </w:r>
          </w:p>
          <w:p>
            <w:pPr>
              <w:pStyle w:val="59"/>
              <w:pageBreakBefore w:val="0"/>
              <w:widowControl w:val="0"/>
              <w:numPr>
                <w:ilvl w:val="0"/>
                <w:numId w:val="26"/>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szCs w:val="21"/>
              </w:rPr>
            </w:pPr>
            <w:r>
              <w:rPr>
                <w:rFonts w:hint="eastAsia" w:ascii="仿宋" w:hAnsi="仿宋" w:eastAsia="仿宋" w:cs="仿宋"/>
                <w:szCs w:val="21"/>
              </w:rPr>
              <w:t>支持不同协议配置不同审批流程。</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kern w:val="0"/>
                <w:szCs w:val="21"/>
              </w:rPr>
            </w:pPr>
            <w:r>
              <w:rPr>
                <w:rFonts w:hint="eastAsia" w:ascii="仿宋" w:hAnsi="仿宋" w:eastAsia="仿宋" w:cs="仿宋"/>
                <w:kern w:val="0"/>
                <w:szCs w:val="21"/>
              </w:rPr>
              <w:t>机构/科室财务管理：</w:t>
            </w:r>
            <w:r>
              <w:rPr>
                <w:rFonts w:hint="eastAsia" w:ascii="仿宋" w:hAnsi="仿宋" w:eastAsia="仿宋" w:cs="仿宋"/>
                <w:b w:val="0"/>
                <w:kern w:val="0"/>
                <w:szCs w:val="21"/>
              </w:rPr>
              <w:t>支持研究者观察费、受试者检查费、受试者补偿费、CRC费、税费、机构管理费等费用类型和数量，支持未来类型扩展，自动计算预算报价。</w:t>
            </w:r>
          </w:p>
          <w:p>
            <w:pPr>
              <w:pStyle w:val="59"/>
              <w:pageBreakBefore w:val="0"/>
              <w:widowControl w:val="0"/>
              <w:numPr>
                <w:ilvl w:val="0"/>
                <w:numId w:val="27"/>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费用类型，扣税比例，管理费百分比，受试者例数，分阶段等可配。</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项目财务管理：</w:t>
            </w:r>
            <w:r>
              <w:rPr>
                <w:rFonts w:hint="eastAsia" w:ascii="仿宋" w:hAnsi="仿宋" w:eastAsia="仿宋" w:cs="仿宋"/>
                <w:b w:val="0"/>
                <w:kern w:val="0"/>
                <w:szCs w:val="21"/>
              </w:rPr>
              <w:t>支持项目经费自动核算，包括收费进程、到款记录、出账记录等。</w:t>
            </w:r>
          </w:p>
          <w:p>
            <w:pPr>
              <w:pStyle w:val="59"/>
              <w:pageBreakBefore w:val="0"/>
              <w:widowControl w:val="0"/>
              <w:numPr>
                <w:ilvl w:val="0"/>
                <w:numId w:val="28"/>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费用收入管理：记录申办方打款并上传凭证作为到款记录。机构根据入账记录上传电子发票，提供申办方下载。</w:t>
            </w:r>
          </w:p>
          <w:p>
            <w:pPr>
              <w:pStyle w:val="59"/>
              <w:pageBreakBefore w:val="0"/>
              <w:widowControl w:val="0"/>
              <w:numPr>
                <w:ilvl w:val="0"/>
                <w:numId w:val="28"/>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费用支出管理：记录支出费用明细，支持填写审批，导出报销单。</w:t>
            </w:r>
          </w:p>
          <w:p>
            <w:pPr>
              <w:pStyle w:val="59"/>
              <w:pageBreakBefore w:val="0"/>
              <w:widowControl w:val="0"/>
              <w:numPr>
                <w:ilvl w:val="0"/>
                <w:numId w:val="28"/>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szCs w:val="21"/>
              </w:rPr>
              <w:t>受试者检查检验费支持与HIS对接，打上临床试验项目相关标记，实现报销零计费。</w:t>
            </w:r>
          </w:p>
          <w:p>
            <w:pPr>
              <w:pStyle w:val="59"/>
              <w:pageBreakBefore w:val="0"/>
              <w:widowControl w:val="0"/>
              <w:numPr>
                <w:ilvl w:val="0"/>
                <w:numId w:val="28"/>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支持项目资金池和出入账记录统计，并配置相应角色管理查看。</w:t>
            </w:r>
          </w:p>
          <w:p>
            <w:pPr>
              <w:pStyle w:val="59"/>
              <w:pageBreakBefore w:val="0"/>
              <w:widowControl w:val="0"/>
              <w:numPr>
                <w:ilvl w:val="0"/>
                <w:numId w:val="28"/>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机构可为项目设置预警线，若项目资金池预警，自动通知申办方打款入账。</w:t>
            </w:r>
          </w:p>
          <w:p>
            <w:pPr>
              <w:pStyle w:val="59"/>
              <w:pageBreakBefore w:val="0"/>
              <w:widowControl w:val="0"/>
              <w:numPr>
                <w:ilvl w:val="0"/>
                <w:numId w:val="28"/>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支持收支明细生产月、年度报表。</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kern w:val="0"/>
                <w:szCs w:val="21"/>
              </w:rPr>
            </w:pPr>
            <w:r>
              <w:rPr>
                <w:rFonts w:hint="eastAsia" w:ascii="仿宋" w:hAnsi="仿宋" w:eastAsia="仿宋" w:cs="仿宋"/>
                <w:kern w:val="0"/>
                <w:szCs w:val="21"/>
              </w:rPr>
              <w:t>受试者零计费：</w:t>
            </w:r>
          </w:p>
          <w:p>
            <w:pPr>
              <w:pStyle w:val="59"/>
              <w:pageBreakBefore w:val="0"/>
              <w:widowControl w:val="0"/>
              <w:numPr>
                <w:ilvl w:val="0"/>
                <w:numId w:val="29"/>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支持受试者免费检验检查，医院HIS系统开具临床试验相关医嘱检查，标识后同步临床试验项目管理系统做计费统计，避免受试者免费检查套用医保二次报销。</w:t>
            </w:r>
          </w:p>
          <w:p>
            <w:pPr>
              <w:pStyle w:val="59"/>
              <w:pageBreakBefore w:val="0"/>
              <w:widowControl w:val="0"/>
              <w:numPr>
                <w:ilvl w:val="0"/>
                <w:numId w:val="29"/>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检验检查申请、相关结果报告单与医院HIS同步保存，可在系统内设置HIS医嘱字典开具次数，提醒规范研究者按照研究设计正确开具试验相关检验检查医嘱，</w:t>
            </w:r>
            <w:r>
              <w:rPr>
                <w:rFonts w:hint="eastAsia" w:ascii="仿宋" w:hAnsi="仿宋" w:eastAsia="仿宋" w:cs="仿宋"/>
                <w:kern w:val="0"/>
                <w:szCs w:val="21"/>
                <w:lang w:eastAsia="zh-CN"/>
              </w:rPr>
              <w:t>支持</w:t>
            </w:r>
            <w:r>
              <w:rPr>
                <w:rFonts w:hint="eastAsia" w:ascii="仿宋" w:hAnsi="仿宋" w:eastAsia="仿宋" w:cs="仿宋"/>
                <w:kern w:val="0"/>
                <w:szCs w:val="21"/>
              </w:rPr>
              <w:t>后期溯源。</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系统对接：</w:t>
            </w:r>
          </w:p>
          <w:p>
            <w:pPr>
              <w:pStyle w:val="59"/>
              <w:pageBreakBefore w:val="0"/>
              <w:widowControl w:val="0"/>
              <w:numPr>
                <w:ilvl w:val="0"/>
                <w:numId w:val="30"/>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rPr>
            </w:pPr>
            <w:r>
              <w:rPr>
                <w:rFonts w:hint="eastAsia" w:ascii="仿宋" w:hAnsi="仿宋" w:eastAsia="仿宋" w:cs="仿宋"/>
                <w:color w:val="auto"/>
                <w:kern w:val="0"/>
                <w:szCs w:val="21"/>
              </w:rPr>
              <w:t>支持院内HIS开具的临床试验检查检验费用信息同步至试验财务管理，实现临床试验受试者报销零计费。</w:t>
            </w:r>
          </w:p>
          <w:p>
            <w:pPr>
              <w:pStyle w:val="59"/>
              <w:pageBreakBefore w:val="0"/>
              <w:widowControl w:val="0"/>
              <w:numPr>
                <w:ilvl w:val="0"/>
                <w:numId w:val="30"/>
              </w:numPr>
              <w:kinsoku/>
              <w:wordWrap/>
              <w:overflowPunct/>
              <w:topLinePunct w:val="0"/>
              <w:autoSpaceDE/>
              <w:autoSpaceDN/>
              <w:bidi w:val="0"/>
              <w:spacing w:line="360" w:lineRule="auto"/>
              <w:ind w:left="0" w:leftChars="0" w:firstLine="420" w:firstLineChars="200"/>
              <w:textAlignment w:val="auto"/>
              <w:rPr>
                <w:rFonts w:hint="eastAsia" w:ascii="仿宋" w:hAnsi="仿宋" w:eastAsia="仿宋" w:cs="仿宋"/>
              </w:rPr>
            </w:pPr>
            <w:r>
              <w:rPr>
                <w:rFonts w:hint="eastAsia" w:ascii="仿宋" w:hAnsi="仿宋" w:eastAsia="仿宋" w:cs="仿宋"/>
                <w:color w:val="auto"/>
              </w:rPr>
              <w:t>试验财务管理支持同步费用收支明细信息到医院财务系统，实现系统级别对账。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83" w:type="dxa"/>
            <w:vMerge w:val="continue"/>
            <w:vAlign w:val="center"/>
          </w:tcPr>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szCs w:val="21"/>
              </w:rPr>
            </w:pPr>
          </w:p>
        </w:tc>
        <w:tc>
          <w:tcPr>
            <w:tcW w:w="1182" w:type="dxa"/>
            <w:vAlign w:val="center"/>
          </w:tcPr>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lang w:val="en-US" w:eastAsia="zh-CN"/>
              </w:rPr>
            </w:pPr>
            <w:r>
              <w:rPr>
                <w:rFonts w:hint="eastAsia" w:ascii="仿宋" w:hAnsi="仿宋" w:eastAsia="仿宋" w:cs="仿宋"/>
                <w:b/>
                <w:szCs w:val="21"/>
              </w:rPr>
              <w:t>5.  临床试验</w:t>
            </w:r>
            <w:r>
              <w:rPr>
                <w:rFonts w:hint="eastAsia" w:ascii="仿宋" w:hAnsi="仿宋" w:eastAsia="仿宋" w:cs="仿宋"/>
                <w:b/>
                <w:szCs w:val="21"/>
                <w:lang w:val="en-US" w:eastAsia="zh-CN"/>
              </w:rPr>
              <w:t>看板管理</w:t>
            </w:r>
          </w:p>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rPr>
            </w:pPr>
          </w:p>
        </w:tc>
        <w:tc>
          <w:tcPr>
            <w:tcW w:w="7398" w:type="dxa"/>
            <w:vAlign w:val="center"/>
          </w:tcPr>
          <w:p>
            <w:pPr>
              <w:pStyle w:val="59"/>
              <w:keepNext/>
              <w:keepLines/>
              <w:pageBreakBefore w:val="0"/>
              <w:widowControl w:val="0"/>
              <w:numPr>
                <w:ilvl w:val="0"/>
                <w:numId w:val="9"/>
              </w:numPr>
              <w:kinsoku/>
              <w:wordWrap/>
              <w:overflowPunct/>
              <w:topLinePunct w:val="0"/>
              <w:autoSpaceDE/>
              <w:autoSpaceDN/>
              <w:bidi w:val="0"/>
              <w:spacing w:line="360" w:lineRule="auto"/>
              <w:ind w:left="0" w:firstLine="422" w:firstLineChars="200"/>
              <w:textAlignment w:val="auto"/>
              <w:outlineLvl w:val="2"/>
              <w:rPr>
                <w:rFonts w:hint="eastAsia" w:ascii="仿宋" w:hAnsi="仿宋" w:eastAsia="仿宋" w:cs="仿宋"/>
                <w:b/>
                <w:bCs/>
                <w:vanish/>
                <w:kern w:val="0"/>
                <w:szCs w:val="21"/>
              </w:rPr>
            </w:pP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kern w:val="0"/>
                <w:szCs w:val="21"/>
              </w:rPr>
              <w:t>医院指标看板：</w:t>
            </w:r>
            <w:r>
              <w:rPr>
                <w:rFonts w:hint="eastAsia" w:ascii="仿宋" w:hAnsi="仿宋" w:eastAsia="仿宋" w:cs="仿宋"/>
                <w:b w:val="0"/>
                <w:kern w:val="0"/>
                <w:szCs w:val="21"/>
              </w:rPr>
              <w:t>医院级的指标看板，包括年度项目承接数，项目专业分布，状态分布，类型分布，质控问题分布，各环节时长等。</w:t>
            </w:r>
          </w:p>
          <w:p>
            <w:pPr>
              <w:pStyle w:val="59"/>
              <w:pageBreakBefore w:val="0"/>
              <w:widowControl w:val="0"/>
              <w:numPr>
                <w:ilvl w:val="0"/>
                <w:numId w:val="31"/>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支持将临床试验各个阶段定义为里程碑，通过里程碑查看项目整体情况，并做项目间对比。</w:t>
            </w:r>
          </w:p>
          <w:p>
            <w:pPr>
              <w:pStyle w:val="59"/>
              <w:pageBreakBefore w:val="0"/>
              <w:widowControl w:val="0"/>
              <w:numPr>
                <w:ilvl w:val="0"/>
                <w:numId w:val="31"/>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支持按月、季度、年、项目、专业科室等自动生成临床试验经费财务报表。</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kern w:val="0"/>
                <w:szCs w:val="21"/>
              </w:rPr>
              <w:t>项目指标看板：</w:t>
            </w:r>
            <w:r>
              <w:rPr>
                <w:rFonts w:hint="eastAsia" w:ascii="仿宋" w:hAnsi="仿宋" w:eastAsia="仿宋" w:cs="仿宋"/>
                <w:b w:val="0"/>
                <w:kern w:val="0"/>
                <w:szCs w:val="21"/>
              </w:rPr>
              <w:t>包括项目进度情况，受试者访视日历，受试者入组进展，AE/SAE数量，质量问题数量等。</w:t>
            </w:r>
          </w:p>
          <w:p>
            <w:pPr>
              <w:pStyle w:val="59"/>
              <w:pageBreakBefore w:val="0"/>
              <w:widowControl w:val="0"/>
              <w:numPr>
                <w:ilvl w:val="0"/>
                <w:numId w:val="0"/>
              </w:numPr>
              <w:kinsoku/>
              <w:wordWrap/>
              <w:overflowPunct/>
              <w:topLinePunct w:val="0"/>
              <w:autoSpaceDE/>
              <w:autoSpaceDN/>
              <w:bidi w:val="0"/>
              <w:spacing w:line="360" w:lineRule="auto"/>
              <w:ind w:left="0" w:leftChars="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多维统计分析：支持机构根据需求自定义关注指标纬度，进行组合分析，可以自定义绘图展现。可对数据进行下钻、切片、上钻、旋转、导出等操作。</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kern w:val="0"/>
                <w:szCs w:val="21"/>
              </w:rPr>
              <w:t>报表权限管理：</w:t>
            </w:r>
            <w:r>
              <w:rPr>
                <w:rFonts w:hint="eastAsia" w:ascii="仿宋" w:hAnsi="仿宋" w:eastAsia="仿宋" w:cs="仿宋"/>
                <w:b w:val="0"/>
                <w:kern w:val="0"/>
                <w:szCs w:val="21"/>
              </w:rPr>
              <w:t>以上统计报表功能均支持由机构统一配置账号角色权限，根据不同用户限制查看项目和相关数据。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83" w:type="dxa"/>
            <w:vMerge w:val="continue"/>
            <w:vAlign w:val="center"/>
          </w:tcPr>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szCs w:val="21"/>
              </w:rPr>
            </w:pPr>
          </w:p>
        </w:tc>
        <w:tc>
          <w:tcPr>
            <w:tcW w:w="1182" w:type="dxa"/>
            <w:vAlign w:val="center"/>
          </w:tcPr>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rPr>
            </w:pPr>
            <w:r>
              <w:rPr>
                <w:rFonts w:hint="eastAsia" w:ascii="仿宋" w:hAnsi="仿宋" w:eastAsia="仿宋" w:cs="仿宋"/>
                <w:b/>
                <w:szCs w:val="21"/>
              </w:rPr>
              <w:t>6.  临床试验药品管理</w:t>
            </w:r>
          </w:p>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rPr>
            </w:pPr>
          </w:p>
        </w:tc>
        <w:tc>
          <w:tcPr>
            <w:tcW w:w="7398" w:type="dxa"/>
            <w:vAlign w:val="center"/>
          </w:tcPr>
          <w:p>
            <w:pPr>
              <w:pStyle w:val="59"/>
              <w:keepNext/>
              <w:keepLines/>
              <w:pageBreakBefore w:val="0"/>
              <w:widowControl w:val="0"/>
              <w:numPr>
                <w:ilvl w:val="0"/>
                <w:numId w:val="9"/>
              </w:numPr>
              <w:kinsoku/>
              <w:wordWrap/>
              <w:overflowPunct/>
              <w:topLinePunct w:val="0"/>
              <w:autoSpaceDE/>
              <w:autoSpaceDN/>
              <w:bidi w:val="0"/>
              <w:spacing w:line="360" w:lineRule="auto"/>
              <w:ind w:left="0" w:firstLine="422" w:firstLineChars="200"/>
              <w:textAlignment w:val="auto"/>
              <w:outlineLvl w:val="2"/>
              <w:rPr>
                <w:rFonts w:hint="eastAsia" w:ascii="仿宋" w:hAnsi="仿宋" w:eastAsia="仿宋" w:cs="仿宋"/>
                <w:b/>
                <w:bCs/>
                <w:vanish/>
                <w:kern w:val="0"/>
                <w:szCs w:val="21"/>
              </w:rPr>
            </w:pP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临床试验药品的全流程跟踪：</w:t>
            </w:r>
            <w:r>
              <w:rPr>
                <w:rFonts w:hint="eastAsia" w:ascii="仿宋" w:hAnsi="仿宋" w:eastAsia="仿宋" w:cs="仿宋"/>
                <w:b w:val="0"/>
                <w:kern w:val="0"/>
                <w:szCs w:val="21"/>
              </w:rPr>
              <w:t>贯穿药品的递送、接收、库存、发放、回收、销毁、退回等全流程闭环管理。</w:t>
            </w:r>
          </w:p>
          <w:p>
            <w:pPr>
              <w:pStyle w:val="59"/>
              <w:pageBreakBefore w:val="0"/>
              <w:widowControl w:val="0"/>
              <w:numPr>
                <w:ilvl w:val="0"/>
                <w:numId w:val="32"/>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支持药品的接收、存储、设盲分装、发放、回收、紧急备药、BE试验留样、药品返还/销毁、库存盘点等完整的闭环管理。</w:t>
            </w:r>
          </w:p>
          <w:p>
            <w:pPr>
              <w:pStyle w:val="59"/>
              <w:pageBreakBefore w:val="0"/>
              <w:widowControl w:val="0"/>
              <w:numPr>
                <w:ilvl w:val="0"/>
                <w:numId w:val="32"/>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支持复杂的双盲试验用药的多层次、多剂型、多品种混合包装，也支持双盲试验、药物未设盲包装情况下的精确权限控制。</w:t>
            </w:r>
          </w:p>
          <w:p>
            <w:pPr>
              <w:pStyle w:val="59"/>
              <w:pageBreakBefore w:val="0"/>
              <w:widowControl w:val="0"/>
              <w:numPr>
                <w:ilvl w:val="0"/>
                <w:numId w:val="32"/>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高效准确的药品递送与接收功能，支持药品递送信息的导入，快速录入药品信息，减少人为操作失误。</w:t>
            </w:r>
          </w:p>
          <w:p>
            <w:pPr>
              <w:pStyle w:val="59"/>
              <w:pageBreakBefore w:val="0"/>
              <w:widowControl w:val="0"/>
              <w:numPr>
                <w:ilvl w:val="0"/>
                <w:numId w:val="32"/>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支持药品质检报告、运输过程温度报告的上传及管理。</w:t>
            </w:r>
          </w:p>
          <w:p>
            <w:pPr>
              <w:pStyle w:val="59"/>
              <w:pageBreakBefore w:val="0"/>
              <w:widowControl w:val="0"/>
              <w:numPr>
                <w:ilvl w:val="0"/>
                <w:numId w:val="32"/>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全面高效的药品发放管理：支持记录手写医嘱内容，</w:t>
            </w:r>
            <w:r>
              <w:rPr>
                <w:rFonts w:hint="eastAsia" w:ascii="仿宋" w:hAnsi="仿宋" w:eastAsia="仿宋" w:cs="仿宋"/>
                <w:szCs w:val="21"/>
              </w:rPr>
              <w:t>或与HIS系统对接电子开药信息，</w:t>
            </w:r>
            <w:r>
              <w:rPr>
                <w:rFonts w:hint="eastAsia" w:ascii="仿宋" w:hAnsi="仿宋" w:eastAsia="仿宋" w:cs="仿宋"/>
                <w:kern w:val="0"/>
                <w:szCs w:val="21"/>
              </w:rPr>
              <w:t>开药与发药记录准确可追溯。满足多种发药方式：支持I-IV期临床试验发药，按药品明细和访视方案发药等，支持科室领药及药物配置信息记录。</w:t>
            </w:r>
          </w:p>
          <w:p>
            <w:pPr>
              <w:pStyle w:val="59"/>
              <w:pageBreakBefore w:val="0"/>
              <w:widowControl w:val="0"/>
              <w:numPr>
                <w:ilvl w:val="0"/>
                <w:numId w:val="32"/>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支持药品回收精确记录：药品回收、包装回收、免回收药品等高效精确管理；支持科室药房将回收药品返还中心药房，流程规范可追溯。</w:t>
            </w:r>
          </w:p>
          <w:p>
            <w:pPr>
              <w:pStyle w:val="59"/>
              <w:pageBreakBefore w:val="0"/>
              <w:widowControl w:val="0"/>
              <w:numPr>
                <w:ilvl w:val="0"/>
                <w:numId w:val="32"/>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药品销毁或退回记录：支持特殊药品的销毁、项目各阶段的药品退回申办方记录，完成药品闭环流程跟踪。</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kern w:val="0"/>
                <w:szCs w:val="21"/>
              </w:rPr>
              <w:t>全面的库存管理：</w:t>
            </w:r>
            <w:r>
              <w:rPr>
                <w:rFonts w:hint="eastAsia" w:ascii="仿宋" w:hAnsi="仿宋" w:eastAsia="仿宋" w:cs="仿宋"/>
                <w:b w:val="0"/>
                <w:kern w:val="0"/>
                <w:szCs w:val="21"/>
              </w:rPr>
              <w:t>支持药品出入库管理，清晰记录每个药品的流转信息。全面管理每个药品的所属项目、批次、有效期、随机编码、库存位置及数量等信息，支持按多种维度对库存进行查询。支持药品盘点和库存校正功能。维护药品大小包装以及重量体积剂量单位，满足临床试验多种用药需求。</w:t>
            </w:r>
          </w:p>
          <w:p>
            <w:pPr>
              <w:pStyle w:val="59"/>
              <w:pageBreakBefore w:val="0"/>
              <w:widowControl w:val="0"/>
              <w:numPr>
                <w:ilvl w:val="0"/>
                <w:numId w:val="33"/>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提供药品智能预警提醒：如药品的低库存、近效期等查看和提醒，保障药品正常使用。</w:t>
            </w:r>
          </w:p>
          <w:p>
            <w:pPr>
              <w:pStyle w:val="59"/>
              <w:pageBreakBefore w:val="0"/>
              <w:widowControl w:val="0"/>
              <w:numPr>
                <w:ilvl w:val="0"/>
                <w:numId w:val="33"/>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支持GCP药房集中管理，并可按项目灵活配置。</w:t>
            </w:r>
          </w:p>
          <w:p>
            <w:pPr>
              <w:pStyle w:val="59"/>
              <w:pageBreakBefore w:val="0"/>
              <w:widowControl w:val="0"/>
              <w:numPr>
                <w:ilvl w:val="0"/>
                <w:numId w:val="33"/>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支持在所需流程加入药师复核、项目二级密码等配置，保证数据安全与操作合规。</w:t>
            </w:r>
          </w:p>
          <w:p>
            <w:pPr>
              <w:pStyle w:val="59"/>
              <w:pageBreakBefore w:val="0"/>
              <w:widowControl w:val="0"/>
              <w:numPr>
                <w:ilvl w:val="0"/>
                <w:numId w:val="33"/>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支持药品隔离，打标操作。</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kern w:val="0"/>
                <w:szCs w:val="21"/>
              </w:rPr>
            </w:pPr>
            <w:r>
              <w:rPr>
                <w:rFonts w:hint="eastAsia" w:ascii="仿宋" w:hAnsi="仿宋" w:eastAsia="仿宋" w:cs="仿宋"/>
                <w:kern w:val="0"/>
                <w:szCs w:val="21"/>
              </w:rPr>
              <w:t>规范化的药品操作流程与信息共享：</w:t>
            </w:r>
            <w:r>
              <w:rPr>
                <w:rFonts w:hint="eastAsia" w:ascii="仿宋" w:hAnsi="仿宋" w:eastAsia="仿宋" w:cs="仿宋"/>
                <w:b w:val="0"/>
                <w:kern w:val="0"/>
                <w:szCs w:val="21"/>
              </w:rPr>
              <w:t>药品管理系统操作流程规范，数据全程可溯源，药品相关数据自动导入统计分析系统，支持对药品情况的全面监控和分析，满足各级监管需求。</w:t>
            </w:r>
          </w:p>
          <w:p>
            <w:pPr>
              <w:pStyle w:val="59"/>
              <w:pageBreakBefore w:val="0"/>
              <w:widowControl w:val="0"/>
              <w:numPr>
                <w:ilvl w:val="0"/>
                <w:numId w:val="34"/>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药品管理的相关文档打印：支持按照医院规定格式设计文档，打印表单签字确认，符合GCP规范可直接用于存档。</w:t>
            </w:r>
          </w:p>
          <w:p>
            <w:pPr>
              <w:pStyle w:val="59"/>
              <w:pageBreakBefore w:val="0"/>
              <w:widowControl w:val="0"/>
              <w:numPr>
                <w:ilvl w:val="0"/>
                <w:numId w:val="34"/>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支持与临床试验项目管理系统信息同步共享，对相关节点进行管理控制，保证项目信息的统一，以及药品管理符合试验方案和项目管理标准流程。</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kern w:val="0"/>
                <w:szCs w:val="21"/>
              </w:rPr>
            </w:pPr>
            <w:r>
              <w:rPr>
                <w:rFonts w:hint="eastAsia" w:ascii="仿宋" w:hAnsi="仿宋" w:eastAsia="仿宋" w:cs="仿宋"/>
                <w:kern w:val="0"/>
                <w:szCs w:val="21"/>
              </w:rPr>
              <w:t>接口对接：</w:t>
            </w:r>
          </w:p>
          <w:p>
            <w:pPr>
              <w:pStyle w:val="59"/>
              <w:pageBreakBefore w:val="0"/>
              <w:widowControl w:val="0"/>
              <w:numPr>
                <w:ilvl w:val="0"/>
                <w:numId w:val="35"/>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rPr>
            </w:pPr>
            <w:r>
              <w:rPr>
                <w:rFonts w:hint="eastAsia" w:ascii="仿宋" w:hAnsi="仿宋" w:eastAsia="仿宋" w:cs="仿宋"/>
                <w:kern w:val="0"/>
                <w:szCs w:val="21"/>
              </w:rPr>
              <w:t>支持项目药品字典信息同步HIS，方便医生在HIS中开具临床试验药品医嘱。</w:t>
            </w:r>
          </w:p>
          <w:p>
            <w:pPr>
              <w:pStyle w:val="59"/>
              <w:pageBreakBefore w:val="0"/>
              <w:widowControl w:val="0"/>
              <w:numPr>
                <w:ilvl w:val="0"/>
                <w:numId w:val="35"/>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b/>
                <w:bCs/>
              </w:rPr>
            </w:pPr>
            <w:r>
              <w:rPr>
                <w:rFonts w:hint="eastAsia" w:ascii="仿宋" w:hAnsi="仿宋" w:eastAsia="仿宋" w:cs="仿宋"/>
                <w:kern w:val="0"/>
                <w:szCs w:val="21"/>
              </w:rPr>
              <w:t>支持HIS开具的医生处方单同步药品管理系统，根据医嘱处方单进行临床试验发药。发药完成后同步发药状态</w:t>
            </w:r>
            <w:r>
              <w:rPr>
                <w:rFonts w:hint="eastAsia" w:ascii="仿宋" w:hAnsi="仿宋" w:eastAsia="仿宋" w:cs="仿宋"/>
                <w:kern w:val="0"/>
                <w:szCs w:val="21"/>
                <w:highlight w:val="none"/>
                <w:lang w:eastAsia="zh-CN"/>
              </w:rPr>
              <w:t>到</w:t>
            </w:r>
            <w:r>
              <w:rPr>
                <w:rFonts w:hint="eastAsia" w:ascii="仿宋" w:hAnsi="仿宋" w:eastAsia="仿宋" w:cs="仿宋"/>
                <w:kern w:val="0"/>
                <w:szCs w:val="21"/>
              </w:rPr>
              <w:t>HIS。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83" w:type="dxa"/>
            <w:vMerge w:val="continue"/>
            <w:vAlign w:val="center"/>
          </w:tcPr>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szCs w:val="21"/>
              </w:rPr>
            </w:pPr>
          </w:p>
        </w:tc>
        <w:tc>
          <w:tcPr>
            <w:tcW w:w="1182" w:type="dxa"/>
            <w:vAlign w:val="center"/>
          </w:tcPr>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rPr>
            </w:pPr>
            <w:r>
              <w:rPr>
                <w:rFonts w:hint="eastAsia" w:ascii="仿宋" w:hAnsi="仿宋" w:eastAsia="仿宋" w:cs="仿宋"/>
                <w:b/>
                <w:szCs w:val="21"/>
              </w:rPr>
              <w:t>7.  临床试验器械管理</w:t>
            </w:r>
          </w:p>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rPr>
            </w:pPr>
          </w:p>
        </w:tc>
        <w:tc>
          <w:tcPr>
            <w:tcW w:w="7398" w:type="dxa"/>
            <w:vAlign w:val="center"/>
          </w:tcPr>
          <w:p>
            <w:pPr>
              <w:pStyle w:val="59"/>
              <w:keepNext/>
              <w:keepLines/>
              <w:pageBreakBefore w:val="0"/>
              <w:widowControl w:val="0"/>
              <w:numPr>
                <w:ilvl w:val="0"/>
                <w:numId w:val="9"/>
              </w:numPr>
              <w:kinsoku/>
              <w:wordWrap/>
              <w:overflowPunct/>
              <w:topLinePunct w:val="0"/>
              <w:autoSpaceDE/>
              <w:autoSpaceDN/>
              <w:bidi w:val="0"/>
              <w:spacing w:line="360" w:lineRule="auto"/>
              <w:ind w:left="0" w:firstLine="422" w:firstLineChars="200"/>
              <w:textAlignment w:val="auto"/>
              <w:outlineLvl w:val="2"/>
              <w:rPr>
                <w:rFonts w:hint="eastAsia" w:ascii="仿宋" w:hAnsi="仿宋" w:eastAsia="仿宋" w:cs="仿宋"/>
                <w:b/>
                <w:bCs/>
                <w:vanish/>
                <w:kern w:val="0"/>
                <w:szCs w:val="21"/>
              </w:rPr>
            </w:pP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kern w:val="0"/>
                <w:szCs w:val="21"/>
              </w:rPr>
              <w:t>临床试验器械的全流程跟踪：</w:t>
            </w:r>
            <w:r>
              <w:rPr>
                <w:rFonts w:hint="eastAsia" w:ascii="仿宋" w:hAnsi="仿宋" w:eastAsia="仿宋" w:cs="仿宋"/>
                <w:b w:val="0"/>
                <w:kern w:val="0"/>
                <w:szCs w:val="21"/>
              </w:rPr>
              <w:t>试验用医疗器械管理模块应涵盖试验用医疗器械在我院的整个流通过程，包括运输、接收、存储、设盲、发放、回收、返还/销毁、库存盘点等完整的闭环管理。</w:t>
            </w:r>
          </w:p>
          <w:p>
            <w:pPr>
              <w:pStyle w:val="59"/>
              <w:pageBreakBefore w:val="0"/>
              <w:widowControl w:val="0"/>
              <w:numPr>
                <w:ilvl w:val="0"/>
                <w:numId w:val="36"/>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支持试验器械交接登记。</w:t>
            </w:r>
          </w:p>
          <w:p>
            <w:pPr>
              <w:pStyle w:val="59"/>
              <w:pageBreakBefore w:val="0"/>
              <w:widowControl w:val="0"/>
              <w:numPr>
                <w:ilvl w:val="0"/>
                <w:numId w:val="36"/>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支持打印交接记录</w:t>
            </w:r>
          </w:p>
          <w:p>
            <w:pPr>
              <w:pStyle w:val="59"/>
              <w:pageBreakBefore w:val="0"/>
              <w:widowControl w:val="0"/>
              <w:numPr>
                <w:ilvl w:val="0"/>
                <w:numId w:val="36"/>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提供权限管理功能，机构人员可操作所有器械，项目器械管理员仅可操作本专业器械。</w:t>
            </w:r>
          </w:p>
          <w:p>
            <w:pPr>
              <w:pStyle w:val="59"/>
              <w:pageBreakBefore w:val="0"/>
              <w:widowControl w:val="0"/>
              <w:numPr>
                <w:ilvl w:val="0"/>
                <w:numId w:val="36"/>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系统应支持检索功能。</w:t>
            </w:r>
          </w:p>
          <w:p>
            <w:pPr>
              <w:pStyle w:val="59"/>
              <w:pageBreakBefore w:val="0"/>
              <w:widowControl w:val="0"/>
              <w:numPr>
                <w:ilvl w:val="0"/>
                <w:numId w:val="36"/>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支持研究者器械申请、回收登记。</w:t>
            </w:r>
          </w:p>
          <w:p>
            <w:pPr>
              <w:pStyle w:val="59"/>
              <w:pageBreakBefore w:val="0"/>
              <w:widowControl w:val="0"/>
              <w:numPr>
                <w:ilvl w:val="0"/>
                <w:numId w:val="36"/>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支持管理员器械审核确认后分发器械出库、入库。</w:t>
            </w:r>
          </w:p>
          <w:p>
            <w:pPr>
              <w:pStyle w:val="59"/>
              <w:pageBreakBefore w:val="0"/>
              <w:widowControl w:val="0"/>
              <w:numPr>
                <w:ilvl w:val="0"/>
                <w:numId w:val="36"/>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支持记录器械数量、有效期、批号等信息。</w:t>
            </w:r>
          </w:p>
          <w:p>
            <w:pPr>
              <w:pStyle w:val="59"/>
              <w:pageBreakBefore w:val="0"/>
              <w:widowControl w:val="0"/>
              <w:numPr>
                <w:ilvl w:val="0"/>
                <w:numId w:val="36"/>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根据器械处、入库记录自动计算器械数量、无需手动计算。</w:t>
            </w:r>
          </w:p>
          <w:p>
            <w:pPr>
              <w:pStyle w:val="59"/>
              <w:pageBreakBefore w:val="0"/>
              <w:widowControl w:val="0"/>
              <w:numPr>
                <w:ilvl w:val="0"/>
                <w:numId w:val="36"/>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支持器械分发、回收记录打印。</w:t>
            </w:r>
          </w:p>
          <w:p>
            <w:pPr>
              <w:pStyle w:val="59"/>
              <w:pageBreakBefore w:val="0"/>
              <w:widowControl w:val="0"/>
              <w:numPr>
                <w:ilvl w:val="0"/>
                <w:numId w:val="36"/>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支持器械近效期设置、查询。</w:t>
            </w:r>
          </w:p>
          <w:p>
            <w:pPr>
              <w:pStyle w:val="59"/>
              <w:pageBreakBefore w:val="0"/>
              <w:widowControl w:val="0"/>
              <w:numPr>
                <w:ilvl w:val="0"/>
                <w:numId w:val="36"/>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提供器械相关表格打印及excel导出功能。</w:t>
            </w:r>
          </w:p>
          <w:p>
            <w:pPr>
              <w:pStyle w:val="4"/>
              <w:pageBreakBefore w:val="0"/>
              <w:widowControl w:val="0"/>
              <w:numPr>
                <w:ilvl w:val="1"/>
                <w:numId w:val="9"/>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接口对接：</w:t>
            </w:r>
          </w:p>
          <w:p>
            <w:pPr>
              <w:pStyle w:val="59"/>
              <w:pageBreakBefore w:val="0"/>
              <w:widowControl w:val="0"/>
              <w:numPr>
                <w:ilvl w:val="0"/>
                <w:numId w:val="37"/>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rPr>
            </w:pPr>
            <w:r>
              <w:rPr>
                <w:rFonts w:hint="eastAsia" w:ascii="仿宋" w:hAnsi="仿宋" w:eastAsia="仿宋" w:cs="仿宋"/>
                <w:color w:val="auto"/>
                <w:kern w:val="0"/>
                <w:szCs w:val="21"/>
              </w:rPr>
              <w:t>支持项目器械字典信息同步HIS，方便医生在HIS中开具临床试验器械相关医嘱。</w:t>
            </w:r>
          </w:p>
          <w:p>
            <w:pPr>
              <w:pStyle w:val="59"/>
              <w:pageBreakBefore w:val="0"/>
              <w:widowControl w:val="0"/>
              <w:numPr>
                <w:ilvl w:val="0"/>
                <w:numId w:val="37"/>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b/>
                <w:bCs/>
                <w:vanish/>
                <w:color w:val="auto"/>
                <w:kern w:val="0"/>
                <w:szCs w:val="21"/>
              </w:rPr>
            </w:pPr>
            <w:r>
              <w:rPr>
                <w:rFonts w:hint="eastAsia" w:ascii="仿宋" w:hAnsi="仿宋" w:eastAsia="仿宋" w:cs="仿宋"/>
                <w:color w:val="auto"/>
                <w:szCs w:val="21"/>
              </w:rPr>
              <w:t>支持HIS开具的医生处方单同步器械管理系统，根据医嘱处方单进行临床试验器械发放。发放完成后同步发放状态回HIS。</w:t>
            </w:r>
          </w:p>
          <w:p>
            <w:pPr>
              <w:pStyle w:val="3"/>
              <w:pageBreakBefore w:val="0"/>
              <w:widowControl w:val="0"/>
              <w:numPr>
                <w:ilvl w:val="1"/>
                <w:numId w:val="0"/>
              </w:numPr>
              <w:kinsoku/>
              <w:wordWrap/>
              <w:overflowPunct/>
              <w:topLinePunct w:val="0"/>
              <w:autoSpaceDE/>
              <w:autoSpaceDN/>
              <w:bidi w:val="0"/>
              <w:spacing w:before="0" w:after="0" w:line="360" w:lineRule="auto"/>
              <w:ind w:left="0" w:firstLine="643" w:firstLineChars="200"/>
              <w:textAlignment w:val="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83" w:type="dxa"/>
            <w:vMerge w:val="continue"/>
            <w:vAlign w:val="center"/>
          </w:tcPr>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szCs w:val="21"/>
              </w:rPr>
            </w:pPr>
          </w:p>
        </w:tc>
        <w:tc>
          <w:tcPr>
            <w:tcW w:w="1182" w:type="dxa"/>
            <w:vAlign w:val="center"/>
          </w:tcPr>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rPr>
            </w:pPr>
            <w:r>
              <w:rPr>
                <w:rFonts w:hint="eastAsia" w:ascii="仿宋" w:hAnsi="仿宋" w:eastAsia="仿宋" w:cs="仿宋"/>
                <w:b/>
                <w:szCs w:val="21"/>
              </w:rPr>
              <w:t>8.  临床试验项目质控管理</w:t>
            </w:r>
          </w:p>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rPr>
            </w:pPr>
          </w:p>
        </w:tc>
        <w:tc>
          <w:tcPr>
            <w:tcW w:w="7398" w:type="dxa"/>
            <w:vAlign w:val="center"/>
          </w:tcPr>
          <w:p>
            <w:pPr>
              <w:pStyle w:val="50"/>
              <w:keepNext/>
              <w:keepLines/>
              <w:pageBreakBefore w:val="0"/>
              <w:widowControl w:val="0"/>
              <w:numPr>
                <w:ilvl w:val="0"/>
                <w:numId w:val="38"/>
              </w:numPr>
              <w:tabs>
                <w:tab w:val="left" w:pos="720"/>
                <w:tab w:val="left" w:pos="900"/>
              </w:tabs>
              <w:kinsoku/>
              <w:wordWrap/>
              <w:overflowPunct/>
              <w:topLinePunct w:val="0"/>
              <w:autoSpaceDE/>
              <w:autoSpaceDN/>
              <w:bidi w:val="0"/>
              <w:spacing w:line="360" w:lineRule="auto"/>
              <w:ind w:left="0" w:firstLine="422" w:firstLineChars="200"/>
              <w:jc w:val="both"/>
              <w:textAlignment w:val="auto"/>
              <w:outlineLvl w:val="2"/>
              <w:rPr>
                <w:rFonts w:hint="eastAsia" w:ascii="仿宋" w:hAnsi="仿宋" w:eastAsia="仿宋" w:cs="仿宋"/>
                <w:b/>
                <w:bCs/>
                <w:vanish/>
                <w:kern w:val="2"/>
                <w:szCs w:val="30"/>
              </w:rPr>
            </w:pPr>
          </w:p>
          <w:p>
            <w:pPr>
              <w:pStyle w:val="50"/>
              <w:keepNext/>
              <w:keepLines/>
              <w:pageBreakBefore w:val="0"/>
              <w:widowControl w:val="0"/>
              <w:numPr>
                <w:ilvl w:val="0"/>
                <w:numId w:val="38"/>
              </w:numPr>
              <w:tabs>
                <w:tab w:val="left" w:pos="720"/>
                <w:tab w:val="left" w:pos="900"/>
              </w:tabs>
              <w:kinsoku/>
              <w:wordWrap/>
              <w:overflowPunct/>
              <w:topLinePunct w:val="0"/>
              <w:autoSpaceDE/>
              <w:autoSpaceDN/>
              <w:bidi w:val="0"/>
              <w:spacing w:line="360" w:lineRule="auto"/>
              <w:ind w:left="0" w:firstLine="422" w:firstLineChars="200"/>
              <w:jc w:val="both"/>
              <w:textAlignment w:val="auto"/>
              <w:outlineLvl w:val="2"/>
              <w:rPr>
                <w:rFonts w:hint="eastAsia" w:ascii="仿宋" w:hAnsi="仿宋" w:eastAsia="仿宋" w:cs="仿宋"/>
                <w:b/>
                <w:bCs/>
                <w:vanish/>
                <w:kern w:val="2"/>
                <w:szCs w:val="30"/>
              </w:rPr>
            </w:pPr>
          </w:p>
          <w:p>
            <w:pPr>
              <w:pStyle w:val="50"/>
              <w:keepNext/>
              <w:keepLines/>
              <w:pageBreakBefore w:val="0"/>
              <w:widowControl w:val="0"/>
              <w:numPr>
                <w:ilvl w:val="0"/>
                <w:numId w:val="38"/>
              </w:numPr>
              <w:tabs>
                <w:tab w:val="left" w:pos="720"/>
                <w:tab w:val="left" w:pos="900"/>
              </w:tabs>
              <w:kinsoku/>
              <w:wordWrap/>
              <w:overflowPunct/>
              <w:topLinePunct w:val="0"/>
              <w:autoSpaceDE/>
              <w:autoSpaceDN/>
              <w:bidi w:val="0"/>
              <w:spacing w:line="360" w:lineRule="auto"/>
              <w:ind w:left="0" w:firstLine="422" w:firstLineChars="200"/>
              <w:jc w:val="both"/>
              <w:textAlignment w:val="auto"/>
              <w:outlineLvl w:val="2"/>
              <w:rPr>
                <w:rFonts w:hint="eastAsia" w:ascii="仿宋" w:hAnsi="仿宋" w:eastAsia="仿宋" w:cs="仿宋"/>
                <w:b/>
                <w:bCs/>
                <w:vanish/>
                <w:kern w:val="2"/>
                <w:szCs w:val="30"/>
              </w:rPr>
            </w:pPr>
          </w:p>
          <w:p>
            <w:pPr>
              <w:pStyle w:val="50"/>
              <w:keepNext/>
              <w:keepLines/>
              <w:pageBreakBefore w:val="0"/>
              <w:widowControl w:val="0"/>
              <w:numPr>
                <w:ilvl w:val="0"/>
                <w:numId w:val="38"/>
              </w:numPr>
              <w:tabs>
                <w:tab w:val="left" w:pos="720"/>
                <w:tab w:val="left" w:pos="900"/>
              </w:tabs>
              <w:kinsoku/>
              <w:wordWrap/>
              <w:overflowPunct/>
              <w:topLinePunct w:val="0"/>
              <w:autoSpaceDE/>
              <w:autoSpaceDN/>
              <w:bidi w:val="0"/>
              <w:spacing w:line="360" w:lineRule="auto"/>
              <w:ind w:left="0" w:firstLine="422" w:firstLineChars="200"/>
              <w:jc w:val="both"/>
              <w:textAlignment w:val="auto"/>
              <w:outlineLvl w:val="2"/>
              <w:rPr>
                <w:rFonts w:hint="eastAsia" w:ascii="仿宋" w:hAnsi="仿宋" w:eastAsia="仿宋" w:cs="仿宋"/>
                <w:b/>
                <w:bCs/>
                <w:vanish/>
                <w:kern w:val="2"/>
                <w:szCs w:val="30"/>
              </w:rPr>
            </w:pPr>
          </w:p>
          <w:p>
            <w:pPr>
              <w:pStyle w:val="50"/>
              <w:keepNext/>
              <w:keepLines/>
              <w:pageBreakBefore w:val="0"/>
              <w:widowControl w:val="0"/>
              <w:numPr>
                <w:ilvl w:val="0"/>
                <w:numId w:val="38"/>
              </w:numPr>
              <w:tabs>
                <w:tab w:val="left" w:pos="720"/>
                <w:tab w:val="left" w:pos="900"/>
              </w:tabs>
              <w:kinsoku/>
              <w:wordWrap/>
              <w:overflowPunct/>
              <w:topLinePunct w:val="0"/>
              <w:autoSpaceDE/>
              <w:autoSpaceDN/>
              <w:bidi w:val="0"/>
              <w:spacing w:line="360" w:lineRule="auto"/>
              <w:ind w:left="0" w:firstLine="422" w:firstLineChars="200"/>
              <w:jc w:val="both"/>
              <w:textAlignment w:val="auto"/>
              <w:outlineLvl w:val="2"/>
              <w:rPr>
                <w:rFonts w:hint="eastAsia" w:ascii="仿宋" w:hAnsi="仿宋" w:eastAsia="仿宋" w:cs="仿宋"/>
                <w:b/>
                <w:bCs/>
                <w:vanish/>
                <w:kern w:val="2"/>
                <w:szCs w:val="30"/>
              </w:rPr>
            </w:pPr>
          </w:p>
          <w:p>
            <w:pPr>
              <w:pStyle w:val="50"/>
              <w:keepNext/>
              <w:keepLines/>
              <w:pageBreakBefore w:val="0"/>
              <w:widowControl w:val="0"/>
              <w:numPr>
                <w:ilvl w:val="0"/>
                <w:numId w:val="38"/>
              </w:numPr>
              <w:tabs>
                <w:tab w:val="left" w:pos="720"/>
                <w:tab w:val="left" w:pos="900"/>
              </w:tabs>
              <w:kinsoku/>
              <w:wordWrap/>
              <w:overflowPunct/>
              <w:topLinePunct w:val="0"/>
              <w:autoSpaceDE/>
              <w:autoSpaceDN/>
              <w:bidi w:val="0"/>
              <w:spacing w:line="360" w:lineRule="auto"/>
              <w:ind w:left="0" w:firstLine="422" w:firstLineChars="200"/>
              <w:jc w:val="both"/>
              <w:textAlignment w:val="auto"/>
              <w:outlineLvl w:val="2"/>
              <w:rPr>
                <w:rFonts w:hint="eastAsia" w:ascii="仿宋" w:hAnsi="仿宋" w:eastAsia="仿宋" w:cs="仿宋"/>
                <w:b/>
                <w:bCs/>
                <w:vanish/>
                <w:kern w:val="2"/>
                <w:szCs w:val="30"/>
              </w:rPr>
            </w:pPr>
          </w:p>
          <w:p>
            <w:pPr>
              <w:pStyle w:val="50"/>
              <w:keepNext/>
              <w:keepLines/>
              <w:pageBreakBefore w:val="0"/>
              <w:widowControl w:val="0"/>
              <w:numPr>
                <w:ilvl w:val="0"/>
                <w:numId w:val="38"/>
              </w:numPr>
              <w:tabs>
                <w:tab w:val="left" w:pos="720"/>
                <w:tab w:val="left" w:pos="900"/>
              </w:tabs>
              <w:kinsoku/>
              <w:wordWrap/>
              <w:overflowPunct/>
              <w:topLinePunct w:val="0"/>
              <w:autoSpaceDE/>
              <w:autoSpaceDN/>
              <w:bidi w:val="0"/>
              <w:spacing w:line="360" w:lineRule="auto"/>
              <w:ind w:left="0" w:firstLine="422" w:firstLineChars="200"/>
              <w:jc w:val="both"/>
              <w:textAlignment w:val="auto"/>
              <w:outlineLvl w:val="2"/>
              <w:rPr>
                <w:rFonts w:hint="eastAsia" w:ascii="仿宋" w:hAnsi="仿宋" w:eastAsia="仿宋" w:cs="仿宋"/>
                <w:b/>
                <w:bCs/>
                <w:vanish/>
                <w:kern w:val="2"/>
                <w:szCs w:val="30"/>
              </w:rPr>
            </w:pPr>
          </w:p>
          <w:p>
            <w:pPr>
              <w:pStyle w:val="50"/>
              <w:keepNext/>
              <w:keepLines/>
              <w:pageBreakBefore w:val="0"/>
              <w:widowControl w:val="0"/>
              <w:numPr>
                <w:ilvl w:val="0"/>
                <w:numId w:val="38"/>
              </w:numPr>
              <w:tabs>
                <w:tab w:val="left" w:pos="720"/>
                <w:tab w:val="left" w:pos="900"/>
              </w:tabs>
              <w:kinsoku/>
              <w:wordWrap/>
              <w:overflowPunct/>
              <w:topLinePunct w:val="0"/>
              <w:autoSpaceDE/>
              <w:autoSpaceDN/>
              <w:bidi w:val="0"/>
              <w:spacing w:line="360" w:lineRule="auto"/>
              <w:ind w:left="0" w:firstLine="422" w:firstLineChars="200"/>
              <w:jc w:val="both"/>
              <w:textAlignment w:val="auto"/>
              <w:outlineLvl w:val="2"/>
              <w:rPr>
                <w:rFonts w:hint="eastAsia" w:ascii="仿宋" w:hAnsi="仿宋" w:eastAsia="仿宋" w:cs="仿宋"/>
                <w:b/>
                <w:bCs/>
                <w:vanish/>
                <w:kern w:val="2"/>
                <w:szCs w:val="30"/>
              </w:rPr>
            </w:pPr>
          </w:p>
          <w:p>
            <w:pPr>
              <w:pStyle w:val="4"/>
              <w:pageBreakBefore w:val="0"/>
              <w:widowControl w:val="0"/>
              <w:numPr>
                <w:ilvl w:val="1"/>
                <w:numId w:val="38"/>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质控核查</w:t>
            </w:r>
          </w:p>
          <w:p>
            <w:pPr>
              <w:pStyle w:val="4"/>
              <w:pageBreakBefore w:val="0"/>
              <w:widowControl w:val="0"/>
              <w:numPr>
                <w:ilvl w:val="2"/>
                <w:numId w:val="0"/>
              </w:numPr>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kern w:val="0"/>
                <w:szCs w:val="21"/>
              </w:rPr>
            </w:pPr>
            <w:r>
              <w:rPr>
                <w:rFonts w:hint="eastAsia" w:ascii="仿宋" w:hAnsi="仿宋" w:eastAsia="仿宋" w:cs="仿宋"/>
                <w:b w:val="0"/>
                <w:kern w:val="0"/>
                <w:szCs w:val="21"/>
              </w:rPr>
              <w:t>分为首次核查、中期核查、完结核查三个阶段。支持临床研究中心根据医院特色设定质控计划，对质控参数如质控流程抽检例数和比例、质控人员、预计质控时间等按项目配置。并根据质控计划提前提醒研究团队做好质控准备。除预先设置好的质控计划外，也支持质控员发起计划外核查。</w:t>
            </w:r>
          </w:p>
          <w:p>
            <w:pPr>
              <w:pStyle w:val="59"/>
              <w:pageBreakBefore w:val="0"/>
              <w:widowControl w:val="0"/>
              <w:numPr>
                <w:ilvl w:val="0"/>
                <w:numId w:val="39"/>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支持对质控问题等级、质控内容进行配置。</w:t>
            </w:r>
          </w:p>
          <w:p>
            <w:pPr>
              <w:pStyle w:val="59"/>
              <w:pageBreakBefore w:val="0"/>
              <w:widowControl w:val="0"/>
              <w:numPr>
                <w:ilvl w:val="0"/>
                <w:numId w:val="39"/>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支持按里程碑、受试者序号、质控频率、入组比例等进行质控计划设置及提醒。</w:t>
            </w:r>
          </w:p>
          <w:p>
            <w:pPr>
              <w:pStyle w:val="59"/>
              <w:pageBreakBefore w:val="0"/>
              <w:widowControl w:val="0"/>
              <w:numPr>
                <w:ilvl w:val="0"/>
                <w:numId w:val="39"/>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支持按质控计划自动完成质控任务或质控消息的推送研究者。</w:t>
            </w:r>
          </w:p>
          <w:p>
            <w:pPr>
              <w:pStyle w:val="59"/>
              <w:pageBreakBefore w:val="0"/>
              <w:widowControl w:val="0"/>
              <w:numPr>
                <w:ilvl w:val="0"/>
                <w:numId w:val="39"/>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自动分配和跟踪质控任务，质控人员发现的质量问题，会自动流转提醒相关CRA、研究者回复，给到质控员确认。避免质控工作遗漏和任务超期。</w:t>
            </w:r>
          </w:p>
          <w:p>
            <w:pPr>
              <w:pStyle w:val="59"/>
              <w:pageBreakBefore w:val="0"/>
              <w:widowControl w:val="0"/>
              <w:numPr>
                <w:ilvl w:val="0"/>
                <w:numId w:val="39"/>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质控员质控checklist和撰写的质控报告，支持按照医院质量管理SOP动态配置。</w:t>
            </w:r>
          </w:p>
          <w:p>
            <w:pPr>
              <w:pStyle w:val="59"/>
              <w:pageBreakBefore w:val="0"/>
              <w:widowControl w:val="0"/>
              <w:numPr>
                <w:ilvl w:val="0"/>
                <w:numId w:val="39"/>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支持监查、稽查管理流程，便于临床研究中心管理监查、稽查工作计划，查看相关监查、稽查报告。</w:t>
            </w:r>
          </w:p>
          <w:p>
            <w:pPr>
              <w:pStyle w:val="59"/>
              <w:pageBreakBefore w:val="0"/>
              <w:widowControl w:val="0"/>
              <w:numPr>
                <w:ilvl w:val="0"/>
                <w:numId w:val="39"/>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项目质控情况自动导入统计分析模块进行实时动态分析，支持按质量问题分类、分级、科室、项目等各个纬度动态组合分析绘图导出。</w:t>
            </w:r>
          </w:p>
          <w:p>
            <w:pPr>
              <w:pStyle w:val="59"/>
              <w:pageBreakBefore w:val="0"/>
              <w:widowControl w:val="0"/>
              <w:numPr>
                <w:ilvl w:val="0"/>
                <w:numId w:val="39"/>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质量问题列表形成统一报告，提供研究团队和临床研究中心管理者查询，并结合分析报表制定针对性调优计划，持续跟踪整改反馈情况。</w:t>
            </w:r>
          </w:p>
          <w:p>
            <w:pPr>
              <w:pStyle w:val="4"/>
              <w:pageBreakBefore w:val="0"/>
              <w:widowControl w:val="0"/>
              <w:numPr>
                <w:ilvl w:val="1"/>
                <w:numId w:val="38"/>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kern w:val="0"/>
                <w:szCs w:val="21"/>
              </w:rPr>
            </w:pPr>
            <w:r>
              <w:rPr>
                <w:rFonts w:hint="eastAsia" w:ascii="仿宋" w:hAnsi="仿宋" w:eastAsia="仿宋" w:cs="仿宋"/>
                <w:kern w:val="0"/>
                <w:szCs w:val="21"/>
              </w:rPr>
              <w:t>项目实施质控：</w:t>
            </w:r>
            <w:r>
              <w:rPr>
                <w:rFonts w:hint="eastAsia" w:ascii="仿宋" w:hAnsi="仿宋" w:eastAsia="仿宋" w:cs="仿宋"/>
                <w:b w:val="0"/>
                <w:kern w:val="0"/>
                <w:szCs w:val="21"/>
              </w:rPr>
              <w:t>对实施过程进行质控等。</w:t>
            </w:r>
          </w:p>
          <w:p>
            <w:pPr>
              <w:pStyle w:val="59"/>
              <w:pageBreakBefore w:val="0"/>
              <w:widowControl w:val="0"/>
              <w:numPr>
                <w:ilvl w:val="0"/>
                <w:numId w:val="40"/>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根据GCP和CFDA要求，进行AE/SAE记录、SAE在线上报及AE/SAE的全生命周期跟踪管理。</w:t>
            </w:r>
          </w:p>
          <w:p>
            <w:pPr>
              <w:pStyle w:val="59"/>
              <w:pageBreakBefore w:val="0"/>
              <w:widowControl w:val="0"/>
              <w:numPr>
                <w:ilvl w:val="0"/>
                <w:numId w:val="40"/>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临床试验质量管理包括质控员核查，CRO监查和第三方公司稽查管理等。可对质控计划，流程，抽检例数和比例，人员，时间，撰写报告表单等按项目需要配置。</w:t>
            </w:r>
          </w:p>
          <w:p>
            <w:pPr>
              <w:pStyle w:val="59"/>
              <w:pageBreakBefore w:val="0"/>
              <w:widowControl w:val="0"/>
              <w:numPr>
                <w:ilvl w:val="0"/>
                <w:numId w:val="40"/>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支持监查和稽查报告填写上传归档。报告数据自动导入统计分析模块，绘制项目问题分类与分级视图，优化试验质量。</w:t>
            </w:r>
          </w:p>
          <w:p>
            <w:pPr>
              <w:pStyle w:val="59"/>
              <w:pageBreakBefore w:val="0"/>
              <w:widowControl w:val="0"/>
              <w:numPr>
                <w:ilvl w:val="0"/>
                <w:numId w:val="40"/>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项目期间若发生人员变更，将变更账号从项目移除后，系统自动限制移除账号项目权限，保障信息安全。</w:t>
            </w:r>
          </w:p>
          <w:p>
            <w:pPr>
              <w:pStyle w:val="4"/>
              <w:pageBreakBefore w:val="0"/>
              <w:widowControl w:val="0"/>
              <w:numPr>
                <w:ilvl w:val="1"/>
                <w:numId w:val="38"/>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kern w:val="0"/>
                <w:szCs w:val="21"/>
              </w:rPr>
            </w:pPr>
            <w:r>
              <w:rPr>
                <w:rFonts w:hint="eastAsia" w:ascii="仿宋" w:hAnsi="仿宋" w:eastAsia="仿宋" w:cs="仿宋"/>
                <w:kern w:val="0"/>
                <w:szCs w:val="21"/>
              </w:rPr>
              <w:t>AE/SAE管理：</w:t>
            </w:r>
            <w:r>
              <w:rPr>
                <w:rFonts w:hint="eastAsia" w:ascii="仿宋" w:hAnsi="仿宋" w:eastAsia="仿宋" w:cs="仿宋"/>
                <w:b w:val="0"/>
                <w:kern w:val="0"/>
                <w:szCs w:val="21"/>
              </w:rPr>
              <w:t>支持按照GCP和CFDA要求，研究团队在线填写严重不良事件（SAE）报告表。并按照CFDA模板生成SAE上报文档，下载导出。通知临床研究中心、伦理委员会、申办方和相关管理部门。</w:t>
            </w:r>
          </w:p>
          <w:p>
            <w:pPr>
              <w:pStyle w:val="59"/>
              <w:pageBreakBefore w:val="0"/>
              <w:widowControl w:val="0"/>
              <w:numPr>
                <w:ilvl w:val="0"/>
                <w:numId w:val="41"/>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确认后的SAE自动提醒CRA和伦理部门，发起严重不良事件审查。</w:t>
            </w:r>
          </w:p>
          <w:p>
            <w:pPr>
              <w:pStyle w:val="59"/>
              <w:pageBreakBefore w:val="0"/>
              <w:widowControl w:val="0"/>
              <w:numPr>
                <w:ilvl w:val="0"/>
                <w:numId w:val="41"/>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支持研究团队在线填写严重不良事件（SUSAR）报告表，并生成上报文档，下载导出。</w:t>
            </w:r>
          </w:p>
          <w:p>
            <w:pPr>
              <w:pStyle w:val="59"/>
              <w:pageBreakBefore w:val="0"/>
              <w:widowControl w:val="0"/>
              <w:numPr>
                <w:ilvl w:val="0"/>
                <w:numId w:val="41"/>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提供SAE综合查询，便于临床研究中心管理者、伦理委员会和项目组成员跟踪。</w:t>
            </w:r>
          </w:p>
          <w:p>
            <w:pPr>
              <w:pStyle w:val="59"/>
              <w:pageBreakBefore w:val="0"/>
              <w:widowControl w:val="0"/>
              <w:numPr>
                <w:ilvl w:val="0"/>
                <w:numId w:val="41"/>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支持按照统一的AE模板，在线填写AE报告表，进行AE判读，跟踪AE转归情况</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83" w:type="dxa"/>
            <w:vMerge w:val="continue"/>
            <w:vAlign w:val="center"/>
          </w:tcPr>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szCs w:val="21"/>
              </w:rPr>
            </w:pPr>
          </w:p>
        </w:tc>
        <w:tc>
          <w:tcPr>
            <w:tcW w:w="1182" w:type="dxa"/>
            <w:vAlign w:val="center"/>
          </w:tcPr>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rPr>
            </w:pPr>
            <w:r>
              <w:rPr>
                <w:rFonts w:hint="eastAsia" w:ascii="仿宋" w:hAnsi="仿宋" w:eastAsia="仿宋" w:cs="仿宋"/>
                <w:b/>
                <w:szCs w:val="21"/>
              </w:rPr>
              <w:t>9.  培训管理</w:t>
            </w:r>
          </w:p>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rPr>
            </w:pPr>
          </w:p>
        </w:tc>
        <w:tc>
          <w:tcPr>
            <w:tcW w:w="7398" w:type="dxa"/>
            <w:vAlign w:val="center"/>
          </w:tcPr>
          <w:p>
            <w:pPr>
              <w:pStyle w:val="50"/>
              <w:keepNext/>
              <w:keepLines/>
              <w:pageBreakBefore w:val="0"/>
              <w:widowControl w:val="0"/>
              <w:numPr>
                <w:ilvl w:val="0"/>
                <w:numId w:val="38"/>
              </w:numPr>
              <w:tabs>
                <w:tab w:val="left" w:pos="720"/>
                <w:tab w:val="left" w:pos="900"/>
              </w:tabs>
              <w:kinsoku/>
              <w:wordWrap/>
              <w:overflowPunct/>
              <w:topLinePunct w:val="0"/>
              <w:autoSpaceDE/>
              <w:autoSpaceDN/>
              <w:bidi w:val="0"/>
              <w:spacing w:line="360" w:lineRule="auto"/>
              <w:ind w:left="0" w:firstLine="422" w:firstLineChars="200"/>
              <w:jc w:val="both"/>
              <w:textAlignment w:val="auto"/>
              <w:outlineLvl w:val="2"/>
              <w:rPr>
                <w:rFonts w:hint="eastAsia" w:ascii="仿宋" w:hAnsi="仿宋" w:eastAsia="仿宋" w:cs="仿宋"/>
                <w:b/>
                <w:bCs/>
                <w:vanish/>
                <w:szCs w:val="21"/>
              </w:rPr>
            </w:pPr>
          </w:p>
          <w:p>
            <w:pPr>
              <w:pStyle w:val="4"/>
              <w:pageBreakBefore w:val="0"/>
              <w:widowControl w:val="0"/>
              <w:numPr>
                <w:ilvl w:val="2"/>
                <w:numId w:val="0"/>
              </w:numPr>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val="0"/>
                <w:bCs w:val="0"/>
                <w:kern w:val="0"/>
                <w:szCs w:val="21"/>
              </w:rPr>
            </w:pPr>
            <w:r>
              <w:rPr>
                <w:rFonts w:hint="eastAsia" w:ascii="仿宋" w:hAnsi="仿宋" w:eastAsia="仿宋" w:cs="仿宋"/>
                <w:kern w:val="0"/>
                <w:szCs w:val="21"/>
              </w:rPr>
              <w:t>GCP培训管理：</w:t>
            </w:r>
            <w:r>
              <w:rPr>
                <w:rFonts w:hint="eastAsia" w:ascii="仿宋" w:hAnsi="仿宋" w:eastAsia="仿宋" w:cs="仿宋"/>
                <w:b w:val="0"/>
                <w:kern w:val="0"/>
                <w:szCs w:val="21"/>
              </w:rPr>
              <w:t>支持分角色进行独立培训管理，包括GCP培训的发起、报名、进度、结果等。</w:t>
            </w:r>
          </w:p>
          <w:p>
            <w:pPr>
              <w:pStyle w:val="59"/>
              <w:pageBreakBefore w:val="0"/>
              <w:widowControl w:val="0"/>
              <w:numPr>
                <w:ilvl w:val="0"/>
                <w:numId w:val="42"/>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支持培训人员登记，并支持视频、文档、图片资料保存。</w:t>
            </w:r>
          </w:p>
          <w:p>
            <w:pPr>
              <w:pStyle w:val="59"/>
              <w:pageBreakBefore w:val="0"/>
              <w:widowControl w:val="0"/>
              <w:numPr>
                <w:ilvl w:val="0"/>
                <w:numId w:val="42"/>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GCP院内在线视频培训和考试，并基于考试成绩发放证书。</w:t>
            </w:r>
          </w:p>
          <w:p>
            <w:pPr>
              <w:pStyle w:val="59"/>
              <w:pageBreakBefore w:val="0"/>
              <w:widowControl w:val="0"/>
              <w:numPr>
                <w:ilvl w:val="0"/>
                <w:numId w:val="42"/>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支持管理者查看用户培训记录和培训数据导出。</w:t>
            </w:r>
          </w:p>
          <w:p>
            <w:pPr>
              <w:pStyle w:val="59"/>
              <w:pageBreakBefore w:val="0"/>
              <w:widowControl w:val="0"/>
              <w:numPr>
                <w:ilvl w:val="0"/>
                <w:numId w:val="42"/>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b w:val="0"/>
                <w:bCs w:val="0"/>
                <w:kern w:val="0"/>
                <w:szCs w:val="21"/>
              </w:rPr>
            </w:pPr>
            <w:r>
              <w:rPr>
                <w:rFonts w:hint="eastAsia" w:ascii="仿宋" w:hAnsi="仿宋" w:eastAsia="仿宋" w:cs="仿宋"/>
                <w:color w:val="auto"/>
                <w:kern w:val="0"/>
                <w:szCs w:val="21"/>
              </w:rPr>
              <w:t>GCP证书管理相关人员更新维护简历。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83" w:type="dxa"/>
            <w:vMerge w:val="continue"/>
            <w:vAlign w:val="center"/>
          </w:tcPr>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szCs w:val="21"/>
              </w:rPr>
            </w:pPr>
          </w:p>
        </w:tc>
        <w:tc>
          <w:tcPr>
            <w:tcW w:w="1182" w:type="dxa"/>
            <w:vAlign w:val="center"/>
          </w:tcPr>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rPr>
            </w:pPr>
            <w:r>
              <w:rPr>
                <w:rFonts w:hint="eastAsia" w:ascii="仿宋" w:hAnsi="仿宋" w:eastAsia="仿宋" w:cs="仿宋"/>
                <w:b/>
                <w:szCs w:val="21"/>
              </w:rPr>
              <w:t>10.  临床试验统计报表</w:t>
            </w:r>
          </w:p>
          <w:p>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szCs w:val="21"/>
              </w:rPr>
            </w:pPr>
          </w:p>
        </w:tc>
        <w:tc>
          <w:tcPr>
            <w:tcW w:w="7398" w:type="dxa"/>
            <w:vAlign w:val="center"/>
          </w:tcPr>
          <w:p>
            <w:pPr>
              <w:pStyle w:val="50"/>
              <w:keepNext/>
              <w:keepLines/>
              <w:pageBreakBefore w:val="0"/>
              <w:widowControl w:val="0"/>
              <w:numPr>
                <w:ilvl w:val="0"/>
                <w:numId w:val="38"/>
              </w:numPr>
              <w:tabs>
                <w:tab w:val="left" w:pos="720"/>
                <w:tab w:val="left" w:pos="900"/>
              </w:tabs>
              <w:kinsoku/>
              <w:wordWrap/>
              <w:overflowPunct/>
              <w:topLinePunct w:val="0"/>
              <w:autoSpaceDE/>
              <w:autoSpaceDN/>
              <w:bidi w:val="0"/>
              <w:spacing w:line="360" w:lineRule="auto"/>
              <w:ind w:left="0" w:firstLine="422" w:firstLineChars="200"/>
              <w:jc w:val="both"/>
              <w:textAlignment w:val="auto"/>
              <w:outlineLvl w:val="2"/>
              <w:rPr>
                <w:rFonts w:hint="eastAsia" w:ascii="仿宋" w:hAnsi="仿宋" w:eastAsia="仿宋" w:cs="仿宋"/>
                <w:b/>
                <w:bCs/>
                <w:vanish/>
                <w:szCs w:val="21"/>
              </w:rPr>
            </w:pPr>
          </w:p>
          <w:p>
            <w:pPr>
              <w:pStyle w:val="4"/>
              <w:pageBreakBefore w:val="0"/>
              <w:widowControl w:val="0"/>
              <w:numPr>
                <w:ilvl w:val="1"/>
                <w:numId w:val="38"/>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bCs w:val="0"/>
                <w:kern w:val="0"/>
                <w:szCs w:val="21"/>
              </w:rPr>
            </w:pPr>
            <w:r>
              <w:rPr>
                <w:rFonts w:hint="eastAsia" w:ascii="仿宋" w:hAnsi="仿宋" w:eastAsia="仿宋" w:cs="仿宋"/>
                <w:kern w:val="0"/>
                <w:szCs w:val="21"/>
              </w:rPr>
              <w:t>报表数据源配置：</w:t>
            </w:r>
            <w:r>
              <w:rPr>
                <w:rFonts w:hint="eastAsia" w:ascii="仿宋" w:hAnsi="仿宋" w:eastAsia="仿宋" w:cs="仿宋"/>
                <w:b w:val="0"/>
                <w:kern w:val="0"/>
                <w:szCs w:val="21"/>
              </w:rPr>
              <w:t>支持多种数据库的数据源配置，至少支持mysql，sqlserver，oracle，mongodb等。</w:t>
            </w:r>
          </w:p>
          <w:p>
            <w:pPr>
              <w:pStyle w:val="59"/>
              <w:pageBreakBefore w:val="0"/>
              <w:widowControl w:val="0"/>
              <w:numPr>
                <w:ilvl w:val="0"/>
                <w:numId w:val="43"/>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支持数据源的配置，可以进行多数据源管理。</w:t>
            </w:r>
          </w:p>
          <w:p>
            <w:pPr>
              <w:pStyle w:val="59"/>
              <w:pageBreakBefore w:val="0"/>
              <w:widowControl w:val="0"/>
              <w:numPr>
                <w:ilvl w:val="0"/>
                <w:numId w:val="43"/>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支持可视化数据源配置，可以进行删除修改。</w:t>
            </w:r>
          </w:p>
          <w:p>
            <w:pPr>
              <w:pStyle w:val="4"/>
              <w:pageBreakBefore w:val="0"/>
              <w:widowControl w:val="0"/>
              <w:numPr>
                <w:ilvl w:val="1"/>
                <w:numId w:val="38"/>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bCs w:val="0"/>
                <w:kern w:val="0"/>
                <w:szCs w:val="21"/>
              </w:rPr>
            </w:pPr>
            <w:r>
              <w:rPr>
                <w:rFonts w:hint="eastAsia" w:ascii="仿宋" w:hAnsi="仿宋" w:eastAsia="仿宋" w:cs="仿宋"/>
                <w:kern w:val="0"/>
                <w:szCs w:val="21"/>
              </w:rPr>
              <w:t>报表数据开发：支持</w:t>
            </w:r>
            <w:r>
              <w:rPr>
                <w:rFonts w:hint="eastAsia" w:ascii="仿宋" w:hAnsi="仿宋" w:eastAsia="仿宋" w:cs="仿宋"/>
                <w:b w:val="0"/>
                <w:kern w:val="0"/>
                <w:szCs w:val="21"/>
              </w:rPr>
              <w:t>Web 版报表设计器，类似于excel操作风格，通过拖拽完成报表设计。</w:t>
            </w:r>
          </w:p>
          <w:p>
            <w:pPr>
              <w:pStyle w:val="59"/>
              <w:pageBreakBefore w:val="0"/>
              <w:widowControl w:val="0"/>
              <w:numPr>
                <w:ilvl w:val="0"/>
                <w:numId w:val="44"/>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实现了完全在线设计，轻量级集成、类似excel的风格。</w:t>
            </w:r>
          </w:p>
          <w:p>
            <w:pPr>
              <w:pStyle w:val="59"/>
              <w:pageBreakBefore w:val="0"/>
              <w:widowControl w:val="0"/>
              <w:numPr>
                <w:ilvl w:val="0"/>
                <w:numId w:val="44"/>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搭建积木一样在线拖拽设计报表。</w:t>
            </w:r>
          </w:p>
          <w:p>
            <w:pPr>
              <w:pStyle w:val="59"/>
              <w:pageBreakBefore w:val="0"/>
              <w:widowControl w:val="0"/>
              <w:numPr>
                <w:ilvl w:val="0"/>
                <w:numId w:val="44"/>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功能涵盖数据报表设计、打印设计、图表设计。</w:t>
            </w:r>
          </w:p>
          <w:p>
            <w:pPr>
              <w:pStyle w:val="4"/>
              <w:pageBreakBefore w:val="0"/>
              <w:widowControl w:val="0"/>
              <w:numPr>
                <w:ilvl w:val="1"/>
                <w:numId w:val="38"/>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bCs w:val="0"/>
                <w:kern w:val="0"/>
                <w:szCs w:val="21"/>
              </w:rPr>
            </w:pPr>
            <w:r>
              <w:rPr>
                <w:rFonts w:hint="eastAsia" w:ascii="仿宋" w:hAnsi="仿宋" w:eastAsia="仿宋" w:cs="仿宋"/>
                <w:kern w:val="0"/>
                <w:szCs w:val="21"/>
              </w:rPr>
              <w:t>报表权限配置：</w:t>
            </w:r>
            <w:r>
              <w:rPr>
                <w:rFonts w:hint="eastAsia" w:ascii="仿宋" w:hAnsi="仿宋" w:eastAsia="仿宋" w:cs="仿宋"/>
                <w:b w:val="0"/>
                <w:kern w:val="0"/>
                <w:szCs w:val="21"/>
              </w:rPr>
              <w:t>支持分角色进行报表的管理，可以实现不同角色查看不同报表等。</w:t>
            </w:r>
          </w:p>
          <w:p>
            <w:pPr>
              <w:pStyle w:val="59"/>
              <w:pageBreakBefore w:val="0"/>
              <w:widowControl w:val="0"/>
              <w:numPr>
                <w:ilvl w:val="0"/>
                <w:numId w:val="45"/>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支持报表名字参数的设定以及修改。</w:t>
            </w:r>
          </w:p>
          <w:p>
            <w:pPr>
              <w:pStyle w:val="59"/>
              <w:pageBreakBefore w:val="0"/>
              <w:widowControl w:val="0"/>
              <w:numPr>
                <w:ilvl w:val="0"/>
                <w:numId w:val="45"/>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支持报表可以进行页面集成。</w:t>
            </w:r>
          </w:p>
          <w:p>
            <w:pPr>
              <w:pStyle w:val="59"/>
              <w:pageBreakBefore w:val="0"/>
              <w:widowControl w:val="0"/>
              <w:numPr>
                <w:ilvl w:val="0"/>
                <w:numId w:val="45"/>
              </w:numPr>
              <w:kinsoku/>
              <w:wordWrap/>
              <w:overflowPunct/>
              <w:topLinePunct w:val="0"/>
              <w:autoSpaceDE/>
              <w:autoSpaceDN/>
              <w:bidi w:val="0"/>
              <w:spacing w:line="360" w:lineRule="auto"/>
              <w:ind w:left="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支持报表参数的输入。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883" w:type="dxa"/>
            <w:vAlign w:val="center"/>
          </w:tcPr>
          <w:p>
            <w:pPr>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szCs w:val="21"/>
              </w:rPr>
            </w:pPr>
          </w:p>
        </w:tc>
        <w:tc>
          <w:tcPr>
            <w:tcW w:w="1182" w:type="dxa"/>
            <w:vAlign w:val="center"/>
          </w:tcPr>
          <w:p>
            <w:pPr>
              <w:pStyle w:val="5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szCs w:val="21"/>
              </w:rPr>
            </w:pPr>
            <w:r>
              <w:rPr>
                <w:rFonts w:hint="eastAsia" w:ascii="仿宋" w:hAnsi="仿宋" w:eastAsia="仿宋" w:cs="仿宋"/>
                <w:b/>
                <w:szCs w:val="21"/>
                <w:lang w:val="en-US" w:eastAsia="zh-CN"/>
              </w:rPr>
              <w:t xml:space="preserve">11. </w:t>
            </w:r>
            <w:r>
              <w:rPr>
                <w:rFonts w:hint="eastAsia" w:ascii="仿宋" w:hAnsi="仿宋" w:eastAsia="仿宋" w:cs="仿宋"/>
                <w:b/>
                <w:szCs w:val="21"/>
              </w:rPr>
              <w:t>一体化平台</w:t>
            </w:r>
          </w:p>
        </w:tc>
        <w:tc>
          <w:tcPr>
            <w:tcW w:w="7398" w:type="dxa"/>
            <w:vAlign w:val="center"/>
          </w:tcPr>
          <w:p>
            <w:pPr>
              <w:pStyle w:val="4"/>
              <w:pageBreakBefore w:val="0"/>
              <w:widowControl w:val="0"/>
              <w:numPr>
                <w:ilvl w:val="1"/>
                <w:numId w:val="0"/>
              </w:numPr>
              <w:kinsoku/>
              <w:wordWrap/>
              <w:overflowPunct/>
              <w:topLinePunct w:val="0"/>
              <w:autoSpaceDE/>
              <w:autoSpaceDN/>
              <w:bidi w:val="0"/>
              <w:spacing w:line="360" w:lineRule="auto"/>
              <w:ind w:left="0" w:leftChars="0" w:firstLine="420" w:firstLineChars="200"/>
              <w:textAlignment w:val="auto"/>
              <w:rPr>
                <w:rFonts w:hint="eastAsia" w:ascii="仿宋" w:hAnsi="仿宋" w:eastAsia="仿宋" w:cs="仿宋"/>
                <w:b w:val="0"/>
                <w:bCs w:val="0"/>
                <w:kern w:val="0"/>
                <w:szCs w:val="21"/>
              </w:rPr>
            </w:pPr>
            <w:r>
              <w:rPr>
                <w:rFonts w:hint="eastAsia" w:ascii="仿宋" w:hAnsi="仿宋" w:eastAsia="仿宋" w:cs="仿宋"/>
                <w:b w:val="0"/>
                <w:bCs w:val="0"/>
                <w:kern w:val="0"/>
                <w:sz w:val="21"/>
                <w:szCs w:val="21"/>
                <w:lang w:val="en-US" w:eastAsia="zh-CN" w:bidi="ar-SA"/>
              </w:rPr>
              <w:t xml:space="preserve">11.1.  </w:t>
            </w:r>
            <w:r>
              <w:rPr>
                <w:rFonts w:hint="eastAsia" w:ascii="仿宋" w:hAnsi="仿宋" w:eastAsia="仿宋" w:cs="仿宋"/>
                <w:kern w:val="0"/>
                <w:szCs w:val="21"/>
              </w:rPr>
              <w:t>任务及消息提醒：</w:t>
            </w:r>
            <w:r>
              <w:rPr>
                <w:rFonts w:hint="eastAsia" w:ascii="仿宋" w:hAnsi="仿宋" w:eastAsia="仿宋" w:cs="仿宋"/>
                <w:b w:val="0"/>
                <w:bCs w:val="0"/>
                <w:kern w:val="0"/>
                <w:szCs w:val="21"/>
              </w:rPr>
              <w:t>软件支持自定义配置任务和消息触发提醒，默认支持从SSU到项目关闭全流程的机构伦理相关任务消息提醒，如根据年审频率触发伦理审查，伦理委员审查工作提醒，根据核查计划和项目质量问题数量触发质控核查等。</w:t>
            </w:r>
          </w:p>
          <w:p>
            <w:pPr>
              <w:pStyle w:val="4"/>
              <w:pageBreakBefore w:val="0"/>
              <w:widowControl w:val="0"/>
              <w:numPr>
                <w:ilvl w:val="1"/>
                <w:numId w:val="0"/>
              </w:numPr>
              <w:kinsoku/>
              <w:wordWrap/>
              <w:overflowPunct/>
              <w:topLinePunct w:val="0"/>
              <w:autoSpaceDE/>
              <w:autoSpaceDN/>
              <w:bidi w:val="0"/>
              <w:spacing w:line="360" w:lineRule="auto"/>
              <w:ind w:left="0" w:leftChars="0" w:firstLine="420" w:firstLineChars="200"/>
              <w:textAlignment w:val="auto"/>
              <w:rPr>
                <w:rFonts w:hint="eastAsia" w:ascii="仿宋" w:hAnsi="仿宋" w:eastAsia="仿宋" w:cs="仿宋"/>
                <w:kern w:val="0"/>
                <w:szCs w:val="21"/>
              </w:rPr>
            </w:pPr>
            <w:r>
              <w:rPr>
                <w:rFonts w:hint="eastAsia" w:ascii="仿宋" w:hAnsi="仿宋" w:eastAsia="仿宋" w:cs="仿宋"/>
                <w:b w:val="0"/>
                <w:bCs/>
                <w:kern w:val="0"/>
                <w:sz w:val="21"/>
                <w:szCs w:val="21"/>
                <w:lang w:val="en-US" w:eastAsia="zh-CN" w:bidi="ar-SA"/>
              </w:rPr>
              <w:t xml:space="preserve">11.2.  </w:t>
            </w:r>
            <w:r>
              <w:rPr>
                <w:rFonts w:hint="eastAsia" w:ascii="仿宋" w:hAnsi="仿宋" w:eastAsia="仿宋" w:cs="仿宋"/>
                <w:kern w:val="0"/>
                <w:szCs w:val="21"/>
              </w:rPr>
              <w:t>角色权限管理：</w:t>
            </w:r>
            <w:r>
              <w:rPr>
                <w:rFonts w:hint="eastAsia" w:ascii="仿宋" w:hAnsi="仿宋" w:eastAsia="仿宋" w:cs="仿宋"/>
                <w:b w:val="0"/>
                <w:kern w:val="0"/>
                <w:szCs w:val="21"/>
              </w:rPr>
              <w:t>软件支持分系统级和项目级进行账号角色权限配置。角色包括主要研究者、机构办主任、机构办秘书、伦理秘书、伦理委员、申办方、CRA、CRC等。若账号无任何项目级权限自动执行冻结操作，保障信息安全。支持机构与伦理权限在项目级共享，共享内容包括文档管理，项目信息同步等。</w:t>
            </w:r>
          </w:p>
          <w:p>
            <w:pPr>
              <w:pStyle w:val="4"/>
              <w:pageBreakBefore w:val="0"/>
              <w:widowControl w:val="0"/>
              <w:numPr>
                <w:ilvl w:val="1"/>
                <w:numId w:val="0"/>
              </w:numPr>
              <w:kinsoku/>
              <w:wordWrap/>
              <w:overflowPunct/>
              <w:topLinePunct w:val="0"/>
              <w:autoSpaceDE/>
              <w:autoSpaceDN/>
              <w:bidi w:val="0"/>
              <w:spacing w:line="360" w:lineRule="auto"/>
              <w:ind w:left="0" w:leftChars="0" w:firstLine="420" w:firstLineChars="200"/>
              <w:textAlignment w:val="auto"/>
              <w:rPr>
                <w:rFonts w:hint="eastAsia" w:ascii="仿宋" w:hAnsi="仿宋" w:eastAsia="仿宋" w:cs="仿宋"/>
                <w:kern w:val="0"/>
                <w:szCs w:val="21"/>
              </w:rPr>
            </w:pPr>
            <w:r>
              <w:rPr>
                <w:rFonts w:hint="eastAsia" w:ascii="仿宋" w:hAnsi="仿宋" w:eastAsia="仿宋" w:cs="仿宋"/>
                <w:b w:val="0"/>
                <w:bCs/>
                <w:kern w:val="0"/>
                <w:sz w:val="21"/>
                <w:szCs w:val="21"/>
                <w:lang w:val="en-US" w:eastAsia="zh-CN" w:bidi="ar-SA"/>
              </w:rPr>
              <w:t xml:space="preserve">11.3.  </w:t>
            </w:r>
            <w:r>
              <w:rPr>
                <w:rFonts w:hint="eastAsia" w:ascii="仿宋" w:hAnsi="仿宋" w:eastAsia="仿宋" w:cs="仿宋"/>
                <w:kern w:val="0"/>
                <w:szCs w:val="21"/>
              </w:rPr>
              <w:t>用户档案管理：</w:t>
            </w:r>
            <w:r>
              <w:rPr>
                <w:rFonts w:hint="eastAsia" w:ascii="仿宋" w:hAnsi="仿宋" w:eastAsia="仿宋" w:cs="仿宋"/>
                <w:b w:val="0"/>
                <w:kern w:val="0"/>
                <w:szCs w:val="21"/>
              </w:rPr>
              <w:t>支持研究者，CRC，CRA，PM，伦理委员等人员档案，及SMO，CRO，申办方等公司档案资料配置，变更记录及相关资料过期提醒。</w:t>
            </w:r>
          </w:p>
          <w:p>
            <w:pPr>
              <w:pStyle w:val="59"/>
              <w:pageBreakBefore w:val="0"/>
              <w:widowControl w:val="0"/>
              <w:numPr>
                <w:ilvl w:val="0"/>
                <w:numId w:val="0"/>
              </w:numPr>
              <w:kinsoku/>
              <w:wordWrap/>
              <w:overflowPunct/>
              <w:topLinePunct w:val="0"/>
              <w:autoSpaceDE/>
              <w:autoSpaceDN/>
              <w:bidi w:val="0"/>
              <w:spacing w:line="360" w:lineRule="auto"/>
              <w:ind w:left="0" w:leftChars="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支持在外网开放Sponsor/CRO公司进行注册，由机构审核通过后，递交项目申请。</w:t>
            </w:r>
          </w:p>
          <w:p>
            <w:pPr>
              <w:pStyle w:val="4"/>
              <w:pageBreakBefore w:val="0"/>
              <w:widowControl w:val="0"/>
              <w:numPr>
                <w:ilvl w:val="1"/>
                <w:numId w:val="0"/>
              </w:numPr>
              <w:kinsoku/>
              <w:wordWrap/>
              <w:overflowPunct/>
              <w:topLinePunct w:val="0"/>
              <w:autoSpaceDE/>
              <w:autoSpaceDN/>
              <w:bidi w:val="0"/>
              <w:spacing w:line="360" w:lineRule="auto"/>
              <w:ind w:left="0" w:leftChars="0" w:firstLine="420" w:firstLineChars="200"/>
              <w:textAlignment w:val="auto"/>
              <w:rPr>
                <w:rFonts w:hint="eastAsia" w:ascii="仿宋" w:hAnsi="仿宋" w:eastAsia="仿宋" w:cs="仿宋"/>
                <w:b w:val="0"/>
                <w:kern w:val="0"/>
                <w:szCs w:val="21"/>
              </w:rPr>
            </w:pPr>
            <w:r>
              <w:rPr>
                <w:rFonts w:hint="eastAsia" w:ascii="仿宋" w:hAnsi="仿宋" w:eastAsia="仿宋" w:cs="仿宋"/>
                <w:b w:val="0"/>
                <w:bCs/>
                <w:kern w:val="0"/>
                <w:sz w:val="21"/>
                <w:szCs w:val="21"/>
                <w:lang w:val="en-US" w:eastAsia="zh-CN" w:bidi="ar-SA"/>
              </w:rPr>
              <w:t xml:space="preserve">11.4.  </w:t>
            </w:r>
            <w:r>
              <w:rPr>
                <w:rFonts w:hint="eastAsia" w:ascii="仿宋" w:hAnsi="仿宋" w:eastAsia="仿宋" w:cs="仿宋"/>
                <w:kern w:val="0"/>
                <w:szCs w:val="21"/>
              </w:rPr>
              <w:t>申办方SMO,CRO管理：</w:t>
            </w:r>
            <w:r>
              <w:rPr>
                <w:rFonts w:hint="eastAsia" w:ascii="仿宋" w:hAnsi="仿宋" w:eastAsia="仿宋" w:cs="仿宋"/>
                <w:b w:val="0"/>
                <w:kern w:val="0"/>
                <w:szCs w:val="21"/>
              </w:rPr>
              <w:t>支持分系统级和项目进行申办方</w:t>
            </w:r>
            <w:r>
              <w:rPr>
                <w:rFonts w:hint="eastAsia" w:ascii="仿宋" w:hAnsi="仿宋" w:eastAsia="仿宋" w:cs="仿宋"/>
                <w:b w:val="0"/>
                <w:kern w:val="0"/>
                <w:szCs w:val="21"/>
                <w:lang w:eastAsia="zh-CN"/>
              </w:rPr>
              <w:t>单位</w:t>
            </w:r>
            <w:r>
              <w:rPr>
                <w:rFonts w:hint="eastAsia" w:ascii="仿宋" w:hAnsi="仿宋" w:eastAsia="仿宋" w:cs="仿宋"/>
                <w:b w:val="0"/>
                <w:kern w:val="0"/>
                <w:szCs w:val="21"/>
              </w:rPr>
              <w:t>的管理，可以进行</w:t>
            </w:r>
            <w:r>
              <w:rPr>
                <w:rFonts w:hint="eastAsia" w:ascii="仿宋" w:hAnsi="仿宋" w:eastAsia="仿宋" w:cs="仿宋"/>
                <w:b w:val="0"/>
                <w:kern w:val="0"/>
                <w:szCs w:val="21"/>
                <w:lang w:eastAsia="zh-CN"/>
              </w:rPr>
              <w:t>单</w:t>
            </w:r>
            <w:r>
              <w:rPr>
                <w:rFonts w:hint="eastAsia" w:ascii="仿宋" w:hAnsi="仿宋" w:eastAsia="仿宋" w:cs="仿宋"/>
                <w:b w:val="0"/>
                <w:kern w:val="0"/>
                <w:szCs w:val="21"/>
                <w:highlight w:val="none"/>
                <w:lang w:eastAsia="zh-CN"/>
              </w:rPr>
              <w:t>位</w:t>
            </w:r>
            <w:r>
              <w:rPr>
                <w:rFonts w:hint="eastAsia" w:ascii="仿宋" w:hAnsi="仿宋" w:eastAsia="仿宋" w:cs="仿宋"/>
                <w:b w:val="0"/>
                <w:kern w:val="0"/>
                <w:szCs w:val="21"/>
                <w:highlight w:val="none"/>
              </w:rPr>
              <w:t>的录入，以及</w:t>
            </w:r>
            <w:r>
              <w:rPr>
                <w:rFonts w:hint="eastAsia" w:ascii="仿宋" w:hAnsi="仿宋" w:eastAsia="仿宋" w:cs="仿宋"/>
                <w:b w:val="0"/>
                <w:kern w:val="0"/>
                <w:szCs w:val="21"/>
                <w:highlight w:val="none"/>
                <w:lang w:eastAsia="zh-CN"/>
              </w:rPr>
              <w:t>单位</w:t>
            </w:r>
            <w:r>
              <w:rPr>
                <w:rFonts w:hint="eastAsia" w:ascii="仿宋" w:hAnsi="仿宋" w:eastAsia="仿宋" w:cs="仿宋"/>
                <w:b w:val="0"/>
                <w:kern w:val="0"/>
                <w:szCs w:val="21"/>
                <w:highlight w:val="none"/>
              </w:rPr>
              <w:t>属性的编辑，可以对</w:t>
            </w:r>
            <w:r>
              <w:rPr>
                <w:rFonts w:hint="eastAsia" w:ascii="仿宋" w:hAnsi="仿宋" w:eastAsia="仿宋" w:cs="仿宋"/>
                <w:b w:val="0"/>
                <w:kern w:val="0"/>
                <w:szCs w:val="21"/>
                <w:highlight w:val="none"/>
                <w:lang w:eastAsia="zh-CN"/>
              </w:rPr>
              <w:t>单位</w:t>
            </w:r>
            <w:r>
              <w:rPr>
                <w:rFonts w:hint="eastAsia" w:ascii="仿宋" w:hAnsi="仿宋" w:eastAsia="仿宋" w:cs="仿宋"/>
                <w:b w:val="0"/>
                <w:kern w:val="0"/>
                <w:szCs w:val="21"/>
                <w:highlight w:val="none"/>
              </w:rPr>
              <w:t>人员</w:t>
            </w:r>
            <w:r>
              <w:rPr>
                <w:rFonts w:hint="eastAsia" w:ascii="仿宋" w:hAnsi="仿宋" w:eastAsia="仿宋" w:cs="仿宋"/>
                <w:b w:val="0"/>
                <w:kern w:val="0"/>
                <w:szCs w:val="21"/>
                <w:highlight w:val="none"/>
                <w:lang w:eastAsia="zh-CN"/>
              </w:rPr>
              <w:t>和项目进行</w:t>
            </w:r>
            <w:r>
              <w:rPr>
                <w:rFonts w:hint="eastAsia" w:ascii="仿宋" w:hAnsi="仿宋" w:eastAsia="仿宋" w:cs="仿宋"/>
                <w:b w:val="0"/>
                <w:kern w:val="0"/>
                <w:szCs w:val="21"/>
                <w:highlight w:val="none"/>
              </w:rPr>
              <w:t>管理</w:t>
            </w:r>
            <w:r>
              <w:rPr>
                <w:rFonts w:hint="eastAsia" w:ascii="仿宋" w:hAnsi="仿宋" w:eastAsia="仿宋" w:cs="仿宋"/>
                <w:b w:val="0"/>
                <w:kern w:val="0"/>
                <w:szCs w:val="21"/>
                <w:highlight w:val="none"/>
                <w:lang w:eastAsia="zh-CN"/>
              </w:rPr>
              <w:t>。</w:t>
            </w:r>
          </w:p>
          <w:p>
            <w:pPr>
              <w:pStyle w:val="4"/>
              <w:pageBreakBefore w:val="0"/>
              <w:widowControl w:val="0"/>
              <w:numPr>
                <w:ilvl w:val="1"/>
                <w:numId w:val="0"/>
              </w:numPr>
              <w:kinsoku/>
              <w:wordWrap/>
              <w:overflowPunct/>
              <w:topLinePunct w:val="0"/>
              <w:autoSpaceDE/>
              <w:autoSpaceDN/>
              <w:bidi w:val="0"/>
              <w:spacing w:line="360" w:lineRule="auto"/>
              <w:ind w:left="0" w:leftChars="0" w:firstLine="420" w:firstLineChars="200"/>
              <w:textAlignment w:val="auto"/>
              <w:rPr>
                <w:rFonts w:hint="eastAsia" w:ascii="仿宋" w:hAnsi="仿宋" w:eastAsia="仿宋" w:cs="仿宋"/>
              </w:rPr>
            </w:pPr>
            <w:r>
              <w:rPr>
                <w:rFonts w:hint="eastAsia" w:ascii="仿宋" w:hAnsi="仿宋" w:eastAsia="仿宋" w:cs="仿宋"/>
                <w:b w:val="0"/>
                <w:bCs/>
                <w:kern w:val="2"/>
                <w:sz w:val="21"/>
                <w:szCs w:val="21"/>
                <w:lang w:val="en-US" w:eastAsia="zh-CN" w:bidi="ar-SA"/>
              </w:rPr>
              <w:t xml:space="preserve">11.5.  </w:t>
            </w:r>
            <w:r>
              <w:rPr>
                <w:rFonts w:hint="eastAsia" w:ascii="仿宋" w:hAnsi="仿宋" w:eastAsia="仿宋" w:cs="仿宋"/>
                <w:kern w:val="0"/>
                <w:szCs w:val="21"/>
              </w:rPr>
              <w:t>字典管理：</w:t>
            </w:r>
            <w:r>
              <w:rPr>
                <w:rFonts w:hint="eastAsia" w:ascii="仿宋" w:hAnsi="仿宋" w:eastAsia="仿宋" w:cs="仿宋"/>
                <w:b w:val="0"/>
                <w:kern w:val="0"/>
                <w:szCs w:val="21"/>
              </w:rPr>
              <w:t>支持常用字典的在线新增修改等，支持字典名字的编辑。</w:t>
            </w:r>
          </w:p>
          <w:p>
            <w:pPr>
              <w:pStyle w:val="4"/>
              <w:pageBreakBefore w:val="0"/>
              <w:widowControl w:val="0"/>
              <w:numPr>
                <w:ilvl w:val="1"/>
                <w:numId w:val="0"/>
              </w:numPr>
              <w:kinsoku/>
              <w:wordWrap/>
              <w:overflowPunct/>
              <w:topLinePunct w:val="0"/>
              <w:autoSpaceDE/>
              <w:autoSpaceDN/>
              <w:bidi w:val="0"/>
              <w:spacing w:line="360" w:lineRule="auto"/>
              <w:ind w:left="0" w:leftChars="0" w:firstLine="420" w:firstLineChars="200"/>
              <w:textAlignment w:val="auto"/>
              <w:rPr>
                <w:rFonts w:hint="eastAsia" w:ascii="仿宋" w:hAnsi="仿宋" w:eastAsia="仿宋" w:cs="仿宋"/>
                <w:kern w:val="0"/>
                <w:szCs w:val="21"/>
              </w:rPr>
            </w:pPr>
            <w:r>
              <w:rPr>
                <w:rFonts w:hint="eastAsia" w:ascii="仿宋" w:hAnsi="仿宋" w:eastAsia="仿宋" w:cs="仿宋"/>
                <w:b w:val="0"/>
                <w:bCs/>
                <w:kern w:val="0"/>
                <w:sz w:val="21"/>
                <w:szCs w:val="21"/>
                <w:lang w:val="en-US" w:eastAsia="zh-CN" w:bidi="ar-SA"/>
              </w:rPr>
              <w:t xml:space="preserve">11.6.  </w:t>
            </w:r>
            <w:r>
              <w:rPr>
                <w:rFonts w:hint="eastAsia" w:ascii="仿宋" w:hAnsi="仿宋" w:eastAsia="仿宋" w:cs="仿宋"/>
                <w:kern w:val="0"/>
                <w:szCs w:val="21"/>
                <w:highlight w:val="none"/>
                <w:lang w:eastAsia="zh-CN"/>
              </w:rPr>
              <w:t>角色</w:t>
            </w:r>
            <w:r>
              <w:rPr>
                <w:rFonts w:hint="eastAsia" w:ascii="仿宋" w:hAnsi="仿宋" w:eastAsia="仿宋" w:cs="仿宋"/>
                <w:kern w:val="0"/>
                <w:szCs w:val="21"/>
              </w:rPr>
              <w:t>管理：</w:t>
            </w:r>
            <w:r>
              <w:rPr>
                <w:rFonts w:hint="eastAsia" w:ascii="仿宋" w:hAnsi="仿宋" w:eastAsia="仿宋" w:cs="仿宋"/>
                <w:b w:val="0"/>
                <w:kern w:val="0"/>
                <w:szCs w:val="21"/>
              </w:rPr>
              <w:t>软件支持分系统级和项目级进行账号角色权限配置。角色包括主要研究者、机构办主任、机构办秘书、伦理秘书、伦理委员、申办方、CRA、CRC等。若账号无任何项目级权限自动执行冻结操作，保障信息安全。支持机构与伦理权限在项目级共享，共享内容包括文档管理，项目信息同步等。</w:t>
            </w:r>
          </w:p>
          <w:p>
            <w:pPr>
              <w:pStyle w:val="4"/>
              <w:pageBreakBefore w:val="0"/>
              <w:widowControl w:val="0"/>
              <w:numPr>
                <w:ilvl w:val="1"/>
                <w:numId w:val="0"/>
              </w:numPr>
              <w:kinsoku/>
              <w:wordWrap/>
              <w:overflowPunct/>
              <w:topLinePunct w:val="0"/>
              <w:autoSpaceDE/>
              <w:autoSpaceDN/>
              <w:bidi w:val="0"/>
              <w:spacing w:line="360" w:lineRule="auto"/>
              <w:ind w:left="0" w:leftChars="0" w:firstLine="420" w:firstLineChars="200"/>
              <w:textAlignment w:val="auto"/>
              <w:rPr>
                <w:rFonts w:hint="eastAsia" w:ascii="仿宋" w:hAnsi="仿宋" w:eastAsia="仿宋" w:cs="仿宋"/>
              </w:rPr>
            </w:pPr>
            <w:r>
              <w:rPr>
                <w:rFonts w:hint="eastAsia" w:ascii="仿宋" w:hAnsi="仿宋" w:eastAsia="仿宋" w:cs="仿宋"/>
                <w:b w:val="0"/>
                <w:bCs/>
                <w:kern w:val="2"/>
                <w:sz w:val="21"/>
                <w:szCs w:val="21"/>
                <w:lang w:val="en-US" w:eastAsia="zh-CN" w:bidi="ar-SA"/>
              </w:rPr>
              <w:t xml:space="preserve">11.7.  </w:t>
            </w:r>
            <w:r>
              <w:rPr>
                <w:rFonts w:hint="eastAsia" w:ascii="仿宋" w:hAnsi="仿宋" w:eastAsia="仿宋" w:cs="仿宋"/>
                <w:kern w:val="0"/>
                <w:szCs w:val="21"/>
              </w:rPr>
              <w:t>帮助中心：</w:t>
            </w:r>
            <w:r>
              <w:rPr>
                <w:rFonts w:hint="eastAsia" w:ascii="仿宋" w:hAnsi="仿宋" w:eastAsia="仿宋" w:cs="仿宋"/>
                <w:b w:val="0"/>
                <w:kern w:val="0"/>
                <w:szCs w:val="21"/>
              </w:rPr>
              <w:t>为了降低用户使用成本，保证用户在一个大型业务系统的可用性，引入一个在全局系统层面用户帮助体系对于提升用户体验是非常有必要的。支持常见问题的归类汇集，以及编辑，支持帮助文档的上传，在线预览等。</w:t>
            </w:r>
          </w:p>
          <w:p>
            <w:pPr>
              <w:pStyle w:val="4"/>
              <w:pageBreakBefore w:val="0"/>
              <w:widowControl w:val="0"/>
              <w:numPr>
                <w:ilvl w:val="1"/>
                <w:numId w:val="0"/>
              </w:numPr>
              <w:kinsoku/>
              <w:wordWrap/>
              <w:overflowPunct/>
              <w:topLinePunct w:val="0"/>
              <w:autoSpaceDE/>
              <w:autoSpaceDN/>
              <w:bidi w:val="0"/>
              <w:spacing w:line="360" w:lineRule="auto"/>
              <w:ind w:left="0" w:leftChars="0" w:firstLine="420" w:firstLineChars="200"/>
              <w:textAlignment w:val="auto"/>
              <w:rPr>
                <w:rFonts w:hint="eastAsia" w:ascii="仿宋" w:hAnsi="仿宋" w:eastAsia="仿宋" w:cs="仿宋"/>
              </w:rPr>
            </w:pPr>
            <w:r>
              <w:rPr>
                <w:rFonts w:hint="eastAsia" w:ascii="仿宋" w:hAnsi="仿宋" w:eastAsia="仿宋" w:cs="仿宋"/>
                <w:b w:val="0"/>
                <w:bCs/>
                <w:kern w:val="2"/>
                <w:sz w:val="21"/>
                <w:szCs w:val="21"/>
                <w:lang w:val="en-US" w:eastAsia="zh-CN" w:bidi="ar-SA"/>
              </w:rPr>
              <w:t xml:space="preserve">11.8.  </w:t>
            </w:r>
            <w:r>
              <w:rPr>
                <w:rFonts w:hint="eastAsia" w:ascii="仿宋" w:hAnsi="仿宋" w:eastAsia="仿宋" w:cs="仿宋"/>
                <w:kern w:val="0"/>
                <w:szCs w:val="21"/>
              </w:rPr>
              <w:t>元数据管理：</w:t>
            </w:r>
            <w:r>
              <w:rPr>
                <w:rFonts w:hint="eastAsia" w:ascii="仿宋" w:hAnsi="仿宋" w:eastAsia="仿宋" w:cs="仿宋"/>
                <w:b w:val="0"/>
                <w:kern w:val="0"/>
                <w:szCs w:val="21"/>
              </w:rPr>
              <w:t>元数据管理是一项和主数据管理、数据治理一样重要的功能，因为元数据管理是每一个这些准则的基础组件。支持自定义元数据集，支持数据库表映射元数据，将对象重新映射到新源。导出模型，以在不同的数据仓库工具和存储库之间交换元数据。</w:t>
            </w:r>
          </w:p>
          <w:p>
            <w:pPr>
              <w:pStyle w:val="4"/>
              <w:pageBreakBefore w:val="0"/>
              <w:widowControl w:val="0"/>
              <w:numPr>
                <w:ilvl w:val="1"/>
                <w:numId w:val="0"/>
              </w:numPr>
              <w:kinsoku/>
              <w:wordWrap/>
              <w:overflowPunct/>
              <w:topLinePunct w:val="0"/>
              <w:autoSpaceDE/>
              <w:autoSpaceDN/>
              <w:bidi w:val="0"/>
              <w:spacing w:line="360" w:lineRule="auto"/>
              <w:ind w:left="0" w:leftChars="0" w:firstLine="420" w:firstLineChars="200"/>
              <w:textAlignment w:val="auto"/>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 xml:space="preserve">11.9.  </w:t>
            </w:r>
            <w:r>
              <w:rPr>
                <w:rFonts w:hint="eastAsia" w:ascii="仿宋" w:hAnsi="仿宋" w:eastAsia="仿宋" w:cs="仿宋"/>
                <w:kern w:val="0"/>
                <w:szCs w:val="21"/>
              </w:rPr>
              <w:t>表单管理：</w:t>
            </w:r>
            <w:r>
              <w:rPr>
                <w:rFonts w:hint="eastAsia" w:ascii="仿宋" w:hAnsi="仿宋" w:eastAsia="仿宋" w:cs="仿宋"/>
                <w:b w:val="0"/>
                <w:kern w:val="0"/>
                <w:szCs w:val="21"/>
              </w:rPr>
              <w:t>支持分不同分类的表单管理，支持系统自定义表单，可以简单的进行流程表单的修改操作，对于复杂的业务逻辑可以进行脚本代码的编写进行辅助。支持表单的预览，以及表单数据元的</w:t>
            </w:r>
            <w:r>
              <w:rPr>
                <w:rFonts w:hint="eastAsia" w:ascii="仿宋" w:hAnsi="仿宋" w:eastAsia="仿宋" w:cs="仿宋"/>
                <w:b w:val="0"/>
                <w:bCs/>
                <w:kern w:val="2"/>
                <w:sz w:val="21"/>
                <w:szCs w:val="21"/>
                <w:lang w:val="en-US" w:eastAsia="zh-CN" w:bidi="ar-SA"/>
              </w:rPr>
              <w:t xml:space="preserve">使用。 </w:t>
            </w:r>
          </w:p>
          <w:p>
            <w:pPr>
              <w:pStyle w:val="4"/>
              <w:pageBreakBefore w:val="0"/>
              <w:widowControl w:val="0"/>
              <w:numPr>
                <w:ilvl w:val="1"/>
                <w:numId w:val="0"/>
              </w:numPr>
              <w:kinsoku/>
              <w:wordWrap/>
              <w:overflowPunct/>
              <w:topLinePunct w:val="0"/>
              <w:autoSpaceDE/>
              <w:autoSpaceDN/>
              <w:bidi w:val="0"/>
              <w:spacing w:line="360" w:lineRule="auto"/>
              <w:ind w:left="0" w:leftChars="0" w:firstLine="420" w:firstLineChars="200"/>
              <w:textAlignment w:val="auto"/>
              <w:rPr>
                <w:rFonts w:hint="eastAsia" w:ascii="仿宋" w:hAnsi="仿宋" w:eastAsia="仿宋" w:cs="仿宋"/>
              </w:rPr>
            </w:pPr>
            <w:r>
              <w:rPr>
                <w:rFonts w:hint="eastAsia" w:ascii="仿宋" w:hAnsi="仿宋" w:eastAsia="仿宋" w:cs="仿宋"/>
                <w:b w:val="0"/>
                <w:bCs/>
                <w:kern w:val="2"/>
                <w:sz w:val="21"/>
                <w:szCs w:val="21"/>
                <w:lang w:val="en-US" w:eastAsia="zh-CN" w:bidi="ar-SA"/>
              </w:rPr>
              <w:t xml:space="preserve">11.10.  </w:t>
            </w:r>
            <w:r>
              <w:rPr>
                <w:rFonts w:hint="eastAsia" w:ascii="仿宋" w:hAnsi="仿宋" w:eastAsia="仿宋" w:cs="仿宋"/>
                <w:kern w:val="0"/>
                <w:szCs w:val="21"/>
                <w:lang w:val="en-US" w:eastAsia="zh-CN"/>
              </w:rPr>
              <w:t>日志管理：</w:t>
            </w:r>
            <w:r>
              <w:rPr>
                <w:rFonts w:hint="eastAsia" w:ascii="仿宋" w:hAnsi="仿宋" w:eastAsia="仿宋" w:cs="仿宋"/>
                <w:b w:val="0"/>
                <w:bCs/>
                <w:kern w:val="2"/>
                <w:sz w:val="21"/>
                <w:szCs w:val="21"/>
                <w:lang w:val="en-US" w:eastAsia="zh-CN" w:bidi="ar-SA"/>
              </w:rPr>
              <w:t>支持多种维度的系统使用日志记录，包括登陆记录，功能模块使用记录，以及受试者数据点击记录等，方便进行后期的数据统计与稽查。</w:t>
            </w:r>
          </w:p>
        </w:tc>
      </w:tr>
    </w:tbl>
    <w:p>
      <w:pPr>
        <w:rPr>
          <w:rFonts w:hint="eastAsia" w:ascii="仿宋" w:hAnsi="仿宋" w:eastAsia="仿宋" w:cs="仿宋"/>
          <w:b/>
          <w:color w:val="auto"/>
          <w:sz w:val="36"/>
          <w:szCs w:val="36"/>
          <w:highlight w:val="none"/>
        </w:rPr>
      </w:pPr>
      <w:bookmarkStart w:id="173" w:name="_Toc30695"/>
      <w:bookmarkStart w:id="174" w:name="_Toc6403"/>
      <w:bookmarkStart w:id="175" w:name="_Toc1301"/>
      <w:bookmarkStart w:id="176" w:name="_Toc26634"/>
      <w:bookmarkStart w:id="177" w:name="_Toc1464"/>
      <w:bookmarkStart w:id="178" w:name="_Toc26613"/>
      <w:bookmarkStart w:id="179" w:name="_Toc16918"/>
      <w:bookmarkStart w:id="180" w:name="_Toc11004"/>
      <w:bookmarkStart w:id="181" w:name="_Toc5886"/>
      <w:bookmarkStart w:id="182" w:name="_Toc16109"/>
      <w:bookmarkStart w:id="183" w:name="_Toc5737"/>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第六章 响应文件格式</w:t>
      </w:r>
      <w:bookmarkEnd w:id="173"/>
      <w:bookmarkEnd w:id="174"/>
      <w:bookmarkEnd w:id="175"/>
      <w:bookmarkEnd w:id="176"/>
      <w:bookmarkEnd w:id="177"/>
      <w:bookmarkEnd w:id="178"/>
      <w:bookmarkEnd w:id="179"/>
      <w:bookmarkEnd w:id="180"/>
      <w:bookmarkEnd w:id="181"/>
      <w:bookmarkEnd w:id="182"/>
      <w:bookmarkEnd w:id="183"/>
    </w:p>
    <w:p>
      <w:pPr>
        <w:spacing w:line="360" w:lineRule="auto"/>
        <w:jc w:val="center"/>
        <w:rPr>
          <w:rFonts w:hint="eastAsia" w:ascii="仿宋" w:hAnsi="仿宋" w:eastAsia="仿宋" w:cs="仿宋"/>
          <w:color w:val="auto"/>
          <w:highlight w:val="none"/>
          <w:u w:val="single"/>
        </w:rPr>
      </w:pPr>
    </w:p>
    <w:p>
      <w:pPr>
        <w:spacing w:line="360" w:lineRule="auto"/>
        <w:jc w:val="center"/>
        <w:rPr>
          <w:rFonts w:hint="eastAsia" w:ascii="仿宋" w:hAnsi="仿宋" w:eastAsia="仿宋" w:cs="仿宋"/>
          <w:color w:val="auto"/>
          <w:sz w:val="32"/>
          <w:szCs w:val="32"/>
          <w:highlight w:val="none"/>
        </w:rPr>
      </w:pPr>
      <w:bookmarkStart w:id="184" w:name="_Toc32670"/>
    </w:p>
    <w:p>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菏泽市立医院药物临床实验管理系统</w:t>
      </w:r>
    </w:p>
    <w:bookmarkEnd w:id="184"/>
    <w:p>
      <w:pPr>
        <w:spacing w:line="360" w:lineRule="auto"/>
        <w:ind w:firstLine="1800" w:firstLineChars="500"/>
        <w:rPr>
          <w:rFonts w:hint="eastAsia" w:ascii="仿宋" w:hAnsi="仿宋" w:eastAsia="仿宋" w:cs="仿宋"/>
          <w:color w:val="auto"/>
          <w:highlight w:val="none"/>
        </w:rPr>
      </w:pPr>
      <w:r>
        <w:rPr>
          <w:rFonts w:hint="eastAsia" w:ascii="仿宋" w:hAnsi="仿宋" w:eastAsia="仿宋" w:cs="仿宋"/>
          <w:color w:val="auto"/>
          <w:sz w:val="36"/>
          <w:szCs w:val="36"/>
          <w:highlight w:val="none"/>
        </w:rPr>
        <w:t xml:space="preserve">           </w:t>
      </w:r>
    </w:p>
    <w:p>
      <w:pPr>
        <w:spacing w:line="360" w:lineRule="auto"/>
        <w:jc w:val="center"/>
        <w:outlineLvl w:val="0"/>
        <w:rPr>
          <w:rFonts w:hint="eastAsia" w:ascii="仿宋" w:hAnsi="仿宋" w:eastAsia="仿宋" w:cs="仿宋"/>
          <w:color w:val="auto"/>
          <w:sz w:val="36"/>
          <w:szCs w:val="36"/>
          <w:highlight w:val="none"/>
        </w:rPr>
      </w:pPr>
      <w:bookmarkStart w:id="185" w:name="_Toc6361"/>
      <w:bookmarkStart w:id="186" w:name="_Toc25420"/>
      <w:bookmarkStart w:id="187" w:name="_Toc15833"/>
      <w:bookmarkStart w:id="188" w:name="_Toc11457"/>
      <w:bookmarkStart w:id="189" w:name="_Toc29141"/>
      <w:bookmarkStart w:id="190" w:name="_Toc13115"/>
      <w:bookmarkStart w:id="191" w:name="_Toc8829"/>
      <w:bookmarkStart w:id="192" w:name="_Toc13344"/>
      <w:bookmarkStart w:id="193" w:name="_Toc20822"/>
    </w:p>
    <w:p>
      <w:pPr>
        <w:spacing w:line="360" w:lineRule="auto"/>
        <w:jc w:val="center"/>
        <w:outlineLvl w:val="0"/>
        <w:rPr>
          <w:rFonts w:hint="eastAsia" w:ascii="仿宋" w:hAnsi="仿宋" w:eastAsia="仿宋" w:cs="仿宋"/>
          <w:color w:val="auto"/>
          <w:sz w:val="36"/>
          <w:szCs w:val="36"/>
          <w:highlight w:val="none"/>
        </w:rPr>
      </w:pPr>
      <w:bookmarkStart w:id="194" w:name="_Toc8634"/>
      <w:bookmarkStart w:id="195" w:name="_Toc3122"/>
      <w:r>
        <w:rPr>
          <w:rFonts w:hint="eastAsia" w:ascii="仿宋" w:hAnsi="仿宋" w:eastAsia="仿宋" w:cs="仿宋"/>
          <w:color w:val="auto"/>
          <w:sz w:val="36"/>
          <w:szCs w:val="36"/>
          <w:highlight w:val="none"/>
        </w:rPr>
        <w:t>响应文件</w:t>
      </w:r>
      <w:bookmarkEnd w:id="185"/>
      <w:bookmarkEnd w:id="186"/>
      <w:bookmarkEnd w:id="187"/>
      <w:bookmarkEnd w:id="188"/>
      <w:bookmarkEnd w:id="189"/>
      <w:bookmarkEnd w:id="190"/>
      <w:bookmarkEnd w:id="191"/>
      <w:bookmarkEnd w:id="192"/>
      <w:bookmarkEnd w:id="193"/>
      <w:bookmarkEnd w:id="194"/>
      <w:bookmarkEnd w:id="195"/>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pStyle w:val="3"/>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ind w:firstLine="2520" w:firstLineChars="1050"/>
        <w:rPr>
          <w:rFonts w:hint="eastAsia" w:ascii="仿宋" w:hAnsi="仿宋" w:eastAsia="仿宋" w:cs="仿宋"/>
          <w:color w:val="auto"/>
          <w:sz w:val="24"/>
          <w:szCs w:val="32"/>
          <w:highlight w:val="none"/>
          <w:u w:val="single"/>
        </w:rPr>
      </w:pPr>
      <w:r>
        <w:rPr>
          <w:rFonts w:hint="eastAsia" w:ascii="仿宋" w:hAnsi="仿宋" w:eastAsia="仿宋" w:cs="仿宋"/>
          <w:color w:val="auto"/>
          <w:sz w:val="24"/>
          <w:szCs w:val="32"/>
          <w:highlight w:val="none"/>
        </w:rPr>
        <w:t>供应商：</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u w:val="single"/>
        </w:rPr>
        <w:t>（</w:t>
      </w:r>
      <w:r>
        <w:rPr>
          <w:rFonts w:hint="eastAsia" w:ascii="仿宋" w:hAnsi="仿宋" w:eastAsia="仿宋" w:cs="仿宋"/>
          <w:color w:val="auto"/>
          <w:sz w:val="24"/>
          <w:szCs w:val="32"/>
          <w:highlight w:val="none"/>
          <w:u w:val="single"/>
          <w:lang w:eastAsia="zh-CN"/>
        </w:rPr>
        <w:t>盖章</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u w:val="single"/>
        </w:rPr>
        <w:t xml:space="preserve">   </w:t>
      </w:r>
    </w:p>
    <w:p>
      <w:pPr>
        <w:spacing w:line="360" w:lineRule="auto"/>
        <w:jc w:val="center"/>
        <w:rPr>
          <w:rFonts w:hint="eastAsia" w:ascii="仿宋" w:hAnsi="仿宋" w:eastAsia="仿宋" w:cs="仿宋"/>
          <w:color w:val="auto"/>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sz w:val="24"/>
          <w:szCs w:val="32"/>
          <w:highlight w:val="none"/>
          <w:u w:val="single"/>
        </w:rPr>
      </w:pPr>
      <w:bookmarkStart w:id="196" w:name="_Toc16794"/>
      <w:bookmarkStart w:id="197" w:name="_Toc30858"/>
      <w:bookmarkStart w:id="198" w:name="_Toc23142"/>
      <w:bookmarkStart w:id="199" w:name="_Toc28848"/>
      <w:bookmarkStart w:id="200" w:name="_Toc19661"/>
      <w:bookmarkStart w:id="201" w:name="_Toc2965"/>
      <w:bookmarkStart w:id="202" w:name="_Toc20498"/>
      <w:bookmarkStart w:id="203" w:name="_Toc5724"/>
      <w:bookmarkStart w:id="204" w:name="_Toc26481"/>
      <w:r>
        <w:rPr>
          <w:rFonts w:hint="eastAsia" w:ascii="仿宋" w:hAnsi="仿宋" w:eastAsia="仿宋" w:cs="仿宋"/>
          <w:color w:val="auto"/>
          <w:sz w:val="24"/>
          <w:szCs w:val="32"/>
          <w:highlight w:val="none"/>
        </w:rPr>
        <w:t>法定代表人或其委托代理人：</w:t>
      </w:r>
      <w:r>
        <w:rPr>
          <w:rFonts w:hint="eastAsia" w:ascii="仿宋" w:hAnsi="仿宋" w:eastAsia="仿宋" w:cs="仿宋"/>
          <w:color w:val="auto"/>
          <w:sz w:val="24"/>
          <w:szCs w:val="32"/>
          <w:highlight w:val="none"/>
          <w:u w:val="single"/>
        </w:rPr>
        <w:t xml:space="preserve"> （签字或盖章）</w:t>
      </w:r>
      <w:bookmarkEnd w:id="196"/>
      <w:bookmarkEnd w:id="197"/>
      <w:bookmarkEnd w:id="198"/>
      <w:bookmarkEnd w:id="199"/>
      <w:bookmarkEnd w:id="200"/>
      <w:bookmarkEnd w:id="201"/>
      <w:bookmarkEnd w:id="202"/>
      <w:bookmarkEnd w:id="203"/>
      <w:bookmarkEnd w:id="204"/>
    </w:p>
    <w:p>
      <w:pPr>
        <w:spacing w:line="360" w:lineRule="auto"/>
        <w:jc w:val="center"/>
        <w:rPr>
          <w:rFonts w:hint="eastAsia" w:ascii="仿宋" w:hAnsi="仿宋" w:eastAsia="仿宋" w:cs="仿宋"/>
          <w:color w:val="auto"/>
          <w:sz w:val="24"/>
          <w:szCs w:val="32"/>
          <w:highlight w:val="none"/>
        </w:rPr>
      </w:pPr>
    </w:p>
    <w:p>
      <w:pPr>
        <w:spacing w:line="360" w:lineRule="auto"/>
        <w:ind w:firstLine="3120" w:firstLineChars="1300"/>
        <w:rPr>
          <w:rFonts w:hint="eastAsia" w:ascii="仿宋" w:hAnsi="仿宋" w:eastAsia="仿宋" w:cs="仿宋"/>
          <w:b/>
          <w:color w:val="auto"/>
          <w:sz w:val="24"/>
          <w:highlight w:val="none"/>
        </w:rPr>
      </w:pPr>
      <w:r>
        <w:rPr>
          <w:rFonts w:hint="eastAsia" w:ascii="仿宋" w:hAnsi="仿宋" w:eastAsia="仿宋" w:cs="仿宋"/>
          <w:color w:val="auto"/>
          <w:sz w:val="24"/>
          <w:szCs w:val="32"/>
          <w:highlight w:val="none"/>
          <w:u w:val="none"/>
          <w:lang w:eastAsia="zh-CN"/>
        </w:rPr>
        <w:t>日期：</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rPr>
        <w:t>年</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rPr>
        <w:t>月</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rPr>
        <w:t>日</w:t>
      </w:r>
    </w:p>
    <w:p>
      <w:pPr>
        <w:pStyle w:val="30"/>
        <w:ind w:firstLine="482"/>
        <w:rPr>
          <w:rFonts w:hint="eastAsia" w:ascii="仿宋" w:hAnsi="仿宋" w:eastAsia="仿宋" w:cs="仿宋"/>
          <w:b/>
          <w:color w:val="auto"/>
          <w:sz w:val="24"/>
          <w:highlight w:val="none"/>
        </w:rPr>
      </w:pPr>
    </w:p>
    <w:p>
      <w:pPr>
        <w:pStyle w:val="29"/>
        <w:ind w:firstLine="0" w:firstLineChars="0"/>
        <w:rPr>
          <w:rFonts w:hint="eastAsia" w:ascii="仿宋" w:hAnsi="仿宋" w:eastAsia="仿宋" w:cs="仿宋"/>
          <w:b/>
          <w:color w:val="auto"/>
          <w:sz w:val="24"/>
          <w:highlight w:val="none"/>
        </w:rPr>
      </w:pPr>
    </w:p>
    <w:p>
      <w:pPr>
        <w:rPr>
          <w:rFonts w:hint="eastAsia" w:ascii="仿宋" w:hAnsi="仿宋" w:eastAsia="仿宋" w:cs="仿宋"/>
          <w:color w:val="auto"/>
          <w:highlight w:val="none"/>
        </w:rPr>
      </w:pPr>
      <w:bookmarkStart w:id="205" w:name="_Toc17360"/>
      <w:bookmarkStart w:id="206" w:name="_Toc24426"/>
      <w:bookmarkStart w:id="207" w:name="_Toc152045788"/>
      <w:bookmarkStart w:id="208" w:name="_Toc29976"/>
      <w:bookmarkStart w:id="209" w:name="_Toc179632808"/>
      <w:bookmarkStart w:id="210" w:name="_Toc26253"/>
      <w:bookmarkStart w:id="211" w:name="_Toc15247"/>
      <w:bookmarkStart w:id="212" w:name="_Toc246997099"/>
      <w:bookmarkStart w:id="213" w:name="_Toc246996356"/>
      <w:bookmarkStart w:id="214" w:name="_Toc296602602"/>
      <w:bookmarkStart w:id="215" w:name="_Toc144974857"/>
      <w:bookmarkStart w:id="216" w:name="_Toc2320"/>
      <w:bookmarkStart w:id="217" w:name="_Toc247085874"/>
      <w:bookmarkStart w:id="218" w:name="_Toc9945"/>
      <w:bookmarkStart w:id="219" w:name="_Toc152042577"/>
      <w:bookmarkStart w:id="220" w:name="_Toc22978"/>
      <w:bookmarkStart w:id="221" w:name="_Toc29805"/>
      <w:bookmarkStart w:id="222" w:name="_Toc22542"/>
      <w:r>
        <w:rPr>
          <w:rFonts w:hint="eastAsia" w:ascii="仿宋" w:hAnsi="仿宋" w:eastAsia="仿宋" w:cs="仿宋"/>
          <w:color w:val="auto"/>
          <w:highlight w:val="none"/>
        </w:rPr>
        <w:br w:type="page"/>
      </w:r>
    </w:p>
    <w:p>
      <w:pPr>
        <w:spacing w:line="500" w:lineRule="exact"/>
        <w:ind w:firstLine="280" w:firstLineChars="100"/>
        <w:jc w:val="center"/>
        <w:rPr>
          <w:rFonts w:hint="eastAsia" w:ascii="仿宋" w:hAnsi="仿宋" w:eastAsia="仿宋" w:cs="仿宋"/>
          <w:color w:val="auto"/>
          <w:highlight w:val="none"/>
        </w:rPr>
      </w:pPr>
      <w:r>
        <w:rPr>
          <w:rFonts w:hint="eastAsia" w:ascii="仿宋" w:hAnsi="仿宋" w:eastAsia="仿宋" w:cs="仿宋"/>
          <w:color w:val="auto"/>
          <w:sz w:val="28"/>
          <w:szCs w:val="28"/>
          <w:highlight w:val="none"/>
        </w:rPr>
        <w:t>目录</w:t>
      </w:r>
    </w:p>
    <w:p>
      <w:pPr>
        <w:spacing w:line="500" w:lineRule="exact"/>
        <w:ind w:firstLine="210" w:firstLineChars="100"/>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"_Toc15620"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一、报价函</w:t>
      </w:r>
      <w:r>
        <w:rPr>
          <w:rFonts w:hint="eastAsia" w:ascii="仿宋" w:hAnsi="仿宋" w:eastAsia="仿宋" w:cs="仿宋"/>
          <w:color w:val="auto"/>
          <w:sz w:val="24"/>
          <w:highlight w:val="none"/>
        </w:rPr>
        <w:fldChar w:fldCharType="end"/>
      </w:r>
    </w:p>
    <w:p>
      <w:pPr>
        <w:spacing w:line="500" w:lineRule="exact"/>
        <w:ind w:firstLine="210" w:firstLineChars="100"/>
        <w:jc w:val="left"/>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"_Toc23481"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二、报价一览表</w:t>
      </w:r>
      <w:r>
        <w:rPr>
          <w:rFonts w:hint="eastAsia" w:ascii="仿宋" w:hAnsi="仿宋" w:eastAsia="仿宋" w:cs="仿宋"/>
          <w:color w:val="auto"/>
          <w:sz w:val="24"/>
          <w:highlight w:val="none"/>
        </w:rPr>
        <w:fldChar w:fldCharType="end"/>
      </w:r>
    </w:p>
    <w:p>
      <w:pPr>
        <w:spacing w:line="500" w:lineRule="exact"/>
        <w:ind w:firstLine="210" w:firstLineChars="100"/>
        <w:jc w:val="left"/>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"_Toc29434"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 xml:space="preserve">三、法定代表人身份证明 </w:t>
      </w:r>
      <w:r>
        <w:rPr>
          <w:rFonts w:hint="eastAsia" w:ascii="仿宋" w:hAnsi="仿宋" w:eastAsia="仿宋" w:cs="仿宋"/>
          <w:color w:val="auto"/>
          <w:sz w:val="24"/>
          <w:highlight w:val="none"/>
        </w:rPr>
        <w:fldChar w:fldCharType="end"/>
      </w:r>
    </w:p>
    <w:p>
      <w:pPr>
        <w:spacing w:line="50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HYPERLINK \l "_Toc2039"</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四、技术部分</w:t>
      </w:r>
    </w:p>
    <w:p>
      <w:pPr>
        <w:spacing w:line="50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五、商务/技术条款偏离表</w:t>
      </w:r>
      <w:r>
        <w:rPr>
          <w:rFonts w:hint="eastAsia" w:ascii="仿宋" w:hAnsi="仿宋" w:eastAsia="仿宋" w:cs="仿宋"/>
          <w:color w:val="auto"/>
          <w:sz w:val="24"/>
          <w:highlight w:val="none"/>
        </w:rPr>
        <w:fldChar w:fldCharType="end"/>
      </w:r>
    </w:p>
    <w:p>
      <w:pPr>
        <w:spacing w:line="50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HYPERLINK \l "_Toc17622"</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六、资格审查资料</w:t>
      </w:r>
    </w:p>
    <w:p>
      <w:pPr>
        <w:spacing w:line="50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七、菏泽市政府采购供应商资格信用承诺函</w:t>
      </w:r>
      <w:r>
        <w:rPr>
          <w:rFonts w:hint="eastAsia" w:ascii="仿宋" w:hAnsi="仿宋" w:eastAsia="仿宋" w:cs="仿宋"/>
          <w:color w:val="auto"/>
          <w:sz w:val="24"/>
          <w:highlight w:val="none"/>
        </w:rPr>
        <w:fldChar w:fldCharType="end"/>
      </w:r>
    </w:p>
    <w:p>
      <w:pPr>
        <w:spacing w:line="50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八</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"_Toc14645"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、供应商认为需提交的其他资料</w:t>
      </w:r>
      <w:r>
        <w:rPr>
          <w:rFonts w:hint="eastAsia" w:ascii="仿宋" w:hAnsi="仿宋" w:eastAsia="仿宋" w:cs="仿宋"/>
          <w:color w:val="auto"/>
          <w:sz w:val="24"/>
          <w:highlight w:val="none"/>
        </w:rPr>
        <w:fldChar w:fldCharType="end"/>
      </w:r>
    </w:p>
    <w:p>
      <w:pPr>
        <w:spacing w:line="50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九、供应商认为有必要提供的其他资料文件</w:t>
      </w: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spacing w:before="0" w:after="0" w:line="360" w:lineRule="auto"/>
        <w:jc w:val="center"/>
        <w:rPr>
          <w:rFonts w:hint="eastAsia" w:ascii="仿宋" w:hAnsi="仿宋" w:eastAsia="仿宋" w:cs="仿宋"/>
          <w:color w:val="auto"/>
          <w:highlight w:val="none"/>
        </w:rPr>
      </w:pPr>
      <w:r>
        <w:rPr>
          <w:rFonts w:hint="eastAsia" w:ascii="仿宋" w:hAnsi="仿宋" w:eastAsia="仿宋" w:cs="仿宋"/>
          <w:color w:val="auto"/>
          <w:sz w:val="28"/>
          <w:szCs w:val="28"/>
          <w:highlight w:val="none"/>
        </w:rPr>
        <w:t>一、报价函</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spacing w:line="360" w:lineRule="auto"/>
        <w:ind w:firstLine="120" w:firstLineChars="50"/>
        <w:jc w:val="center"/>
        <w:rPr>
          <w:rFonts w:hint="eastAsia" w:ascii="仿宋" w:hAnsi="仿宋" w:eastAsia="仿宋" w:cs="仿宋"/>
          <w:b/>
          <w:color w:val="auto"/>
          <w:sz w:val="24"/>
          <w:highlight w:val="none"/>
        </w:rPr>
      </w:pPr>
    </w:p>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 xml:space="preserve">：                     </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1．我方已仔细研究了</w:t>
      </w:r>
      <w:r>
        <w:rPr>
          <w:rFonts w:hint="eastAsia" w:ascii="仿宋" w:hAnsi="仿宋" w:eastAsia="仿宋" w:cs="仿宋"/>
          <w:color w:val="auto"/>
          <w:sz w:val="24"/>
          <w:highlight w:val="none"/>
          <w:u w:val="single"/>
        </w:rPr>
        <w:t xml:space="preserve"> （项目编号）（项目名称）</w:t>
      </w:r>
      <w:r>
        <w:rPr>
          <w:rFonts w:hint="eastAsia" w:ascii="仿宋" w:hAnsi="仿宋" w:eastAsia="仿宋" w:cs="仿宋"/>
          <w:color w:val="auto"/>
          <w:sz w:val="24"/>
          <w:highlight w:val="none"/>
        </w:rPr>
        <w:t>竞争性磋商文件的全部内容，愿意以人民币</w:t>
      </w:r>
      <w:r>
        <w:rPr>
          <w:rFonts w:hint="eastAsia" w:ascii="仿宋" w:hAnsi="仿宋" w:eastAsia="仿宋" w:cs="仿宋"/>
          <w:color w:val="auto"/>
          <w:sz w:val="24"/>
          <w:highlight w:val="none"/>
          <w:u w:val="single"/>
        </w:rPr>
        <w:t xml:space="preserve">（大写）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的总报价，</w:t>
      </w:r>
      <w:r>
        <w:rPr>
          <w:rFonts w:hint="eastAsia" w:ascii="仿宋" w:hAnsi="仿宋" w:eastAsia="仿宋" w:cs="仿宋"/>
          <w:color w:val="auto"/>
          <w:sz w:val="24"/>
          <w:highlight w:val="none"/>
          <w:lang w:eastAsia="zh-CN"/>
        </w:rPr>
        <w:t>服务期限</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，按合同约定实施和完成本项目，质量标准为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2．我方承诺在竞争性磋商报价有效期内不修改、撤销响应文件，磋商有效期90日历天。</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3．如我方成交：</w:t>
      </w:r>
    </w:p>
    <w:p>
      <w:pPr>
        <w:spacing w:line="48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（1）我方承诺在收到成交通知书后，在成交通知书规定的期限内与采购人完成投保。</w:t>
      </w:r>
    </w:p>
    <w:p>
      <w:pPr>
        <w:spacing w:line="48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（2）我方承诺在合同约定的期限内完成全部服务项目。</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4．我方在此声明，所递交的响应文件及有关资料内容完整、真实和准确。</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（其他补充说明）。</w:t>
      </w: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480" w:lineRule="auto"/>
        <w:ind w:firstLine="3960" w:firstLineChars="16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 xml:space="preserve">）           </w:t>
      </w:r>
    </w:p>
    <w:p>
      <w:pPr>
        <w:spacing w:line="480" w:lineRule="auto"/>
        <w:ind w:firstLine="3907" w:firstLineChars="162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highlight w:val="none"/>
          <w:u w:val="single"/>
        </w:rPr>
        <w:t>（签字或</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 xml:space="preserve">）   </w:t>
      </w:r>
    </w:p>
    <w:p>
      <w:pPr>
        <w:spacing w:line="480" w:lineRule="auto"/>
        <w:ind w:firstLine="3907" w:firstLineChars="162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p>
    <w:p>
      <w:pPr>
        <w:spacing w:line="480" w:lineRule="auto"/>
        <w:ind w:firstLine="3907" w:firstLineChars="1628"/>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480" w:lineRule="auto"/>
        <w:ind w:firstLine="3907" w:firstLineChars="162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期：   </w:t>
      </w:r>
      <w:bookmarkStart w:id="223" w:name="_Toc6761"/>
      <w:r>
        <w:rPr>
          <w:rFonts w:hint="eastAsia" w:ascii="仿宋" w:hAnsi="仿宋" w:eastAsia="仿宋" w:cs="仿宋"/>
          <w:color w:val="auto"/>
          <w:sz w:val="24"/>
          <w:highlight w:val="none"/>
          <w:u w:val="single"/>
        </w:rPr>
        <w:t xml:space="preserve">      </w:t>
      </w:r>
      <w:bookmarkStart w:id="224" w:name="_Toc21259"/>
      <w:bookmarkStart w:id="225" w:name="_Toc19292"/>
      <w:bookmarkStart w:id="226" w:name="_Toc31235"/>
      <w:bookmarkStart w:id="227" w:name="_Toc31772"/>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bookmarkEnd w:id="223"/>
      <w:bookmarkEnd w:id="224"/>
      <w:bookmarkEnd w:id="225"/>
      <w:bookmarkEnd w:id="226"/>
      <w:bookmarkEnd w:id="227"/>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0"/>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color w:val="auto"/>
          <w:sz w:val="28"/>
          <w:szCs w:val="28"/>
          <w:highlight w:val="none"/>
        </w:rPr>
      </w:pPr>
      <w:bookmarkStart w:id="228" w:name="_Toc1425"/>
      <w:bookmarkStart w:id="229" w:name="_Toc9239"/>
      <w:bookmarkStart w:id="230" w:name="_Toc17067"/>
      <w:bookmarkStart w:id="231" w:name="_Toc21006"/>
      <w:bookmarkStart w:id="232" w:name="_Toc5269"/>
      <w:bookmarkStart w:id="233" w:name="_Toc4505"/>
      <w:bookmarkStart w:id="234" w:name="_Toc27840"/>
      <w:bookmarkStart w:id="235" w:name="_Toc8410"/>
      <w:bookmarkStart w:id="236" w:name="_Toc7008"/>
      <w:bookmarkStart w:id="237" w:name="_Toc6285"/>
      <w:bookmarkStart w:id="238" w:name="_Toc23647"/>
      <w:bookmarkStart w:id="239" w:name="_Toc14347"/>
      <w:r>
        <w:rPr>
          <w:rFonts w:hint="eastAsia" w:ascii="仿宋" w:hAnsi="仿宋" w:eastAsia="仿宋" w:cs="仿宋"/>
          <w:b/>
          <w:bCs/>
          <w:color w:val="auto"/>
          <w:sz w:val="28"/>
          <w:szCs w:val="28"/>
          <w:highlight w:val="none"/>
        </w:rPr>
        <w:t>二、报价一览表</w:t>
      </w:r>
      <w:bookmarkEnd w:id="228"/>
      <w:bookmarkEnd w:id="229"/>
      <w:bookmarkEnd w:id="230"/>
      <w:bookmarkEnd w:id="231"/>
      <w:bookmarkEnd w:id="232"/>
      <w:bookmarkEnd w:id="233"/>
      <w:bookmarkEnd w:id="234"/>
      <w:bookmarkEnd w:id="235"/>
      <w:bookmarkEnd w:id="236"/>
      <w:bookmarkEnd w:id="237"/>
      <w:bookmarkEnd w:id="238"/>
      <w:bookmarkEnd w:id="239"/>
      <w:r>
        <w:rPr>
          <w:rFonts w:hint="eastAsia" w:ascii="仿宋" w:hAnsi="仿宋" w:eastAsia="仿宋" w:cs="仿宋"/>
          <w:b/>
          <w:bCs/>
          <w:color w:val="auto"/>
          <w:sz w:val="28"/>
          <w:szCs w:val="28"/>
          <w:highlight w:val="none"/>
        </w:rPr>
        <w:t xml:space="preserve"> </w:t>
      </w:r>
    </w:p>
    <w:p>
      <w:pPr>
        <w:pStyle w:val="30"/>
        <w:ind w:firstLine="0" w:firstLineChars="0"/>
        <w:rPr>
          <w:rFonts w:hint="eastAsia" w:ascii="仿宋" w:hAnsi="仿宋" w:eastAsia="仿宋" w:cs="仿宋"/>
          <w:color w:val="auto"/>
          <w:highlight w:val="none"/>
        </w:rPr>
      </w:pPr>
    </w:p>
    <w:tbl>
      <w:tblPr>
        <w:tblStyle w:val="61"/>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0"/>
        <w:gridCol w:w="1805"/>
        <w:gridCol w:w="5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940" w:type="dxa"/>
            <w:vAlign w:val="center"/>
          </w:tcPr>
          <w:p>
            <w:pPr>
              <w:pageBreakBefore w:val="0"/>
              <w:overflowPunct/>
              <w:bidi w:val="0"/>
              <w:spacing w:line="360" w:lineRule="auto"/>
              <w:jc w:val="center"/>
              <w:rPr>
                <w:rFonts w:hint="eastAsia" w:ascii="仿宋" w:hAnsi="仿宋" w:eastAsia="仿宋" w:cs="仿宋"/>
                <w:b w:val="0"/>
                <w:bCs w:val="0"/>
                <w:spacing w:val="7"/>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b w:val="0"/>
                <w:bCs w:val="0"/>
                <w:spacing w:val="7"/>
                <w:sz w:val="24"/>
                <w:szCs w:val="24"/>
                <w:highlight w:val="none"/>
                <w14:textOutline w14:w="4358" w14:cap="sq" w14:cmpd="sng">
                  <w14:solidFill>
                    <w14:srgbClr w14:val="000000"/>
                  </w14:solidFill>
                  <w14:prstDash w14:val="solid"/>
                  <w14:bevel/>
                </w14:textOutline>
              </w:rPr>
              <w:t>项目名称</w:t>
            </w:r>
          </w:p>
        </w:tc>
        <w:tc>
          <w:tcPr>
            <w:tcW w:w="7364" w:type="dxa"/>
            <w:gridSpan w:val="2"/>
            <w:vAlign w:val="center"/>
          </w:tcPr>
          <w:p>
            <w:pPr>
              <w:pageBreakBefore w:val="0"/>
              <w:overflowPunct/>
              <w:bidi w:val="0"/>
              <w:spacing w:line="360" w:lineRule="auto"/>
              <w:jc w:val="center"/>
              <w:rPr>
                <w:rFonts w:hint="eastAsia" w:ascii="仿宋" w:hAnsi="仿宋" w:eastAsia="仿宋" w:cs="仿宋"/>
                <w:b w:val="0"/>
                <w:bCs w:val="0"/>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1940" w:type="dxa"/>
            <w:vAlign w:val="top"/>
          </w:tcPr>
          <w:p>
            <w:pPr>
              <w:pageBreakBefore w:val="0"/>
              <w:overflowPunct/>
              <w:bidi w:val="0"/>
              <w:spacing w:line="360" w:lineRule="auto"/>
              <w:jc w:val="center"/>
              <w:rPr>
                <w:rFonts w:hint="eastAsia" w:ascii="仿宋" w:hAnsi="仿宋" w:eastAsia="仿宋" w:cs="仿宋"/>
                <w:b w:val="0"/>
                <w:bCs w:val="0"/>
                <w:spacing w:val="7"/>
                <w:sz w:val="24"/>
                <w:szCs w:val="24"/>
                <w:highlight w:val="none"/>
                <w14:textOutline w14:w="4358" w14:cap="sq" w14:cmpd="sng">
                  <w14:solidFill>
                    <w14:srgbClr w14:val="000000"/>
                  </w14:solidFill>
                  <w14:prstDash w14:val="solid"/>
                  <w14:bevel/>
                </w14:textOutline>
              </w:rPr>
            </w:pPr>
          </w:p>
          <w:p>
            <w:pPr>
              <w:pageBreakBefore w:val="0"/>
              <w:overflowPunct/>
              <w:bidi w:val="0"/>
              <w:spacing w:line="360" w:lineRule="auto"/>
              <w:jc w:val="center"/>
              <w:rPr>
                <w:rFonts w:hint="eastAsia" w:ascii="仿宋" w:hAnsi="仿宋" w:eastAsia="仿宋" w:cs="仿宋"/>
                <w:b w:val="0"/>
                <w:bCs w:val="0"/>
                <w:spacing w:val="7"/>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b w:val="0"/>
                <w:bCs w:val="0"/>
                <w:spacing w:val="7"/>
                <w:sz w:val="24"/>
                <w:szCs w:val="24"/>
                <w:highlight w:val="none"/>
                <w14:textOutline w14:w="4358" w14:cap="sq" w14:cmpd="sng">
                  <w14:solidFill>
                    <w14:srgbClr w14:val="000000"/>
                  </w14:solidFill>
                  <w14:prstDash w14:val="solid"/>
                  <w14:bevel/>
                </w14:textOutline>
              </w:rPr>
              <w:t>供应商名称</w:t>
            </w:r>
          </w:p>
        </w:tc>
        <w:tc>
          <w:tcPr>
            <w:tcW w:w="7364" w:type="dxa"/>
            <w:gridSpan w:val="2"/>
            <w:vAlign w:val="top"/>
          </w:tcPr>
          <w:p>
            <w:pPr>
              <w:pageBreakBefore w:val="0"/>
              <w:overflowPunct/>
              <w:bidi w:val="0"/>
              <w:spacing w:line="360" w:lineRule="auto"/>
              <w:rPr>
                <w:rFonts w:hint="eastAsia" w:ascii="仿宋" w:hAnsi="仿宋" w:eastAsia="仿宋" w:cs="仿宋"/>
                <w:b w:val="0"/>
                <w:bCs w:val="0"/>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1940" w:type="dxa"/>
            <w:vMerge w:val="restart"/>
            <w:tcBorders>
              <w:bottom w:val="nil"/>
            </w:tcBorders>
            <w:vAlign w:val="center"/>
          </w:tcPr>
          <w:p>
            <w:pPr>
              <w:pageBreakBefore w:val="0"/>
              <w:overflowPunct/>
              <w:bidi w:val="0"/>
              <w:spacing w:line="360" w:lineRule="auto"/>
              <w:jc w:val="center"/>
              <w:rPr>
                <w:rFonts w:hint="eastAsia" w:ascii="仿宋" w:hAnsi="仿宋" w:eastAsia="仿宋" w:cs="仿宋"/>
                <w:b w:val="0"/>
                <w:bCs w:val="0"/>
                <w:spacing w:val="7"/>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b w:val="0"/>
                <w:bCs w:val="0"/>
                <w:spacing w:val="7"/>
                <w:sz w:val="24"/>
                <w:szCs w:val="24"/>
                <w:highlight w:val="none"/>
                <w:lang w:eastAsia="zh-CN"/>
                <w14:textOutline w14:w="4358" w14:cap="sq" w14:cmpd="sng">
                  <w14:solidFill>
                    <w14:srgbClr w14:val="000000"/>
                  </w14:solidFill>
                  <w14:prstDash w14:val="solid"/>
                  <w14:bevel/>
                </w14:textOutline>
              </w:rPr>
              <w:t>首次</w:t>
            </w:r>
            <w:r>
              <w:rPr>
                <w:rFonts w:hint="eastAsia" w:ascii="仿宋" w:hAnsi="仿宋" w:eastAsia="仿宋" w:cs="仿宋"/>
                <w:b w:val="0"/>
                <w:bCs w:val="0"/>
                <w:spacing w:val="7"/>
                <w:sz w:val="24"/>
                <w:szCs w:val="24"/>
                <w:highlight w:val="none"/>
                <w14:textOutline w14:w="4358" w14:cap="sq" w14:cmpd="sng">
                  <w14:solidFill>
                    <w14:srgbClr w14:val="000000"/>
                  </w14:solidFill>
                  <w14:prstDash w14:val="solid"/>
                  <w14:bevel/>
                </w14:textOutline>
              </w:rPr>
              <w:t>总报价 (元)</w:t>
            </w:r>
          </w:p>
        </w:tc>
        <w:tc>
          <w:tcPr>
            <w:tcW w:w="1805" w:type="dxa"/>
            <w:vAlign w:val="top"/>
          </w:tcPr>
          <w:p>
            <w:pPr>
              <w:pageBreakBefore w:val="0"/>
              <w:overflowPunct/>
              <w:bidi w:val="0"/>
              <w:spacing w:line="360" w:lineRule="auto"/>
              <w:rPr>
                <w:rFonts w:hint="eastAsia" w:ascii="仿宋" w:hAnsi="仿宋" w:eastAsia="仿宋" w:cs="仿宋"/>
                <w:b w:val="0"/>
                <w:bCs w:val="0"/>
                <w:sz w:val="24"/>
                <w:szCs w:val="24"/>
                <w:highlight w:val="none"/>
              </w:rPr>
            </w:pPr>
          </w:p>
          <w:p>
            <w:pPr>
              <w:pageBreakBefore w:val="0"/>
              <w:overflowPunct/>
              <w:bidi w:val="0"/>
              <w:spacing w:line="360"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pacing w:val="4"/>
                <w:sz w:val="24"/>
                <w:szCs w:val="24"/>
                <w:highlight w:val="none"/>
                <w14:textOutline w14:w="4358" w14:cap="sq" w14:cmpd="sng">
                  <w14:solidFill>
                    <w14:srgbClr w14:val="000000"/>
                  </w14:solidFill>
                  <w14:prstDash w14:val="solid"/>
                  <w14:bevel/>
                </w14:textOutline>
              </w:rPr>
              <w:t>大</w:t>
            </w:r>
            <w:r>
              <w:rPr>
                <w:rFonts w:hint="eastAsia" w:ascii="仿宋" w:hAnsi="仿宋" w:eastAsia="仿宋" w:cs="仿宋"/>
                <w:b w:val="0"/>
                <w:bCs w:val="0"/>
                <w:spacing w:val="3"/>
                <w:sz w:val="24"/>
                <w:szCs w:val="24"/>
                <w:highlight w:val="none"/>
                <w14:textOutline w14:w="4358" w14:cap="sq" w14:cmpd="sng">
                  <w14:solidFill>
                    <w14:srgbClr w14:val="000000"/>
                  </w14:solidFill>
                  <w14:prstDash w14:val="solid"/>
                  <w14:bevel/>
                </w14:textOutline>
              </w:rPr>
              <w:t>写</w:t>
            </w:r>
          </w:p>
        </w:tc>
        <w:tc>
          <w:tcPr>
            <w:tcW w:w="5559" w:type="dxa"/>
            <w:vAlign w:val="top"/>
          </w:tcPr>
          <w:p>
            <w:pPr>
              <w:pageBreakBefore w:val="0"/>
              <w:overflowPunct/>
              <w:bidi w:val="0"/>
              <w:spacing w:line="360" w:lineRule="auto"/>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1940" w:type="dxa"/>
            <w:vMerge w:val="continue"/>
            <w:tcBorders>
              <w:top w:val="nil"/>
            </w:tcBorders>
            <w:vAlign w:val="top"/>
          </w:tcPr>
          <w:p>
            <w:pPr>
              <w:pageBreakBefore w:val="0"/>
              <w:overflowPunct/>
              <w:bidi w:val="0"/>
              <w:spacing w:line="360" w:lineRule="auto"/>
              <w:rPr>
                <w:rFonts w:hint="eastAsia" w:ascii="仿宋" w:hAnsi="仿宋" w:eastAsia="仿宋" w:cs="仿宋"/>
                <w:b w:val="0"/>
                <w:bCs w:val="0"/>
                <w:sz w:val="24"/>
                <w:szCs w:val="24"/>
                <w:highlight w:val="none"/>
              </w:rPr>
            </w:pPr>
          </w:p>
        </w:tc>
        <w:tc>
          <w:tcPr>
            <w:tcW w:w="1805" w:type="dxa"/>
            <w:vAlign w:val="top"/>
          </w:tcPr>
          <w:p>
            <w:pPr>
              <w:pageBreakBefore w:val="0"/>
              <w:overflowPunct/>
              <w:bidi w:val="0"/>
              <w:spacing w:line="360" w:lineRule="auto"/>
              <w:rPr>
                <w:rFonts w:hint="eastAsia" w:ascii="仿宋" w:hAnsi="仿宋" w:eastAsia="仿宋" w:cs="仿宋"/>
                <w:b w:val="0"/>
                <w:bCs w:val="0"/>
                <w:sz w:val="24"/>
                <w:szCs w:val="24"/>
                <w:highlight w:val="none"/>
              </w:rPr>
            </w:pPr>
          </w:p>
          <w:p>
            <w:pPr>
              <w:pageBreakBefore w:val="0"/>
              <w:overflowPunct/>
              <w:bidi w:val="0"/>
              <w:spacing w:line="360"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pacing w:val="2"/>
                <w:sz w:val="24"/>
                <w:szCs w:val="24"/>
                <w:highlight w:val="none"/>
                <w14:textOutline w14:w="4358" w14:cap="sq" w14:cmpd="sng">
                  <w14:solidFill>
                    <w14:srgbClr w14:val="000000"/>
                  </w14:solidFill>
                  <w14:prstDash w14:val="solid"/>
                  <w14:bevel/>
                </w14:textOutline>
              </w:rPr>
              <w:t>小写</w:t>
            </w:r>
          </w:p>
        </w:tc>
        <w:tc>
          <w:tcPr>
            <w:tcW w:w="5559" w:type="dxa"/>
            <w:vAlign w:val="top"/>
          </w:tcPr>
          <w:p>
            <w:pPr>
              <w:pageBreakBefore w:val="0"/>
              <w:overflowPunct/>
              <w:bidi w:val="0"/>
              <w:spacing w:line="360" w:lineRule="auto"/>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3745" w:type="dxa"/>
            <w:gridSpan w:val="2"/>
            <w:vAlign w:val="center"/>
          </w:tcPr>
          <w:p>
            <w:pPr>
              <w:pageBreakBefore w:val="0"/>
              <w:overflowPunct/>
              <w:bidi w:val="0"/>
              <w:spacing w:line="360" w:lineRule="auto"/>
              <w:jc w:val="center"/>
              <w:rPr>
                <w:rFonts w:hint="default" w:ascii="仿宋" w:hAnsi="仿宋" w:eastAsia="仿宋" w:cs="仿宋"/>
                <w:b w:val="0"/>
                <w:bCs w:val="0"/>
                <w:spacing w:val="8"/>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8"/>
                <w:sz w:val="24"/>
                <w:szCs w:val="24"/>
                <w:highlight w:val="none"/>
                <w14:textOutline w14:w="4358" w14:cap="sq" w14:cmpd="sng">
                  <w14:solidFill>
                    <w14:srgbClr w14:val="000000"/>
                  </w14:solidFill>
                  <w14:prstDash w14:val="solid"/>
                  <w14:bevel/>
                </w14:textOutline>
              </w:rPr>
              <w:t>合同履行期限</w:t>
            </w:r>
          </w:p>
        </w:tc>
        <w:tc>
          <w:tcPr>
            <w:tcW w:w="5559" w:type="dxa"/>
            <w:vAlign w:val="top"/>
          </w:tcPr>
          <w:p>
            <w:pPr>
              <w:pageBreakBefore w:val="0"/>
              <w:overflowPunct/>
              <w:bidi w:val="0"/>
              <w:spacing w:line="360" w:lineRule="auto"/>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3745" w:type="dxa"/>
            <w:gridSpan w:val="2"/>
            <w:vAlign w:val="center"/>
          </w:tcPr>
          <w:p>
            <w:pPr>
              <w:pageBreakBefore w:val="0"/>
              <w:overflowPunct/>
              <w:bidi w:val="0"/>
              <w:spacing w:line="360" w:lineRule="auto"/>
              <w:jc w:val="center"/>
              <w:rPr>
                <w:rFonts w:hint="eastAsia" w:ascii="仿宋" w:hAnsi="仿宋" w:eastAsia="仿宋" w:cs="仿宋"/>
                <w:b w:val="0"/>
                <w:bCs w:val="0"/>
                <w:spacing w:val="8"/>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8"/>
                <w:sz w:val="24"/>
                <w:szCs w:val="24"/>
                <w:highlight w:val="none"/>
                <w:lang w:eastAsia="zh-CN"/>
                <w14:textOutline w14:w="4358" w14:cap="sq" w14:cmpd="sng">
                  <w14:solidFill>
                    <w14:srgbClr w14:val="000000"/>
                  </w14:solidFill>
                  <w14:prstDash w14:val="solid"/>
                  <w14:bevel/>
                </w14:textOutline>
              </w:rPr>
              <w:t>维保服务期</w:t>
            </w:r>
          </w:p>
        </w:tc>
        <w:tc>
          <w:tcPr>
            <w:tcW w:w="5559" w:type="dxa"/>
            <w:vAlign w:val="top"/>
          </w:tcPr>
          <w:p>
            <w:pPr>
              <w:pageBreakBefore w:val="0"/>
              <w:overflowPunct/>
              <w:bidi w:val="0"/>
              <w:spacing w:line="360" w:lineRule="auto"/>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3745" w:type="dxa"/>
            <w:gridSpan w:val="2"/>
            <w:vAlign w:val="top"/>
          </w:tcPr>
          <w:p>
            <w:pPr>
              <w:pageBreakBefore w:val="0"/>
              <w:overflowPunct/>
              <w:bidi w:val="0"/>
              <w:spacing w:line="360" w:lineRule="auto"/>
              <w:rPr>
                <w:rFonts w:hint="eastAsia" w:ascii="仿宋" w:hAnsi="仿宋" w:eastAsia="仿宋" w:cs="仿宋"/>
                <w:b w:val="0"/>
                <w:bCs w:val="0"/>
                <w:sz w:val="24"/>
                <w:szCs w:val="24"/>
                <w:highlight w:val="none"/>
              </w:rPr>
            </w:pPr>
          </w:p>
          <w:p>
            <w:pPr>
              <w:pageBreakBefore w:val="0"/>
              <w:overflowPunct/>
              <w:bidi w:val="0"/>
              <w:spacing w:line="360"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pacing w:val="8"/>
                <w:sz w:val="24"/>
                <w:szCs w:val="24"/>
                <w:highlight w:val="none"/>
                <w:lang w:val="en-US" w:eastAsia="zh-CN"/>
                <w14:textOutline w14:w="4358" w14:cap="sq" w14:cmpd="sng">
                  <w14:solidFill>
                    <w14:srgbClr w14:val="000000"/>
                  </w14:solidFill>
                  <w14:prstDash w14:val="solid"/>
                  <w14:bevel/>
                </w14:textOutline>
              </w:rPr>
              <w:t>服务</w:t>
            </w:r>
            <w:r>
              <w:rPr>
                <w:rFonts w:hint="eastAsia" w:ascii="仿宋" w:hAnsi="仿宋" w:eastAsia="仿宋" w:cs="仿宋"/>
                <w:b w:val="0"/>
                <w:bCs w:val="0"/>
                <w:spacing w:val="8"/>
                <w:sz w:val="24"/>
                <w:szCs w:val="24"/>
                <w:highlight w:val="none"/>
                <w14:textOutline w14:w="4358" w14:cap="sq" w14:cmpd="sng">
                  <w14:solidFill>
                    <w14:srgbClr w14:val="000000"/>
                  </w14:solidFill>
                  <w14:prstDash w14:val="solid"/>
                  <w14:bevel/>
                </w14:textOutline>
              </w:rPr>
              <w:t>标准</w:t>
            </w:r>
          </w:p>
        </w:tc>
        <w:tc>
          <w:tcPr>
            <w:tcW w:w="5559" w:type="dxa"/>
            <w:vAlign w:val="top"/>
          </w:tcPr>
          <w:p>
            <w:pPr>
              <w:pageBreakBefore w:val="0"/>
              <w:overflowPunct/>
              <w:bidi w:val="0"/>
              <w:spacing w:line="360" w:lineRule="auto"/>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3745" w:type="dxa"/>
            <w:gridSpan w:val="2"/>
            <w:vAlign w:val="top"/>
          </w:tcPr>
          <w:p>
            <w:pPr>
              <w:pageBreakBefore w:val="0"/>
              <w:overflowPunct/>
              <w:bidi w:val="0"/>
              <w:spacing w:line="360" w:lineRule="auto"/>
              <w:rPr>
                <w:rFonts w:hint="eastAsia" w:ascii="仿宋" w:hAnsi="仿宋" w:eastAsia="仿宋" w:cs="仿宋"/>
                <w:b w:val="0"/>
                <w:bCs w:val="0"/>
                <w:sz w:val="24"/>
                <w:szCs w:val="24"/>
                <w:highlight w:val="none"/>
              </w:rPr>
            </w:pPr>
          </w:p>
          <w:p>
            <w:pPr>
              <w:pageBreakBefore w:val="0"/>
              <w:overflowPunct/>
              <w:bidi w:val="0"/>
              <w:spacing w:line="360"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pacing w:val="10"/>
                <w:sz w:val="24"/>
                <w:szCs w:val="24"/>
                <w:highlight w:val="none"/>
                <w14:textOutline w14:w="4358" w14:cap="sq" w14:cmpd="sng">
                  <w14:solidFill>
                    <w14:srgbClr w14:val="000000"/>
                  </w14:solidFill>
                  <w14:prstDash w14:val="solid"/>
                  <w14:bevel/>
                </w14:textOutline>
              </w:rPr>
              <w:t>对磋商文件认同程</w:t>
            </w:r>
            <w:r>
              <w:rPr>
                <w:rFonts w:hint="eastAsia" w:ascii="仿宋" w:hAnsi="仿宋" w:eastAsia="仿宋" w:cs="仿宋"/>
                <w:b w:val="0"/>
                <w:bCs w:val="0"/>
                <w:spacing w:val="8"/>
                <w:sz w:val="24"/>
                <w:szCs w:val="24"/>
                <w:highlight w:val="none"/>
                <w14:textOutline w14:w="4358" w14:cap="sq" w14:cmpd="sng">
                  <w14:solidFill>
                    <w14:srgbClr w14:val="000000"/>
                  </w14:solidFill>
                  <w14:prstDash w14:val="solid"/>
                  <w14:bevel/>
                </w14:textOutline>
              </w:rPr>
              <w:t>度</w:t>
            </w:r>
          </w:p>
        </w:tc>
        <w:tc>
          <w:tcPr>
            <w:tcW w:w="5559" w:type="dxa"/>
            <w:vAlign w:val="top"/>
          </w:tcPr>
          <w:p>
            <w:pPr>
              <w:pageBreakBefore w:val="0"/>
              <w:overflowPunct/>
              <w:bidi w:val="0"/>
              <w:spacing w:line="360" w:lineRule="auto"/>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3745" w:type="dxa"/>
            <w:gridSpan w:val="2"/>
            <w:vAlign w:val="top"/>
          </w:tcPr>
          <w:p>
            <w:pPr>
              <w:pageBreakBefore w:val="0"/>
              <w:overflowPunct/>
              <w:bidi w:val="0"/>
              <w:spacing w:line="360" w:lineRule="auto"/>
              <w:rPr>
                <w:rFonts w:hint="eastAsia" w:ascii="仿宋" w:hAnsi="仿宋" w:eastAsia="仿宋" w:cs="仿宋"/>
                <w:b w:val="0"/>
                <w:bCs w:val="0"/>
                <w:sz w:val="24"/>
                <w:szCs w:val="24"/>
                <w:highlight w:val="none"/>
              </w:rPr>
            </w:pPr>
          </w:p>
          <w:p>
            <w:pPr>
              <w:pageBreakBefore w:val="0"/>
              <w:overflowPunct/>
              <w:bidi w:val="0"/>
              <w:spacing w:line="360"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pacing w:val="4"/>
                <w:sz w:val="24"/>
                <w:szCs w:val="24"/>
                <w:highlight w:val="none"/>
                <w14:textOutline w14:w="4358" w14:cap="sq" w14:cmpd="sng">
                  <w14:solidFill>
                    <w14:srgbClr w14:val="000000"/>
                  </w14:solidFill>
                  <w14:prstDash w14:val="solid"/>
                  <w14:bevel/>
                </w14:textOutline>
              </w:rPr>
              <w:t>备</w:t>
            </w:r>
            <w:r>
              <w:rPr>
                <w:rFonts w:hint="eastAsia" w:ascii="仿宋" w:hAnsi="仿宋" w:eastAsia="仿宋" w:cs="仿宋"/>
                <w:b w:val="0"/>
                <w:bCs w:val="0"/>
                <w:spacing w:val="3"/>
                <w:sz w:val="24"/>
                <w:szCs w:val="24"/>
                <w:highlight w:val="none"/>
                <w14:textOutline w14:w="4358" w14:cap="sq" w14:cmpd="sng">
                  <w14:solidFill>
                    <w14:srgbClr w14:val="000000"/>
                  </w14:solidFill>
                  <w14:prstDash w14:val="solid"/>
                  <w14:bevel/>
                </w14:textOutline>
              </w:rPr>
              <w:t>注</w:t>
            </w:r>
          </w:p>
        </w:tc>
        <w:tc>
          <w:tcPr>
            <w:tcW w:w="5559" w:type="dxa"/>
            <w:vAlign w:val="top"/>
          </w:tcPr>
          <w:p>
            <w:pPr>
              <w:pageBreakBefore w:val="0"/>
              <w:overflowPunct/>
              <w:bidi w:val="0"/>
              <w:spacing w:line="360" w:lineRule="auto"/>
              <w:rPr>
                <w:rFonts w:hint="eastAsia" w:ascii="仿宋" w:hAnsi="仿宋" w:eastAsia="仿宋" w:cs="仿宋"/>
                <w:sz w:val="24"/>
                <w:szCs w:val="24"/>
                <w:highlight w:val="none"/>
              </w:rPr>
            </w:pPr>
          </w:p>
        </w:tc>
      </w:tr>
    </w:tbl>
    <w:p>
      <w:pPr>
        <w:spacing w:line="36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  </w:t>
      </w:r>
    </w:p>
    <w:p>
      <w:pPr>
        <w:spacing w:line="360" w:lineRule="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供应商：</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u w:val="single"/>
        </w:rPr>
        <w:t xml:space="preserve">     </w:t>
      </w:r>
    </w:p>
    <w:p>
      <w:pPr>
        <w:spacing w:line="360" w:lineRule="auto"/>
        <w:rPr>
          <w:rFonts w:hint="eastAsia" w:ascii="仿宋" w:hAnsi="仿宋" w:eastAsia="仿宋" w:cs="仿宋"/>
          <w:bCs/>
          <w:color w:val="auto"/>
          <w:sz w:val="24"/>
          <w:highlight w:val="none"/>
        </w:rPr>
      </w:pPr>
    </w:p>
    <w:p>
      <w:pPr>
        <w:spacing w:line="360" w:lineRule="auto"/>
        <w:jc w:val="left"/>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highlight w:val="none"/>
          <w:u w:val="single"/>
        </w:rPr>
        <w:t>（签字或</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 xml:space="preserve">）    </w:t>
      </w:r>
    </w:p>
    <w:p>
      <w:pPr>
        <w:spacing w:line="360" w:lineRule="auto"/>
        <w:jc w:val="left"/>
        <w:rPr>
          <w:rFonts w:hint="eastAsia" w:ascii="仿宋" w:hAnsi="仿宋" w:eastAsia="仿宋" w:cs="仿宋"/>
          <w:bCs/>
          <w:color w:val="auto"/>
          <w:szCs w:val="21"/>
          <w:highlight w:val="none"/>
        </w:rPr>
      </w:pPr>
    </w:p>
    <w:p>
      <w:pPr>
        <w:spacing w:line="360" w:lineRule="auto"/>
        <w:jc w:val="left"/>
        <w:rPr>
          <w:rFonts w:hint="eastAsia" w:ascii="仿宋" w:hAnsi="仿宋" w:eastAsia="仿宋" w:cs="仿宋"/>
          <w:bCs/>
          <w:color w:val="auto"/>
          <w:szCs w:val="21"/>
          <w:highlight w:val="none"/>
        </w:rPr>
      </w:pPr>
      <w:r>
        <w:rPr>
          <w:rFonts w:hint="eastAsia" w:ascii="仿宋" w:hAnsi="仿宋" w:eastAsia="仿宋" w:cs="仿宋"/>
          <w:color w:val="auto"/>
          <w:highlight w:val="none"/>
        </w:rPr>
        <w:t>日</w:t>
      </w:r>
      <w:r>
        <w:rPr>
          <w:rFonts w:hint="eastAsia" w:ascii="仿宋" w:hAnsi="仿宋" w:eastAsia="仿宋" w:cs="仿宋"/>
          <w:color w:val="auto"/>
          <w:highlight w:val="none"/>
        </w:rPr>
        <w:tab/>
      </w:r>
      <w:r>
        <w:rPr>
          <w:rFonts w:hint="eastAsia" w:ascii="仿宋" w:hAnsi="仿宋" w:eastAsia="仿宋" w:cs="仿宋"/>
          <w:color w:val="auto"/>
          <w:highlight w:val="none"/>
        </w:rPr>
        <w:t xml:space="preserve">期：  </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日</w:t>
      </w: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bookmarkStart w:id="240" w:name="_Toc21954"/>
      <w:bookmarkStart w:id="241" w:name="_Toc15558"/>
      <w:bookmarkStart w:id="242" w:name="_Toc13247"/>
      <w:bookmarkStart w:id="243" w:name="_Toc19271"/>
    </w:p>
    <w:p>
      <w:pPr>
        <w:pStyle w:val="9"/>
        <w:spacing w:before="0"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28"/>
          <w:szCs w:val="28"/>
          <w:highlight w:val="none"/>
        </w:rPr>
        <w:t>报价明细表</w:t>
      </w:r>
    </w:p>
    <w:p>
      <w:pPr>
        <w:widowControl/>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bl>
      <w:tblPr>
        <w:tblStyle w:val="32"/>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946"/>
        <w:gridCol w:w="1196"/>
        <w:gridCol w:w="1968"/>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39" w:type="dxa"/>
            <w:vAlign w:val="center"/>
          </w:tcPr>
          <w:p>
            <w:pPr>
              <w:wordWrap/>
              <w:jc w:val="center"/>
              <w:rPr>
                <w:rFonts w:hint="eastAsia" w:ascii="仿宋" w:hAnsi="仿宋" w:eastAsia="仿宋" w:cs="仿宋"/>
              </w:rPr>
            </w:pPr>
            <w:r>
              <w:rPr>
                <w:rFonts w:hint="eastAsia" w:ascii="仿宋" w:hAnsi="仿宋" w:eastAsia="仿宋" w:cs="仿宋"/>
              </w:rPr>
              <w:t>序号</w:t>
            </w:r>
          </w:p>
        </w:tc>
        <w:tc>
          <w:tcPr>
            <w:tcW w:w="1946" w:type="dxa"/>
            <w:vAlign w:val="center"/>
          </w:tcPr>
          <w:p>
            <w:pPr>
              <w:wordWrap/>
              <w:jc w:val="center"/>
              <w:rPr>
                <w:rFonts w:hint="eastAsia" w:ascii="仿宋" w:hAnsi="仿宋" w:eastAsia="仿宋" w:cs="仿宋"/>
              </w:rPr>
            </w:pPr>
            <w:r>
              <w:rPr>
                <w:rFonts w:hint="eastAsia" w:ascii="仿宋" w:hAnsi="仿宋" w:eastAsia="仿宋" w:cs="仿宋"/>
              </w:rPr>
              <w:t>服务明细</w:t>
            </w:r>
          </w:p>
        </w:tc>
        <w:tc>
          <w:tcPr>
            <w:tcW w:w="1196" w:type="dxa"/>
            <w:vAlign w:val="center"/>
          </w:tcPr>
          <w:p>
            <w:pPr>
              <w:wordWrap/>
              <w:jc w:val="center"/>
              <w:rPr>
                <w:rFonts w:hint="eastAsia" w:ascii="仿宋" w:hAnsi="仿宋" w:eastAsia="仿宋" w:cs="仿宋"/>
              </w:rPr>
            </w:pPr>
            <w:r>
              <w:rPr>
                <w:rFonts w:hint="eastAsia" w:ascii="仿宋" w:hAnsi="仿宋" w:eastAsia="仿宋" w:cs="仿宋"/>
              </w:rPr>
              <w:t>数量</w:t>
            </w:r>
          </w:p>
        </w:tc>
        <w:tc>
          <w:tcPr>
            <w:tcW w:w="1968" w:type="dxa"/>
            <w:vAlign w:val="center"/>
          </w:tcPr>
          <w:p>
            <w:pPr>
              <w:wordWrap/>
              <w:jc w:val="center"/>
              <w:rPr>
                <w:rFonts w:hint="eastAsia" w:ascii="仿宋" w:hAnsi="仿宋" w:eastAsia="仿宋" w:cs="仿宋"/>
              </w:rPr>
            </w:pPr>
            <w:r>
              <w:rPr>
                <w:rFonts w:hint="eastAsia" w:ascii="仿宋" w:hAnsi="仿宋" w:eastAsia="仿宋" w:cs="仿宋"/>
              </w:rPr>
              <w:t>单价</w:t>
            </w:r>
          </w:p>
        </w:tc>
        <w:tc>
          <w:tcPr>
            <w:tcW w:w="1984" w:type="dxa"/>
            <w:vAlign w:val="center"/>
          </w:tcPr>
          <w:p>
            <w:pPr>
              <w:wordWrap/>
              <w:jc w:val="center"/>
              <w:rPr>
                <w:rFonts w:hint="eastAsia" w:ascii="仿宋" w:hAnsi="仿宋" w:eastAsia="仿宋" w:cs="仿宋"/>
              </w:rPr>
            </w:pPr>
            <w:r>
              <w:rPr>
                <w:rFonts w:hint="eastAsia" w:ascii="仿宋" w:hAnsi="仿宋" w:eastAsia="仿宋" w:cs="仿宋"/>
              </w:rPr>
              <w:t>总价</w:t>
            </w:r>
          </w:p>
        </w:tc>
        <w:tc>
          <w:tcPr>
            <w:tcW w:w="1984" w:type="dxa"/>
            <w:vAlign w:val="center"/>
          </w:tcPr>
          <w:p>
            <w:pPr>
              <w:wordWrap/>
              <w:jc w:val="cente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39" w:type="dxa"/>
            <w:vAlign w:val="center"/>
          </w:tcPr>
          <w:p>
            <w:pPr>
              <w:wordWrap/>
              <w:jc w:val="center"/>
              <w:rPr>
                <w:rFonts w:hint="eastAsia" w:ascii="仿宋" w:hAnsi="仿宋" w:eastAsia="仿宋" w:cs="仿宋"/>
              </w:rPr>
            </w:pPr>
            <w:r>
              <w:rPr>
                <w:rFonts w:hint="eastAsia" w:ascii="仿宋" w:hAnsi="仿宋" w:eastAsia="仿宋" w:cs="仿宋"/>
              </w:rPr>
              <w:t>1</w:t>
            </w:r>
          </w:p>
        </w:tc>
        <w:tc>
          <w:tcPr>
            <w:tcW w:w="1946" w:type="dxa"/>
            <w:vAlign w:val="center"/>
          </w:tcPr>
          <w:p>
            <w:pPr>
              <w:wordWrap/>
              <w:jc w:val="center"/>
              <w:rPr>
                <w:rFonts w:hint="eastAsia" w:ascii="仿宋" w:hAnsi="仿宋" w:eastAsia="仿宋" w:cs="仿宋"/>
              </w:rPr>
            </w:pPr>
          </w:p>
        </w:tc>
        <w:tc>
          <w:tcPr>
            <w:tcW w:w="1196" w:type="dxa"/>
            <w:vAlign w:val="center"/>
          </w:tcPr>
          <w:p>
            <w:pPr>
              <w:wordWrap/>
              <w:jc w:val="center"/>
              <w:rPr>
                <w:rFonts w:hint="eastAsia" w:ascii="仿宋" w:hAnsi="仿宋" w:eastAsia="仿宋" w:cs="仿宋"/>
              </w:rPr>
            </w:pPr>
          </w:p>
        </w:tc>
        <w:tc>
          <w:tcPr>
            <w:tcW w:w="1968" w:type="dxa"/>
            <w:vAlign w:val="center"/>
          </w:tcPr>
          <w:p>
            <w:pPr>
              <w:wordWrap/>
              <w:jc w:val="center"/>
              <w:rPr>
                <w:rFonts w:hint="eastAsia" w:ascii="仿宋" w:hAnsi="仿宋" w:eastAsia="仿宋" w:cs="仿宋"/>
              </w:rPr>
            </w:pPr>
          </w:p>
        </w:tc>
        <w:tc>
          <w:tcPr>
            <w:tcW w:w="1984" w:type="dxa"/>
            <w:vAlign w:val="center"/>
          </w:tcPr>
          <w:p>
            <w:pPr>
              <w:wordWrap/>
              <w:jc w:val="center"/>
              <w:rPr>
                <w:rFonts w:hint="eastAsia" w:ascii="仿宋" w:hAnsi="仿宋" w:eastAsia="仿宋" w:cs="仿宋"/>
              </w:rPr>
            </w:pPr>
          </w:p>
        </w:tc>
        <w:tc>
          <w:tcPr>
            <w:tcW w:w="1984" w:type="dxa"/>
            <w:vAlign w:val="center"/>
          </w:tcPr>
          <w:p>
            <w:pPr>
              <w:wordWrap/>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39" w:type="dxa"/>
            <w:vAlign w:val="center"/>
          </w:tcPr>
          <w:p>
            <w:pPr>
              <w:wordWrap/>
              <w:jc w:val="center"/>
              <w:rPr>
                <w:rFonts w:hint="eastAsia" w:ascii="仿宋" w:hAnsi="仿宋" w:eastAsia="仿宋" w:cs="仿宋"/>
              </w:rPr>
            </w:pPr>
            <w:r>
              <w:rPr>
                <w:rFonts w:hint="eastAsia" w:ascii="仿宋" w:hAnsi="仿宋" w:eastAsia="仿宋" w:cs="仿宋"/>
              </w:rPr>
              <w:t>2</w:t>
            </w:r>
          </w:p>
        </w:tc>
        <w:tc>
          <w:tcPr>
            <w:tcW w:w="1946" w:type="dxa"/>
            <w:vAlign w:val="center"/>
          </w:tcPr>
          <w:p>
            <w:pPr>
              <w:wordWrap/>
              <w:jc w:val="center"/>
              <w:rPr>
                <w:rFonts w:hint="eastAsia" w:ascii="仿宋" w:hAnsi="仿宋" w:eastAsia="仿宋" w:cs="仿宋"/>
              </w:rPr>
            </w:pPr>
          </w:p>
        </w:tc>
        <w:tc>
          <w:tcPr>
            <w:tcW w:w="1196" w:type="dxa"/>
            <w:vAlign w:val="center"/>
          </w:tcPr>
          <w:p>
            <w:pPr>
              <w:wordWrap/>
              <w:jc w:val="center"/>
              <w:rPr>
                <w:rFonts w:hint="eastAsia" w:ascii="仿宋" w:hAnsi="仿宋" w:eastAsia="仿宋" w:cs="仿宋"/>
              </w:rPr>
            </w:pPr>
          </w:p>
        </w:tc>
        <w:tc>
          <w:tcPr>
            <w:tcW w:w="1968" w:type="dxa"/>
            <w:vAlign w:val="center"/>
          </w:tcPr>
          <w:p>
            <w:pPr>
              <w:wordWrap/>
              <w:jc w:val="center"/>
              <w:rPr>
                <w:rFonts w:hint="eastAsia" w:ascii="仿宋" w:hAnsi="仿宋" w:eastAsia="仿宋" w:cs="仿宋"/>
              </w:rPr>
            </w:pPr>
          </w:p>
        </w:tc>
        <w:tc>
          <w:tcPr>
            <w:tcW w:w="1984" w:type="dxa"/>
            <w:vAlign w:val="center"/>
          </w:tcPr>
          <w:p>
            <w:pPr>
              <w:wordWrap/>
              <w:jc w:val="center"/>
              <w:rPr>
                <w:rFonts w:hint="eastAsia" w:ascii="仿宋" w:hAnsi="仿宋" w:eastAsia="仿宋" w:cs="仿宋"/>
              </w:rPr>
            </w:pPr>
          </w:p>
        </w:tc>
        <w:tc>
          <w:tcPr>
            <w:tcW w:w="1984" w:type="dxa"/>
            <w:vAlign w:val="center"/>
          </w:tcPr>
          <w:p>
            <w:pPr>
              <w:wordWrap/>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39" w:type="dxa"/>
            <w:vAlign w:val="center"/>
          </w:tcPr>
          <w:p>
            <w:pPr>
              <w:wordWrap/>
              <w:jc w:val="center"/>
              <w:rPr>
                <w:rFonts w:hint="eastAsia" w:ascii="仿宋" w:hAnsi="仿宋" w:eastAsia="仿宋" w:cs="仿宋"/>
              </w:rPr>
            </w:pPr>
            <w:r>
              <w:rPr>
                <w:rFonts w:hint="eastAsia" w:ascii="仿宋" w:hAnsi="仿宋" w:eastAsia="仿宋" w:cs="仿宋"/>
              </w:rPr>
              <w:t>3</w:t>
            </w:r>
          </w:p>
        </w:tc>
        <w:tc>
          <w:tcPr>
            <w:tcW w:w="1946" w:type="dxa"/>
            <w:vAlign w:val="center"/>
          </w:tcPr>
          <w:p>
            <w:pPr>
              <w:wordWrap/>
              <w:jc w:val="center"/>
              <w:rPr>
                <w:rFonts w:hint="eastAsia" w:ascii="仿宋" w:hAnsi="仿宋" w:eastAsia="仿宋" w:cs="仿宋"/>
              </w:rPr>
            </w:pPr>
          </w:p>
        </w:tc>
        <w:tc>
          <w:tcPr>
            <w:tcW w:w="1196" w:type="dxa"/>
            <w:vAlign w:val="center"/>
          </w:tcPr>
          <w:p>
            <w:pPr>
              <w:wordWrap/>
              <w:jc w:val="center"/>
              <w:rPr>
                <w:rFonts w:hint="eastAsia" w:ascii="仿宋" w:hAnsi="仿宋" w:eastAsia="仿宋" w:cs="仿宋"/>
              </w:rPr>
            </w:pPr>
          </w:p>
        </w:tc>
        <w:tc>
          <w:tcPr>
            <w:tcW w:w="1968" w:type="dxa"/>
            <w:vAlign w:val="center"/>
          </w:tcPr>
          <w:p>
            <w:pPr>
              <w:wordWrap/>
              <w:jc w:val="center"/>
              <w:rPr>
                <w:rFonts w:hint="eastAsia" w:ascii="仿宋" w:hAnsi="仿宋" w:eastAsia="仿宋" w:cs="仿宋"/>
              </w:rPr>
            </w:pPr>
          </w:p>
        </w:tc>
        <w:tc>
          <w:tcPr>
            <w:tcW w:w="1984" w:type="dxa"/>
            <w:vAlign w:val="center"/>
          </w:tcPr>
          <w:p>
            <w:pPr>
              <w:wordWrap/>
              <w:jc w:val="center"/>
              <w:rPr>
                <w:rFonts w:hint="eastAsia" w:ascii="仿宋" w:hAnsi="仿宋" w:eastAsia="仿宋" w:cs="仿宋"/>
              </w:rPr>
            </w:pPr>
          </w:p>
        </w:tc>
        <w:tc>
          <w:tcPr>
            <w:tcW w:w="1984" w:type="dxa"/>
            <w:vAlign w:val="center"/>
          </w:tcPr>
          <w:p>
            <w:pPr>
              <w:wordWrap/>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39" w:type="dxa"/>
            <w:vAlign w:val="center"/>
          </w:tcPr>
          <w:p>
            <w:pPr>
              <w:wordWrap/>
              <w:jc w:val="center"/>
              <w:rPr>
                <w:rFonts w:hint="eastAsia" w:ascii="仿宋" w:hAnsi="仿宋" w:eastAsia="仿宋" w:cs="仿宋"/>
              </w:rPr>
            </w:pPr>
            <w:r>
              <w:rPr>
                <w:rFonts w:hint="eastAsia" w:ascii="仿宋" w:hAnsi="仿宋" w:eastAsia="仿宋" w:cs="仿宋"/>
              </w:rPr>
              <w:t>……</w:t>
            </w:r>
          </w:p>
        </w:tc>
        <w:tc>
          <w:tcPr>
            <w:tcW w:w="1946" w:type="dxa"/>
            <w:vAlign w:val="center"/>
          </w:tcPr>
          <w:p>
            <w:pPr>
              <w:wordWrap/>
              <w:jc w:val="center"/>
              <w:rPr>
                <w:rFonts w:hint="eastAsia" w:ascii="仿宋" w:hAnsi="仿宋" w:eastAsia="仿宋" w:cs="仿宋"/>
              </w:rPr>
            </w:pPr>
          </w:p>
        </w:tc>
        <w:tc>
          <w:tcPr>
            <w:tcW w:w="1196" w:type="dxa"/>
            <w:vAlign w:val="center"/>
          </w:tcPr>
          <w:p>
            <w:pPr>
              <w:wordWrap/>
              <w:jc w:val="center"/>
              <w:rPr>
                <w:rFonts w:hint="eastAsia" w:ascii="仿宋" w:hAnsi="仿宋" w:eastAsia="仿宋" w:cs="仿宋"/>
              </w:rPr>
            </w:pPr>
          </w:p>
        </w:tc>
        <w:tc>
          <w:tcPr>
            <w:tcW w:w="1968" w:type="dxa"/>
            <w:vAlign w:val="center"/>
          </w:tcPr>
          <w:p>
            <w:pPr>
              <w:wordWrap/>
              <w:jc w:val="center"/>
              <w:rPr>
                <w:rFonts w:hint="eastAsia" w:ascii="仿宋" w:hAnsi="仿宋" w:eastAsia="仿宋" w:cs="仿宋"/>
              </w:rPr>
            </w:pPr>
          </w:p>
        </w:tc>
        <w:tc>
          <w:tcPr>
            <w:tcW w:w="1984" w:type="dxa"/>
            <w:vAlign w:val="center"/>
          </w:tcPr>
          <w:p>
            <w:pPr>
              <w:wordWrap/>
              <w:jc w:val="center"/>
              <w:rPr>
                <w:rFonts w:hint="eastAsia" w:ascii="仿宋" w:hAnsi="仿宋" w:eastAsia="仿宋" w:cs="仿宋"/>
              </w:rPr>
            </w:pPr>
          </w:p>
        </w:tc>
        <w:tc>
          <w:tcPr>
            <w:tcW w:w="1984" w:type="dxa"/>
            <w:vAlign w:val="center"/>
          </w:tcPr>
          <w:p>
            <w:pPr>
              <w:wordWrap/>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39" w:type="dxa"/>
            <w:vMerge w:val="restart"/>
            <w:vAlign w:val="center"/>
          </w:tcPr>
          <w:p>
            <w:pPr>
              <w:wordWrap/>
              <w:jc w:val="center"/>
              <w:rPr>
                <w:rFonts w:hint="eastAsia" w:ascii="仿宋" w:hAnsi="仿宋" w:eastAsia="仿宋" w:cs="仿宋"/>
              </w:rPr>
            </w:pPr>
            <w:r>
              <w:rPr>
                <w:rFonts w:hint="eastAsia" w:ascii="仿宋" w:hAnsi="仿宋" w:eastAsia="仿宋" w:cs="仿宋"/>
              </w:rPr>
              <w:t>总报价（元）</w:t>
            </w:r>
          </w:p>
        </w:tc>
        <w:tc>
          <w:tcPr>
            <w:tcW w:w="9078" w:type="dxa"/>
            <w:gridSpan w:val="5"/>
            <w:vAlign w:val="center"/>
          </w:tcPr>
          <w:p>
            <w:pPr>
              <w:wordWrap/>
              <w:jc w:val="center"/>
              <w:rPr>
                <w:rFonts w:hint="eastAsia" w:ascii="仿宋" w:hAnsi="仿宋" w:eastAsia="仿宋" w:cs="仿宋"/>
              </w:rPr>
            </w:pPr>
            <w:r>
              <w:rPr>
                <w:rFonts w:hint="eastAsia" w:ascii="仿宋" w:hAnsi="仿宋" w:eastAsia="仿宋" w:cs="仿宋"/>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039" w:type="dxa"/>
            <w:vMerge w:val="continue"/>
            <w:vAlign w:val="center"/>
          </w:tcPr>
          <w:p>
            <w:pPr>
              <w:wordWrap/>
              <w:jc w:val="center"/>
              <w:rPr>
                <w:rFonts w:hint="eastAsia" w:ascii="仿宋" w:hAnsi="仿宋" w:eastAsia="仿宋" w:cs="仿宋"/>
              </w:rPr>
            </w:pPr>
          </w:p>
        </w:tc>
        <w:tc>
          <w:tcPr>
            <w:tcW w:w="9078" w:type="dxa"/>
            <w:gridSpan w:val="5"/>
            <w:vAlign w:val="center"/>
          </w:tcPr>
          <w:p>
            <w:pPr>
              <w:wordWrap/>
              <w:jc w:val="center"/>
              <w:rPr>
                <w:rFonts w:hint="eastAsia" w:ascii="仿宋" w:hAnsi="仿宋" w:eastAsia="仿宋" w:cs="仿宋"/>
              </w:rPr>
            </w:pPr>
            <w:r>
              <w:rPr>
                <w:rFonts w:hint="eastAsia" w:ascii="仿宋" w:hAnsi="仿宋" w:eastAsia="仿宋" w:cs="仿宋"/>
              </w:rPr>
              <w:t>小写</w:t>
            </w:r>
          </w:p>
        </w:tc>
      </w:tr>
    </w:tbl>
    <w:p/>
    <w:p>
      <w:pPr>
        <w:jc w:val="center"/>
        <w:outlineLvl w:val="1"/>
        <w:rPr>
          <w:rFonts w:hint="eastAsia" w:ascii="仿宋" w:hAnsi="仿宋" w:eastAsia="仿宋" w:cs="仿宋"/>
          <w:b/>
          <w:bCs/>
          <w:color w:val="auto"/>
          <w:sz w:val="24"/>
          <w:highlight w:val="none"/>
          <w:lang w:val="zh-TW" w:eastAsia="zh-TW"/>
        </w:rPr>
      </w:pPr>
    </w:p>
    <w:p>
      <w:pPr>
        <w:pStyle w:val="30"/>
        <w:ind w:firstLine="48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注：可根据需求自行添加调整</w:t>
      </w:r>
    </w:p>
    <w:p>
      <w:pPr>
        <w:rPr>
          <w:rFonts w:hint="eastAsia" w:ascii="仿宋" w:hAnsi="仿宋" w:eastAsia="仿宋" w:cs="仿宋"/>
          <w:color w:val="auto"/>
          <w:sz w:val="24"/>
          <w:highlight w:val="none"/>
        </w:rPr>
      </w:pPr>
    </w:p>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TW"/>
        </w:rPr>
        <w:t>供应商：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TW" w:eastAsia="zh-TW"/>
        </w:rPr>
        <w:t>（盖单位章）</w:t>
      </w:r>
    </w:p>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TW"/>
        </w:rPr>
        <w:t>法定代表人或授权代表人：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TW" w:eastAsia="zh-TW"/>
        </w:rPr>
        <w:t>（签字或盖章）</w:t>
      </w:r>
    </w:p>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TW"/>
        </w:rPr>
        <w:t>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TW" w:eastAsia="zh-TW"/>
        </w:rPr>
        <w:t>期：       年    月    日</w:t>
      </w:r>
    </w:p>
    <w:p>
      <w:pPr>
        <w:pStyle w:val="38"/>
        <w:rPr>
          <w:rFonts w:hint="eastAsia" w:ascii="仿宋" w:hAnsi="仿宋" w:eastAsia="仿宋" w:cs="仿宋"/>
          <w:color w:val="auto"/>
          <w:highlight w:val="none"/>
        </w:rPr>
      </w:pPr>
    </w:p>
    <w:p>
      <w:pPr>
        <w:pStyle w:val="38"/>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30"/>
        <w:rPr>
          <w:rFonts w:hint="eastAsia" w:ascii="仿宋" w:hAnsi="仿宋" w:eastAsia="仿宋" w:cs="仿宋"/>
          <w:color w:val="auto"/>
          <w:highlight w:val="none"/>
        </w:rPr>
      </w:pPr>
    </w:p>
    <w:p>
      <w:pPr>
        <w:pStyle w:val="29"/>
        <w:ind w:firstLine="210"/>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30"/>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1687" w:firstLineChars="600"/>
        <w:jc w:val="center"/>
        <w:textAlignment w:val="auto"/>
        <w:outlineLvl w:val="1"/>
        <w:rPr>
          <w:rFonts w:hint="eastAsia" w:ascii="仿宋" w:hAnsi="仿宋" w:eastAsia="仿宋" w:cs="仿宋"/>
          <w:b/>
          <w:color w:val="auto"/>
          <w:sz w:val="28"/>
          <w:szCs w:val="28"/>
          <w:highlight w:val="none"/>
        </w:rPr>
      </w:pPr>
      <w:bookmarkStart w:id="244" w:name="_Toc10085"/>
      <w:bookmarkStart w:id="245" w:name="_Toc31649"/>
      <w:bookmarkStart w:id="246" w:name="_Toc32016"/>
      <w:bookmarkStart w:id="247" w:name="_Toc6286"/>
      <w:bookmarkStart w:id="248" w:name="_Toc7943"/>
      <w:bookmarkStart w:id="249" w:name="_Toc26850"/>
      <w:bookmarkStart w:id="250" w:name="_Toc6261"/>
      <w:bookmarkStart w:id="251" w:name="_Toc23779"/>
      <w:r>
        <w:rPr>
          <w:rFonts w:hint="eastAsia" w:ascii="仿宋" w:hAnsi="仿宋" w:eastAsia="仿宋" w:cs="仿宋"/>
          <w:b/>
          <w:color w:val="auto"/>
          <w:sz w:val="28"/>
          <w:szCs w:val="28"/>
          <w:highlight w:val="none"/>
        </w:rPr>
        <w:t>三、法定代表人身份证明</w:t>
      </w:r>
      <w:bookmarkEnd w:id="240"/>
      <w:bookmarkEnd w:id="241"/>
      <w:bookmarkEnd w:id="242"/>
      <w:bookmarkEnd w:id="243"/>
      <w:bookmarkEnd w:id="244"/>
      <w:bookmarkEnd w:id="245"/>
      <w:bookmarkEnd w:id="246"/>
      <w:bookmarkEnd w:id="247"/>
      <w:bookmarkEnd w:id="248"/>
      <w:bookmarkEnd w:id="249"/>
      <w:bookmarkEnd w:id="250"/>
      <w:bookmarkEnd w:id="251"/>
    </w:p>
    <w:p>
      <w:pPr>
        <w:spacing w:line="360" w:lineRule="auto"/>
        <w:rPr>
          <w:rFonts w:hint="eastAsia" w:ascii="仿宋" w:hAnsi="仿宋" w:eastAsia="仿宋" w:cs="仿宋"/>
          <w:color w:val="auto"/>
          <w:sz w:val="28"/>
          <w:szCs w:val="28"/>
          <w:highlight w:val="none"/>
        </w:rPr>
      </w:pPr>
    </w:p>
    <w:p>
      <w:pPr>
        <w:spacing w:line="48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p>
    <w:p>
      <w:pPr>
        <w:spacing w:line="48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单位性质：</w:t>
      </w:r>
      <w:r>
        <w:rPr>
          <w:rFonts w:hint="eastAsia" w:ascii="仿宋" w:hAnsi="仿宋" w:eastAsia="仿宋" w:cs="仿宋"/>
          <w:color w:val="auto"/>
          <w:sz w:val="24"/>
          <w:highlight w:val="none"/>
          <w:u w:val="single"/>
        </w:rPr>
        <w:t xml:space="preserve">                        </w:t>
      </w:r>
    </w:p>
    <w:p>
      <w:pPr>
        <w:spacing w:line="48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p>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48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经营期限：</w:t>
      </w:r>
      <w:r>
        <w:rPr>
          <w:rFonts w:hint="eastAsia" w:ascii="仿宋" w:hAnsi="仿宋" w:eastAsia="仿宋" w:cs="仿宋"/>
          <w:color w:val="auto"/>
          <w:sz w:val="24"/>
          <w:highlight w:val="none"/>
          <w:u w:val="single"/>
        </w:rPr>
        <w:t xml:space="preserve">                     </w:t>
      </w:r>
    </w:p>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系 </w:t>
      </w:r>
      <w:r>
        <w:rPr>
          <w:rFonts w:hint="eastAsia" w:ascii="仿宋" w:hAnsi="仿宋" w:eastAsia="仿宋" w:cs="仿宋"/>
          <w:color w:val="auto"/>
          <w:sz w:val="24"/>
          <w:highlight w:val="none"/>
          <w:u w:val="single"/>
        </w:rPr>
        <w:t xml:space="preserve">          （供应商名称）</w:t>
      </w:r>
      <w:r>
        <w:rPr>
          <w:rFonts w:hint="eastAsia" w:ascii="仿宋" w:hAnsi="仿宋" w:eastAsia="仿宋" w:cs="仿宋"/>
          <w:color w:val="auto"/>
          <w:sz w:val="24"/>
          <w:highlight w:val="none"/>
        </w:rPr>
        <w:t>的法定代表人。</w:t>
      </w:r>
    </w:p>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pPr>
        <w:spacing w:line="480" w:lineRule="auto"/>
        <w:ind w:firstLine="5347" w:firstLineChars="2228"/>
        <w:rPr>
          <w:rFonts w:hint="eastAsia" w:ascii="仿宋" w:hAnsi="仿宋" w:eastAsia="仿宋" w:cs="仿宋"/>
          <w:color w:val="auto"/>
          <w:sz w:val="24"/>
          <w:highlight w:val="none"/>
        </w:rPr>
      </w:pPr>
    </w:p>
    <w:p>
      <w:pPr>
        <w:spacing w:line="480" w:lineRule="auto"/>
        <w:ind w:firstLine="5347" w:firstLineChars="2228"/>
        <w:rPr>
          <w:rFonts w:hint="eastAsia" w:ascii="仿宋" w:hAnsi="仿宋" w:eastAsia="仿宋" w:cs="仿宋"/>
          <w:color w:val="auto"/>
          <w:sz w:val="24"/>
          <w:highlight w:val="none"/>
        </w:rPr>
      </w:pPr>
    </w:p>
    <w:p>
      <w:pPr>
        <w:spacing w:line="480" w:lineRule="auto"/>
        <w:ind w:firstLine="5347" w:firstLineChars="2228"/>
        <w:rPr>
          <w:rFonts w:hint="eastAsia" w:ascii="仿宋" w:hAnsi="仿宋" w:eastAsia="仿宋" w:cs="仿宋"/>
          <w:color w:val="auto"/>
          <w:sz w:val="24"/>
          <w:highlight w:val="none"/>
        </w:rPr>
      </w:pPr>
    </w:p>
    <w:p>
      <w:pPr>
        <w:spacing w:line="480" w:lineRule="auto"/>
        <w:ind w:firstLine="1680" w:firstLineChars="7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附：</w:t>
      </w:r>
      <w:r>
        <w:rPr>
          <w:rFonts w:hint="eastAsia" w:ascii="仿宋" w:hAnsi="仿宋" w:eastAsia="仿宋" w:cs="仿宋"/>
          <w:color w:val="auto"/>
          <w:sz w:val="24"/>
          <w:highlight w:val="none"/>
        </w:rPr>
        <w:t>法定代表人身份证复印件</w:t>
      </w:r>
    </w:p>
    <w:p>
      <w:pPr>
        <w:spacing w:line="480" w:lineRule="auto"/>
        <w:ind w:firstLine="5347" w:firstLineChars="2228"/>
        <w:rPr>
          <w:rFonts w:hint="eastAsia" w:ascii="仿宋" w:hAnsi="仿宋" w:eastAsia="仿宋" w:cs="仿宋"/>
          <w:color w:val="auto"/>
          <w:sz w:val="24"/>
          <w:highlight w:val="none"/>
        </w:rPr>
      </w:pPr>
    </w:p>
    <w:p>
      <w:pPr>
        <w:spacing w:line="480" w:lineRule="auto"/>
        <w:ind w:firstLine="5347" w:firstLineChars="2228"/>
        <w:rPr>
          <w:rFonts w:hint="eastAsia" w:ascii="仿宋" w:hAnsi="仿宋" w:eastAsia="仿宋" w:cs="仿宋"/>
          <w:color w:val="auto"/>
          <w:sz w:val="24"/>
          <w:highlight w:val="none"/>
        </w:rPr>
      </w:pPr>
    </w:p>
    <w:p>
      <w:pPr>
        <w:spacing w:line="480" w:lineRule="auto"/>
        <w:ind w:firstLine="5347" w:firstLineChars="222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 xml:space="preserve">）     </w:t>
      </w:r>
    </w:p>
    <w:p>
      <w:pPr>
        <w:spacing w:line="480" w:lineRule="auto"/>
        <w:ind w:firstLine="5347" w:firstLineChars="2228"/>
        <w:rPr>
          <w:rFonts w:hint="eastAsia" w:ascii="仿宋" w:hAnsi="仿宋" w:eastAsia="仿宋" w:cs="仿宋"/>
          <w:color w:val="auto"/>
          <w:sz w:val="24"/>
          <w:highlight w:val="none"/>
        </w:rPr>
      </w:pPr>
    </w:p>
    <w:p>
      <w:pPr>
        <w:spacing w:line="480" w:lineRule="auto"/>
        <w:ind w:firstLine="5347" w:firstLineChars="2228"/>
        <w:rPr>
          <w:rFonts w:hint="eastAsia" w:ascii="仿宋" w:hAnsi="仿宋" w:eastAsia="仿宋" w:cs="仿宋"/>
          <w:color w:val="auto"/>
          <w:sz w:val="24"/>
          <w:highlight w:val="none"/>
        </w:rPr>
      </w:pPr>
    </w:p>
    <w:p>
      <w:pPr>
        <w:spacing w:line="480" w:lineRule="auto"/>
        <w:ind w:firstLine="5347" w:firstLineChars="2228"/>
        <w:rPr>
          <w:rFonts w:hint="eastAsia" w:ascii="仿宋" w:hAnsi="仿宋" w:eastAsia="仿宋" w:cs="仿宋"/>
          <w:color w:val="auto"/>
          <w:sz w:val="24"/>
          <w:highlight w:val="non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60" w:lineRule="auto"/>
        <w:jc w:val="center"/>
        <w:rPr>
          <w:rFonts w:hint="eastAsia" w:ascii="仿宋" w:hAnsi="仿宋" w:eastAsia="仿宋" w:cs="仿宋"/>
          <w:b/>
          <w:color w:val="auto"/>
          <w:sz w:val="28"/>
          <w:szCs w:val="28"/>
          <w:highlight w:val="none"/>
          <w:lang w:eastAsia="zh-CN"/>
        </w:rPr>
      </w:pPr>
      <w:bookmarkStart w:id="252" w:name="_Toc1081"/>
      <w:bookmarkStart w:id="253" w:name="_Toc28888"/>
      <w:bookmarkStart w:id="254" w:name="_Toc26790"/>
      <w:r>
        <w:rPr>
          <w:rFonts w:hint="eastAsia" w:ascii="仿宋" w:hAnsi="仿宋" w:eastAsia="仿宋" w:cs="仿宋"/>
          <w:b/>
          <w:color w:val="auto"/>
          <w:sz w:val="28"/>
          <w:szCs w:val="28"/>
          <w:highlight w:val="none"/>
        </w:rPr>
        <w:t>授权委托书</w:t>
      </w:r>
      <w:bookmarkEnd w:id="252"/>
      <w:bookmarkEnd w:id="253"/>
      <w:bookmarkEnd w:id="254"/>
      <w:r>
        <w:rPr>
          <w:rFonts w:hint="eastAsia" w:ascii="仿宋" w:hAnsi="仿宋" w:eastAsia="仿宋" w:cs="仿宋"/>
          <w:b/>
          <w:color w:val="auto"/>
          <w:sz w:val="28"/>
          <w:szCs w:val="28"/>
          <w:highlight w:val="none"/>
          <w:lang w:eastAsia="zh-CN"/>
        </w:rPr>
        <w:t>（如有）</w:t>
      </w:r>
    </w:p>
    <w:p>
      <w:pPr>
        <w:spacing w:line="480" w:lineRule="auto"/>
        <w:jc w:val="center"/>
        <w:rPr>
          <w:rFonts w:hint="eastAsia" w:ascii="仿宋" w:hAnsi="仿宋" w:eastAsia="仿宋" w:cs="仿宋"/>
          <w:b/>
          <w:color w:val="auto"/>
          <w:sz w:val="24"/>
          <w:highlight w:val="none"/>
        </w:rPr>
      </w:pPr>
    </w:p>
    <w:p>
      <w:pPr>
        <w:spacing w:line="48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本人</w:t>
      </w:r>
      <w:r>
        <w:rPr>
          <w:rFonts w:hint="eastAsia" w:ascii="仿宋" w:hAnsi="仿宋" w:eastAsia="仿宋" w:cs="仿宋"/>
          <w:color w:val="auto"/>
          <w:sz w:val="24"/>
          <w:highlight w:val="none"/>
          <w:u w:val="single"/>
        </w:rPr>
        <w:t xml:space="preserve">（姓名）   </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（供应商名称）</w:t>
      </w:r>
      <w:r>
        <w:rPr>
          <w:rFonts w:hint="eastAsia" w:ascii="仿宋" w:hAnsi="仿宋" w:eastAsia="仿宋" w:cs="仿宋"/>
          <w:color w:val="auto"/>
          <w:sz w:val="24"/>
          <w:highlight w:val="none"/>
        </w:rPr>
        <w:t>的法定代表人，现委托</w:t>
      </w:r>
      <w:r>
        <w:rPr>
          <w:rFonts w:hint="eastAsia" w:ascii="仿宋" w:hAnsi="仿宋" w:eastAsia="仿宋" w:cs="仿宋"/>
          <w:color w:val="auto"/>
          <w:sz w:val="24"/>
          <w:highlight w:val="none"/>
          <w:u w:val="single"/>
        </w:rPr>
        <w:t xml:space="preserve">  （姓名）</w:t>
      </w:r>
      <w:r>
        <w:rPr>
          <w:rFonts w:hint="eastAsia" w:ascii="仿宋" w:hAnsi="仿宋" w:eastAsia="仿宋" w:cs="仿宋"/>
          <w:color w:val="auto"/>
          <w:sz w:val="24"/>
          <w:highlight w:val="none"/>
        </w:rPr>
        <w:t>为我方代理人。代理人根据授权，以我方名义签署、澄清、说明、补正、递交、撤回、修改</w:t>
      </w:r>
      <w:r>
        <w:rPr>
          <w:rFonts w:hint="eastAsia" w:ascii="仿宋" w:hAnsi="仿宋" w:eastAsia="仿宋" w:cs="仿宋"/>
          <w:color w:val="auto"/>
          <w:sz w:val="24"/>
          <w:highlight w:val="none"/>
          <w:u w:val="single"/>
        </w:rPr>
        <w:t xml:space="preserve">  （项目名称 ）   </w:t>
      </w:r>
      <w:r>
        <w:rPr>
          <w:rFonts w:hint="eastAsia" w:ascii="仿宋" w:hAnsi="仿宋" w:eastAsia="仿宋" w:cs="仿宋"/>
          <w:color w:val="auto"/>
          <w:sz w:val="24"/>
          <w:highlight w:val="none"/>
        </w:rPr>
        <w:t>响应文件、签订合同和处理有关事宜，其法律后果由我方承担。</w:t>
      </w:r>
    </w:p>
    <w:p>
      <w:pPr>
        <w:spacing w:line="48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委托期限：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8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代理人无转委托权。</w:t>
      </w:r>
    </w:p>
    <w:p>
      <w:pPr>
        <w:spacing w:line="480" w:lineRule="auto"/>
        <w:rPr>
          <w:rFonts w:hint="eastAsia" w:ascii="仿宋" w:hAnsi="仿宋" w:eastAsia="仿宋" w:cs="仿宋"/>
          <w:color w:val="auto"/>
          <w:sz w:val="24"/>
          <w:highlight w:val="none"/>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7" w:hRule="atLeast"/>
          <w:jc w:val="center"/>
        </w:trPr>
        <w:tc>
          <w:tcPr>
            <w:tcW w:w="5955" w:type="dxa"/>
            <w:vAlign w:val="center"/>
          </w:tcPr>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9" w:hRule="atLeast"/>
          <w:jc w:val="center"/>
        </w:trPr>
        <w:tc>
          <w:tcPr>
            <w:tcW w:w="5955" w:type="dxa"/>
            <w:vAlign w:val="center"/>
          </w:tcPr>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授权委托人身份证复印件</w:t>
            </w:r>
          </w:p>
        </w:tc>
      </w:tr>
    </w:tbl>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spacing w:line="480" w:lineRule="auto"/>
        <w:ind w:firstLine="4730" w:firstLineChars="1971"/>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 xml:space="preserve">）   </w:t>
      </w:r>
    </w:p>
    <w:p>
      <w:pPr>
        <w:spacing w:line="480" w:lineRule="auto"/>
        <w:ind w:firstLine="4730" w:firstLineChars="1971"/>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（签字或</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w:t>
      </w:r>
    </w:p>
    <w:p>
      <w:pPr>
        <w:spacing w:line="480" w:lineRule="auto"/>
        <w:ind w:firstLine="4730" w:firstLineChars="1971"/>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pPr>
        <w:spacing w:line="480" w:lineRule="auto"/>
        <w:ind w:firstLine="4730" w:firstLineChars="1971"/>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（签字或</w:t>
      </w:r>
      <w:r>
        <w:rPr>
          <w:rFonts w:hint="eastAsia" w:ascii="仿宋" w:hAnsi="仿宋" w:eastAsia="仿宋" w:cs="仿宋"/>
          <w:color w:val="auto"/>
          <w:sz w:val="24"/>
          <w:highlight w:val="none"/>
          <w:u w:val="single"/>
          <w:lang w:eastAsia="zh-CN"/>
        </w:rPr>
        <w:t>盖章</w:t>
      </w:r>
      <w:r>
        <w:rPr>
          <w:rFonts w:hint="eastAsia" w:ascii="仿宋" w:hAnsi="仿宋" w:eastAsia="仿宋" w:cs="仿宋"/>
          <w:color w:val="auto"/>
          <w:sz w:val="24"/>
          <w:highlight w:val="none"/>
          <w:u w:val="single"/>
        </w:rPr>
        <w:t xml:space="preserve">）    </w:t>
      </w:r>
    </w:p>
    <w:p>
      <w:pPr>
        <w:spacing w:line="480" w:lineRule="auto"/>
        <w:ind w:firstLine="4730" w:firstLineChars="1971"/>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pPr>
        <w:spacing w:line="480" w:lineRule="auto"/>
        <w:ind w:firstLine="4730" w:firstLineChars="1971"/>
        <w:rPr>
          <w:rFonts w:hint="eastAsia" w:ascii="仿宋" w:hAnsi="仿宋" w:eastAsia="仿宋" w:cs="仿宋"/>
          <w:color w:val="auto"/>
          <w:sz w:val="24"/>
          <w:highlight w:val="non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期： </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28"/>
          <w:szCs w:val="28"/>
          <w:highlight w:val="none"/>
        </w:rPr>
      </w:pPr>
      <w:bookmarkStart w:id="255" w:name="_Toc23447"/>
      <w:bookmarkStart w:id="256" w:name="_Toc10915"/>
      <w:bookmarkStart w:id="257" w:name="_Toc16743"/>
      <w:bookmarkStart w:id="258" w:name="_Toc8332"/>
      <w:bookmarkStart w:id="259" w:name="_Toc21477"/>
      <w:bookmarkStart w:id="260" w:name="_Toc31805"/>
      <w:bookmarkStart w:id="261" w:name="_Toc16030"/>
      <w:bookmarkStart w:id="262" w:name="_Toc21838"/>
      <w:bookmarkStart w:id="263" w:name="_Toc32461"/>
      <w:bookmarkStart w:id="264" w:name="_Toc20363"/>
      <w:bookmarkStart w:id="265" w:name="_Toc24858"/>
      <w:bookmarkStart w:id="266" w:name="_Toc25206"/>
      <w:r>
        <w:rPr>
          <w:rFonts w:hint="eastAsia" w:ascii="仿宋" w:hAnsi="仿宋" w:eastAsia="仿宋" w:cs="仿宋"/>
          <w:b/>
          <w:color w:val="auto"/>
          <w:sz w:val="28"/>
          <w:szCs w:val="28"/>
          <w:highlight w:val="none"/>
        </w:rPr>
        <w:t>四、</w:t>
      </w:r>
      <w:bookmarkEnd w:id="255"/>
      <w:bookmarkEnd w:id="256"/>
      <w:bookmarkEnd w:id="257"/>
      <w:bookmarkEnd w:id="258"/>
      <w:bookmarkEnd w:id="259"/>
      <w:bookmarkEnd w:id="260"/>
      <w:bookmarkEnd w:id="261"/>
      <w:bookmarkEnd w:id="262"/>
      <w:bookmarkEnd w:id="263"/>
      <w:bookmarkEnd w:id="264"/>
      <w:bookmarkEnd w:id="265"/>
      <w:bookmarkEnd w:id="266"/>
      <w:r>
        <w:rPr>
          <w:rFonts w:hint="eastAsia" w:ascii="仿宋" w:hAnsi="仿宋" w:eastAsia="仿宋" w:cs="仿宋"/>
          <w:b/>
          <w:color w:val="auto"/>
          <w:sz w:val="28"/>
          <w:szCs w:val="28"/>
          <w:highlight w:val="none"/>
        </w:rPr>
        <w:t>技术部分</w:t>
      </w:r>
    </w:p>
    <w:p>
      <w:pPr>
        <w:spacing w:line="360" w:lineRule="auto"/>
        <w:ind w:firstLine="440" w:firstLineChars="200"/>
        <w:rPr>
          <w:rFonts w:hint="eastAsia" w:ascii="仿宋" w:hAnsi="仿宋" w:eastAsia="仿宋" w:cs="仿宋"/>
          <w:bCs/>
          <w:color w:val="auto"/>
          <w:sz w:val="22"/>
          <w:szCs w:val="22"/>
          <w:highlight w:val="none"/>
        </w:rPr>
      </w:pPr>
    </w:p>
    <w:p>
      <w:pPr>
        <w:jc w:val="center"/>
        <w:rPr>
          <w:rFonts w:hint="eastAsia" w:ascii="仿宋" w:hAnsi="仿宋" w:eastAsia="仿宋" w:cs="仿宋"/>
          <w:color w:val="auto"/>
          <w:sz w:val="24"/>
          <w:highlight w:val="none"/>
        </w:rPr>
      </w:pPr>
      <w:bookmarkStart w:id="267" w:name="_Toc742"/>
      <w:bookmarkStart w:id="268" w:name="_Toc21222"/>
      <w:bookmarkStart w:id="269" w:name="_Toc21826"/>
      <w:bookmarkStart w:id="270" w:name="_Toc17490"/>
      <w:bookmarkStart w:id="271" w:name="_Toc12760"/>
      <w:r>
        <w:rPr>
          <w:rFonts w:hint="eastAsia" w:ascii="仿宋" w:hAnsi="仿宋" w:eastAsia="仿宋" w:cs="仿宋"/>
          <w:color w:val="auto"/>
          <w:sz w:val="24"/>
          <w:highlight w:val="none"/>
        </w:rPr>
        <w:t>包括但不限于评标办法中的内容，格式自拟。</w:t>
      </w: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pStyle w:val="3"/>
        <w:keepNext/>
        <w:keepLines/>
        <w:pageBreakBefore w:val="0"/>
        <w:widowControl w:val="0"/>
        <w:kinsoku/>
        <w:wordWrap/>
        <w:overflowPunct/>
        <w:topLinePunct w:val="0"/>
        <w:autoSpaceDE/>
        <w:autoSpaceDN/>
        <w:bidi w:val="0"/>
        <w:adjustRightInd/>
        <w:snapToGrid/>
        <w:ind w:right="351"/>
        <w:jc w:val="center"/>
        <w:textAlignment w:val="auto"/>
        <w:outlineLvl w:val="1"/>
        <w:rPr>
          <w:rFonts w:hint="eastAsia" w:ascii="仿宋" w:hAnsi="仿宋" w:eastAsia="仿宋" w:cs="仿宋"/>
          <w:bCs w:val="0"/>
          <w:color w:val="auto"/>
          <w:kern w:val="2"/>
          <w:sz w:val="28"/>
          <w:szCs w:val="28"/>
          <w:highlight w:val="none"/>
        </w:rPr>
      </w:pPr>
      <w:r>
        <w:rPr>
          <w:rFonts w:hint="eastAsia" w:ascii="仿宋" w:hAnsi="仿宋" w:eastAsia="仿宋" w:cs="仿宋"/>
          <w:bCs w:val="0"/>
          <w:color w:val="auto"/>
          <w:kern w:val="2"/>
          <w:sz w:val="28"/>
          <w:szCs w:val="28"/>
          <w:highlight w:val="none"/>
        </w:rPr>
        <w:t>五、商务</w:t>
      </w:r>
      <w:r>
        <w:rPr>
          <w:rFonts w:hint="eastAsia" w:ascii="仿宋" w:hAnsi="仿宋" w:eastAsia="仿宋" w:cs="仿宋"/>
          <w:bCs w:val="0"/>
          <w:color w:val="auto"/>
          <w:kern w:val="2"/>
          <w:sz w:val="28"/>
          <w:szCs w:val="28"/>
          <w:highlight w:val="none"/>
          <w:lang w:val="en-US" w:eastAsia="zh-CN"/>
        </w:rPr>
        <w:t>/</w:t>
      </w:r>
      <w:r>
        <w:rPr>
          <w:rFonts w:hint="eastAsia" w:ascii="仿宋" w:hAnsi="仿宋" w:eastAsia="仿宋" w:cs="仿宋"/>
          <w:bCs w:val="0"/>
          <w:color w:val="auto"/>
          <w:kern w:val="2"/>
          <w:sz w:val="28"/>
          <w:szCs w:val="28"/>
          <w:highlight w:val="none"/>
        </w:rPr>
        <w:t>技术条款偏离表</w:t>
      </w:r>
      <w:bookmarkEnd w:id="267"/>
      <w:bookmarkEnd w:id="268"/>
      <w:bookmarkEnd w:id="269"/>
      <w:bookmarkEnd w:id="270"/>
      <w:bookmarkEnd w:id="271"/>
    </w:p>
    <w:p>
      <w:pPr>
        <w:pStyle w:val="11"/>
        <w:spacing w:before="70"/>
        <w:ind w:left="231"/>
        <w:rPr>
          <w:rFonts w:hint="eastAsia" w:ascii="仿宋" w:hAnsi="仿宋" w:eastAsia="仿宋" w:cs="仿宋"/>
          <w:color w:val="auto"/>
          <w:highlight w:val="none"/>
        </w:rPr>
      </w:pPr>
      <w:r>
        <w:rPr>
          <w:rFonts w:hint="eastAsia" w:ascii="仿宋" w:hAnsi="仿宋" w:eastAsia="仿宋" w:cs="仿宋"/>
          <w:color w:val="auto"/>
          <w:highlight w:val="none"/>
        </w:rPr>
        <w:t xml:space="preserve">              </w:t>
      </w:r>
    </w:p>
    <w:tbl>
      <w:tblPr>
        <w:tblStyle w:val="31"/>
        <w:tblpPr w:leftFromText="180" w:rightFromText="180" w:vertAnchor="text" w:horzAnchor="page" w:tblpX="1676" w:tblpY="15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6"/>
        <w:gridCol w:w="2179"/>
        <w:gridCol w:w="1698"/>
        <w:gridCol w:w="1999"/>
        <w:gridCol w:w="1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286" w:type="dxa"/>
          </w:tcPr>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179" w:type="dxa"/>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商务/技术条款</w:t>
            </w:r>
          </w:p>
        </w:tc>
        <w:tc>
          <w:tcPr>
            <w:tcW w:w="1698" w:type="dxa"/>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商务/技术条款</w:t>
            </w:r>
          </w:p>
        </w:tc>
        <w:tc>
          <w:tcPr>
            <w:tcW w:w="1999" w:type="dxa"/>
          </w:tcPr>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偏差内容</w:t>
            </w:r>
          </w:p>
        </w:tc>
        <w:tc>
          <w:tcPr>
            <w:tcW w:w="1354" w:type="dxa"/>
          </w:tcPr>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286" w:type="dxa"/>
          </w:tcPr>
          <w:p>
            <w:pPr>
              <w:pStyle w:val="57"/>
              <w:rPr>
                <w:rFonts w:hint="eastAsia" w:ascii="仿宋" w:hAnsi="仿宋" w:eastAsia="仿宋" w:cs="仿宋"/>
                <w:color w:val="auto"/>
                <w:sz w:val="20"/>
                <w:highlight w:val="none"/>
              </w:rPr>
            </w:pPr>
          </w:p>
        </w:tc>
        <w:tc>
          <w:tcPr>
            <w:tcW w:w="2179" w:type="dxa"/>
          </w:tcPr>
          <w:p>
            <w:pPr>
              <w:pStyle w:val="57"/>
              <w:rPr>
                <w:rFonts w:hint="eastAsia" w:ascii="仿宋" w:hAnsi="仿宋" w:eastAsia="仿宋" w:cs="仿宋"/>
                <w:color w:val="auto"/>
                <w:sz w:val="20"/>
                <w:highlight w:val="none"/>
              </w:rPr>
            </w:pPr>
          </w:p>
        </w:tc>
        <w:tc>
          <w:tcPr>
            <w:tcW w:w="1698" w:type="dxa"/>
          </w:tcPr>
          <w:p>
            <w:pPr>
              <w:pStyle w:val="57"/>
              <w:rPr>
                <w:rFonts w:hint="eastAsia" w:ascii="仿宋" w:hAnsi="仿宋" w:eastAsia="仿宋" w:cs="仿宋"/>
                <w:color w:val="auto"/>
                <w:sz w:val="20"/>
                <w:highlight w:val="none"/>
              </w:rPr>
            </w:pPr>
          </w:p>
        </w:tc>
        <w:tc>
          <w:tcPr>
            <w:tcW w:w="1999" w:type="dxa"/>
          </w:tcPr>
          <w:p>
            <w:pPr>
              <w:pStyle w:val="57"/>
              <w:rPr>
                <w:rFonts w:hint="eastAsia" w:ascii="仿宋" w:hAnsi="仿宋" w:eastAsia="仿宋" w:cs="仿宋"/>
                <w:color w:val="auto"/>
                <w:sz w:val="20"/>
                <w:highlight w:val="none"/>
              </w:rPr>
            </w:pPr>
          </w:p>
        </w:tc>
        <w:tc>
          <w:tcPr>
            <w:tcW w:w="1354" w:type="dxa"/>
          </w:tcPr>
          <w:p>
            <w:pPr>
              <w:pStyle w:val="57"/>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286" w:type="dxa"/>
          </w:tcPr>
          <w:p>
            <w:pPr>
              <w:pStyle w:val="57"/>
              <w:rPr>
                <w:rFonts w:hint="eastAsia" w:ascii="仿宋" w:hAnsi="仿宋" w:eastAsia="仿宋" w:cs="仿宋"/>
                <w:color w:val="auto"/>
                <w:sz w:val="20"/>
                <w:highlight w:val="none"/>
              </w:rPr>
            </w:pPr>
          </w:p>
        </w:tc>
        <w:tc>
          <w:tcPr>
            <w:tcW w:w="2179" w:type="dxa"/>
          </w:tcPr>
          <w:p>
            <w:pPr>
              <w:pStyle w:val="57"/>
              <w:rPr>
                <w:rFonts w:hint="eastAsia" w:ascii="仿宋" w:hAnsi="仿宋" w:eastAsia="仿宋" w:cs="仿宋"/>
                <w:color w:val="auto"/>
                <w:sz w:val="20"/>
                <w:highlight w:val="none"/>
              </w:rPr>
            </w:pPr>
          </w:p>
        </w:tc>
        <w:tc>
          <w:tcPr>
            <w:tcW w:w="1698" w:type="dxa"/>
          </w:tcPr>
          <w:p>
            <w:pPr>
              <w:pStyle w:val="57"/>
              <w:rPr>
                <w:rFonts w:hint="eastAsia" w:ascii="仿宋" w:hAnsi="仿宋" w:eastAsia="仿宋" w:cs="仿宋"/>
                <w:color w:val="auto"/>
                <w:sz w:val="20"/>
                <w:highlight w:val="none"/>
              </w:rPr>
            </w:pPr>
          </w:p>
        </w:tc>
        <w:tc>
          <w:tcPr>
            <w:tcW w:w="1999" w:type="dxa"/>
          </w:tcPr>
          <w:p>
            <w:pPr>
              <w:pStyle w:val="57"/>
              <w:rPr>
                <w:rFonts w:hint="eastAsia" w:ascii="仿宋" w:hAnsi="仿宋" w:eastAsia="仿宋" w:cs="仿宋"/>
                <w:color w:val="auto"/>
                <w:sz w:val="20"/>
                <w:highlight w:val="none"/>
              </w:rPr>
            </w:pPr>
          </w:p>
        </w:tc>
        <w:tc>
          <w:tcPr>
            <w:tcW w:w="1354" w:type="dxa"/>
          </w:tcPr>
          <w:p>
            <w:pPr>
              <w:pStyle w:val="57"/>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286" w:type="dxa"/>
          </w:tcPr>
          <w:p>
            <w:pPr>
              <w:pStyle w:val="57"/>
              <w:rPr>
                <w:rFonts w:hint="eastAsia" w:ascii="仿宋" w:hAnsi="仿宋" w:eastAsia="仿宋" w:cs="仿宋"/>
                <w:color w:val="auto"/>
                <w:sz w:val="20"/>
                <w:highlight w:val="none"/>
              </w:rPr>
            </w:pPr>
          </w:p>
        </w:tc>
        <w:tc>
          <w:tcPr>
            <w:tcW w:w="2179" w:type="dxa"/>
          </w:tcPr>
          <w:p>
            <w:pPr>
              <w:pStyle w:val="57"/>
              <w:rPr>
                <w:rFonts w:hint="eastAsia" w:ascii="仿宋" w:hAnsi="仿宋" w:eastAsia="仿宋" w:cs="仿宋"/>
                <w:color w:val="auto"/>
                <w:sz w:val="20"/>
                <w:highlight w:val="none"/>
              </w:rPr>
            </w:pPr>
          </w:p>
        </w:tc>
        <w:tc>
          <w:tcPr>
            <w:tcW w:w="1698" w:type="dxa"/>
          </w:tcPr>
          <w:p>
            <w:pPr>
              <w:pStyle w:val="57"/>
              <w:rPr>
                <w:rFonts w:hint="eastAsia" w:ascii="仿宋" w:hAnsi="仿宋" w:eastAsia="仿宋" w:cs="仿宋"/>
                <w:color w:val="auto"/>
                <w:sz w:val="20"/>
                <w:highlight w:val="none"/>
              </w:rPr>
            </w:pPr>
          </w:p>
        </w:tc>
        <w:tc>
          <w:tcPr>
            <w:tcW w:w="1999" w:type="dxa"/>
          </w:tcPr>
          <w:p>
            <w:pPr>
              <w:pStyle w:val="57"/>
              <w:rPr>
                <w:rFonts w:hint="eastAsia" w:ascii="仿宋" w:hAnsi="仿宋" w:eastAsia="仿宋" w:cs="仿宋"/>
                <w:color w:val="auto"/>
                <w:sz w:val="20"/>
                <w:highlight w:val="none"/>
              </w:rPr>
            </w:pPr>
          </w:p>
        </w:tc>
        <w:tc>
          <w:tcPr>
            <w:tcW w:w="1354" w:type="dxa"/>
          </w:tcPr>
          <w:p>
            <w:pPr>
              <w:pStyle w:val="57"/>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1286" w:type="dxa"/>
          </w:tcPr>
          <w:p>
            <w:pPr>
              <w:pStyle w:val="57"/>
              <w:rPr>
                <w:rFonts w:hint="eastAsia" w:ascii="仿宋" w:hAnsi="仿宋" w:eastAsia="仿宋" w:cs="仿宋"/>
                <w:color w:val="auto"/>
                <w:sz w:val="20"/>
                <w:highlight w:val="none"/>
              </w:rPr>
            </w:pPr>
          </w:p>
        </w:tc>
        <w:tc>
          <w:tcPr>
            <w:tcW w:w="2179" w:type="dxa"/>
          </w:tcPr>
          <w:p>
            <w:pPr>
              <w:pStyle w:val="57"/>
              <w:rPr>
                <w:rFonts w:hint="eastAsia" w:ascii="仿宋" w:hAnsi="仿宋" w:eastAsia="仿宋" w:cs="仿宋"/>
                <w:color w:val="auto"/>
                <w:sz w:val="20"/>
                <w:highlight w:val="none"/>
              </w:rPr>
            </w:pPr>
          </w:p>
        </w:tc>
        <w:tc>
          <w:tcPr>
            <w:tcW w:w="1698" w:type="dxa"/>
          </w:tcPr>
          <w:p>
            <w:pPr>
              <w:pStyle w:val="57"/>
              <w:rPr>
                <w:rFonts w:hint="eastAsia" w:ascii="仿宋" w:hAnsi="仿宋" w:eastAsia="仿宋" w:cs="仿宋"/>
                <w:color w:val="auto"/>
                <w:sz w:val="20"/>
                <w:highlight w:val="none"/>
              </w:rPr>
            </w:pPr>
          </w:p>
        </w:tc>
        <w:tc>
          <w:tcPr>
            <w:tcW w:w="1999" w:type="dxa"/>
          </w:tcPr>
          <w:p>
            <w:pPr>
              <w:pStyle w:val="57"/>
              <w:rPr>
                <w:rFonts w:hint="eastAsia" w:ascii="仿宋" w:hAnsi="仿宋" w:eastAsia="仿宋" w:cs="仿宋"/>
                <w:color w:val="auto"/>
                <w:sz w:val="20"/>
                <w:highlight w:val="none"/>
              </w:rPr>
            </w:pPr>
          </w:p>
        </w:tc>
        <w:tc>
          <w:tcPr>
            <w:tcW w:w="1354" w:type="dxa"/>
          </w:tcPr>
          <w:p>
            <w:pPr>
              <w:pStyle w:val="57"/>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286" w:type="dxa"/>
          </w:tcPr>
          <w:p>
            <w:pPr>
              <w:pStyle w:val="57"/>
              <w:rPr>
                <w:rFonts w:hint="eastAsia" w:ascii="仿宋" w:hAnsi="仿宋" w:eastAsia="仿宋" w:cs="仿宋"/>
                <w:color w:val="auto"/>
                <w:sz w:val="20"/>
                <w:highlight w:val="none"/>
              </w:rPr>
            </w:pPr>
          </w:p>
        </w:tc>
        <w:tc>
          <w:tcPr>
            <w:tcW w:w="2179" w:type="dxa"/>
          </w:tcPr>
          <w:p>
            <w:pPr>
              <w:pStyle w:val="57"/>
              <w:rPr>
                <w:rFonts w:hint="eastAsia" w:ascii="仿宋" w:hAnsi="仿宋" w:eastAsia="仿宋" w:cs="仿宋"/>
                <w:color w:val="auto"/>
                <w:sz w:val="20"/>
                <w:highlight w:val="none"/>
              </w:rPr>
            </w:pPr>
          </w:p>
        </w:tc>
        <w:tc>
          <w:tcPr>
            <w:tcW w:w="1698" w:type="dxa"/>
          </w:tcPr>
          <w:p>
            <w:pPr>
              <w:pStyle w:val="57"/>
              <w:rPr>
                <w:rFonts w:hint="eastAsia" w:ascii="仿宋" w:hAnsi="仿宋" w:eastAsia="仿宋" w:cs="仿宋"/>
                <w:color w:val="auto"/>
                <w:sz w:val="20"/>
                <w:highlight w:val="none"/>
              </w:rPr>
            </w:pPr>
          </w:p>
        </w:tc>
        <w:tc>
          <w:tcPr>
            <w:tcW w:w="1999" w:type="dxa"/>
          </w:tcPr>
          <w:p>
            <w:pPr>
              <w:pStyle w:val="57"/>
              <w:rPr>
                <w:rFonts w:hint="eastAsia" w:ascii="仿宋" w:hAnsi="仿宋" w:eastAsia="仿宋" w:cs="仿宋"/>
                <w:color w:val="auto"/>
                <w:sz w:val="20"/>
                <w:highlight w:val="none"/>
              </w:rPr>
            </w:pPr>
          </w:p>
        </w:tc>
        <w:tc>
          <w:tcPr>
            <w:tcW w:w="1354" w:type="dxa"/>
          </w:tcPr>
          <w:p>
            <w:pPr>
              <w:pStyle w:val="57"/>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1286" w:type="dxa"/>
          </w:tcPr>
          <w:p>
            <w:pPr>
              <w:pStyle w:val="57"/>
              <w:rPr>
                <w:rFonts w:hint="eastAsia" w:ascii="仿宋" w:hAnsi="仿宋" w:eastAsia="仿宋" w:cs="仿宋"/>
                <w:color w:val="auto"/>
                <w:sz w:val="20"/>
                <w:highlight w:val="none"/>
              </w:rPr>
            </w:pPr>
          </w:p>
        </w:tc>
        <w:tc>
          <w:tcPr>
            <w:tcW w:w="2179" w:type="dxa"/>
          </w:tcPr>
          <w:p>
            <w:pPr>
              <w:pStyle w:val="57"/>
              <w:rPr>
                <w:rFonts w:hint="eastAsia" w:ascii="仿宋" w:hAnsi="仿宋" w:eastAsia="仿宋" w:cs="仿宋"/>
                <w:color w:val="auto"/>
                <w:sz w:val="20"/>
                <w:highlight w:val="none"/>
              </w:rPr>
            </w:pPr>
          </w:p>
        </w:tc>
        <w:tc>
          <w:tcPr>
            <w:tcW w:w="1698" w:type="dxa"/>
          </w:tcPr>
          <w:p>
            <w:pPr>
              <w:pStyle w:val="57"/>
              <w:rPr>
                <w:rFonts w:hint="eastAsia" w:ascii="仿宋" w:hAnsi="仿宋" w:eastAsia="仿宋" w:cs="仿宋"/>
                <w:color w:val="auto"/>
                <w:sz w:val="20"/>
                <w:highlight w:val="none"/>
              </w:rPr>
            </w:pPr>
          </w:p>
        </w:tc>
        <w:tc>
          <w:tcPr>
            <w:tcW w:w="1999" w:type="dxa"/>
          </w:tcPr>
          <w:p>
            <w:pPr>
              <w:pStyle w:val="57"/>
              <w:rPr>
                <w:rFonts w:hint="eastAsia" w:ascii="仿宋" w:hAnsi="仿宋" w:eastAsia="仿宋" w:cs="仿宋"/>
                <w:color w:val="auto"/>
                <w:sz w:val="20"/>
                <w:highlight w:val="none"/>
              </w:rPr>
            </w:pPr>
          </w:p>
        </w:tc>
        <w:tc>
          <w:tcPr>
            <w:tcW w:w="1354" w:type="dxa"/>
          </w:tcPr>
          <w:p>
            <w:pPr>
              <w:pStyle w:val="57"/>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1286" w:type="dxa"/>
          </w:tcPr>
          <w:p>
            <w:pPr>
              <w:pStyle w:val="57"/>
              <w:rPr>
                <w:rFonts w:hint="eastAsia" w:ascii="仿宋" w:hAnsi="仿宋" w:eastAsia="仿宋" w:cs="仿宋"/>
                <w:color w:val="auto"/>
                <w:sz w:val="20"/>
                <w:highlight w:val="none"/>
              </w:rPr>
            </w:pPr>
          </w:p>
        </w:tc>
        <w:tc>
          <w:tcPr>
            <w:tcW w:w="2179" w:type="dxa"/>
          </w:tcPr>
          <w:p>
            <w:pPr>
              <w:pStyle w:val="57"/>
              <w:rPr>
                <w:rFonts w:hint="eastAsia" w:ascii="仿宋" w:hAnsi="仿宋" w:eastAsia="仿宋" w:cs="仿宋"/>
                <w:color w:val="auto"/>
                <w:sz w:val="20"/>
                <w:highlight w:val="none"/>
              </w:rPr>
            </w:pPr>
          </w:p>
        </w:tc>
        <w:tc>
          <w:tcPr>
            <w:tcW w:w="1698" w:type="dxa"/>
          </w:tcPr>
          <w:p>
            <w:pPr>
              <w:pStyle w:val="57"/>
              <w:rPr>
                <w:rFonts w:hint="eastAsia" w:ascii="仿宋" w:hAnsi="仿宋" w:eastAsia="仿宋" w:cs="仿宋"/>
                <w:color w:val="auto"/>
                <w:sz w:val="20"/>
                <w:highlight w:val="none"/>
              </w:rPr>
            </w:pPr>
          </w:p>
        </w:tc>
        <w:tc>
          <w:tcPr>
            <w:tcW w:w="1999" w:type="dxa"/>
          </w:tcPr>
          <w:p>
            <w:pPr>
              <w:pStyle w:val="57"/>
              <w:rPr>
                <w:rFonts w:hint="eastAsia" w:ascii="仿宋" w:hAnsi="仿宋" w:eastAsia="仿宋" w:cs="仿宋"/>
                <w:color w:val="auto"/>
                <w:sz w:val="20"/>
                <w:highlight w:val="none"/>
              </w:rPr>
            </w:pPr>
          </w:p>
        </w:tc>
        <w:tc>
          <w:tcPr>
            <w:tcW w:w="1354" w:type="dxa"/>
          </w:tcPr>
          <w:p>
            <w:pPr>
              <w:pStyle w:val="57"/>
              <w:rPr>
                <w:rFonts w:hint="eastAsia" w:ascii="仿宋" w:hAnsi="仿宋" w:eastAsia="仿宋" w:cs="仿宋"/>
                <w:color w:val="auto"/>
                <w:sz w:val="20"/>
                <w:highlight w:val="none"/>
              </w:rPr>
            </w:pPr>
          </w:p>
        </w:tc>
      </w:tr>
    </w:tbl>
    <w:p>
      <w:pPr>
        <w:pStyle w:val="11"/>
        <w:rPr>
          <w:rFonts w:hint="eastAsia" w:ascii="仿宋" w:hAnsi="仿宋" w:eastAsia="仿宋" w:cs="仿宋"/>
          <w:color w:val="auto"/>
          <w:sz w:val="20"/>
          <w:highlight w:val="none"/>
        </w:rPr>
      </w:pPr>
    </w:p>
    <w:p>
      <w:pPr>
        <w:pStyle w:val="11"/>
        <w:rPr>
          <w:rFonts w:hint="eastAsia" w:ascii="仿宋" w:hAnsi="仿宋" w:eastAsia="仿宋" w:cs="仿宋"/>
          <w:color w:val="auto"/>
          <w:sz w:val="20"/>
          <w:highlight w:val="none"/>
        </w:rPr>
      </w:pPr>
    </w:p>
    <w:p>
      <w:pPr>
        <w:pStyle w:val="11"/>
        <w:rPr>
          <w:rFonts w:hint="eastAsia" w:ascii="仿宋" w:hAnsi="仿宋" w:eastAsia="仿宋" w:cs="仿宋"/>
          <w:color w:val="auto"/>
          <w:sz w:val="20"/>
          <w:highlight w:val="none"/>
        </w:rPr>
      </w:pPr>
    </w:p>
    <w:p>
      <w:pPr>
        <w:pStyle w:val="11"/>
        <w:rPr>
          <w:rFonts w:hint="eastAsia" w:ascii="仿宋" w:hAnsi="仿宋" w:eastAsia="仿宋" w:cs="仿宋"/>
          <w:color w:val="auto"/>
          <w:sz w:val="20"/>
          <w:highlight w:val="none"/>
        </w:rPr>
      </w:pPr>
    </w:p>
    <w:p>
      <w:pPr>
        <w:pStyle w:val="11"/>
        <w:rPr>
          <w:rFonts w:hint="eastAsia" w:ascii="仿宋" w:hAnsi="仿宋" w:eastAsia="仿宋" w:cs="仿宋"/>
          <w:color w:val="auto"/>
          <w:sz w:val="20"/>
          <w:highlight w:val="none"/>
        </w:rPr>
      </w:pPr>
    </w:p>
    <w:p>
      <w:pPr>
        <w:pStyle w:val="11"/>
        <w:rPr>
          <w:rFonts w:hint="eastAsia" w:ascii="仿宋" w:hAnsi="仿宋" w:eastAsia="仿宋" w:cs="仿宋"/>
          <w:color w:val="auto"/>
          <w:sz w:val="20"/>
          <w:highlight w:val="none"/>
        </w:rPr>
      </w:pPr>
    </w:p>
    <w:p>
      <w:pPr>
        <w:pStyle w:val="11"/>
        <w:rPr>
          <w:rFonts w:hint="eastAsia" w:ascii="仿宋" w:hAnsi="仿宋" w:eastAsia="仿宋" w:cs="仿宋"/>
          <w:color w:val="auto"/>
          <w:sz w:val="20"/>
          <w:highlight w:val="none"/>
        </w:rPr>
      </w:pPr>
    </w:p>
    <w:p>
      <w:pPr>
        <w:pStyle w:val="11"/>
        <w:rPr>
          <w:rFonts w:hint="eastAsia" w:ascii="仿宋" w:hAnsi="仿宋" w:eastAsia="仿宋" w:cs="仿宋"/>
          <w:color w:val="auto"/>
          <w:sz w:val="20"/>
          <w:highlight w:val="none"/>
        </w:rPr>
      </w:pPr>
    </w:p>
    <w:p>
      <w:pPr>
        <w:pStyle w:val="11"/>
        <w:rPr>
          <w:rFonts w:hint="eastAsia" w:ascii="仿宋" w:hAnsi="仿宋" w:eastAsia="仿宋" w:cs="仿宋"/>
          <w:color w:val="auto"/>
          <w:sz w:val="20"/>
          <w:highlight w:val="none"/>
        </w:rPr>
      </w:pPr>
    </w:p>
    <w:p>
      <w:pPr>
        <w:pStyle w:val="11"/>
        <w:rPr>
          <w:rFonts w:hint="eastAsia" w:ascii="仿宋" w:hAnsi="仿宋" w:eastAsia="仿宋" w:cs="仿宋"/>
          <w:color w:val="auto"/>
          <w:sz w:val="20"/>
          <w:highlight w:val="none"/>
        </w:rPr>
      </w:pPr>
    </w:p>
    <w:p>
      <w:pPr>
        <w:pStyle w:val="11"/>
        <w:rPr>
          <w:rFonts w:hint="eastAsia" w:ascii="仿宋" w:hAnsi="仿宋" w:eastAsia="仿宋" w:cs="仿宋"/>
          <w:color w:val="auto"/>
          <w:sz w:val="20"/>
          <w:highlight w:val="none"/>
        </w:rPr>
      </w:pPr>
    </w:p>
    <w:p>
      <w:pPr>
        <w:pStyle w:val="11"/>
        <w:rPr>
          <w:rFonts w:hint="eastAsia" w:ascii="仿宋" w:hAnsi="仿宋" w:eastAsia="仿宋" w:cs="仿宋"/>
          <w:color w:val="auto"/>
          <w:sz w:val="20"/>
          <w:highlight w:val="none"/>
        </w:rPr>
      </w:pPr>
    </w:p>
    <w:p>
      <w:pPr>
        <w:pStyle w:val="11"/>
        <w:rPr>
          <w:rFonts w:hint="eastAsia" w:ascii="仿宋" w:hAnsi="仿宋" w:eastAsia="仿宋" w:cs="仿宋"/>
          <w:color w:val="auto"/>
          <w:sz w:val="20"/>
          <w:highlight w:val="none"/>
        </w:rPr>
      </w:pPr>
    </w:p>
    <w:p>
      <w:pPr>
        <w:pStyle w:val="11"/>
        <w:rPr>
          <w:rFonts w:hint="eastAsia" w:ascii="仿宋" w:hAnsi="仿宋" w:eastAsia="仿宋" w:cs="仿宋"/>
          <w:color w:val="auto"/>
          <w:sz w:val="20"/>
          <w:highlight w:val="none"/>
        </w:rPr>
      </w:pPr>
    </w:p>
    <w:p>
      <w:pPr>
        <w:pStyle w:val="11"/>
        <w:rPr>
          <w:rFonts w:hint="eastAsia" w:ascii="仿宋" w:hAnsi="仿宋" w:eastAsia="仿宋" w:cs="仿宋"/>
          <w:color w:val="auto"/>
          <w:sz w:val="20"/>
          <w:highlight w:val="none"/>
        </w:rPr>
      </w:pPr>
    </w:p>
    <w:p>
      <w:pPr>
        <w:pStyle w:val="11"/>
        <w:rPr>
          <w:rFonts w:hint="eastAsia" w:ascii="仿宋" w:hAnsi="仿宋" w:eastAsia="仿宋" w:cs="仿宋"/>
          <w:color w:val="auto"/>
          <w:sz w:val="20"/>
          <w:highlight w:val="none"/>
        </w:rPr>
      </w:pPr>
    </w:p>
    <w:p>
      <w:pPr>
        <w:pStyle w:val="11"/>
        <w:rPr>
          <w:rFonts w:hint="eastAsia" w:ascii="仿宋" w:hAnsi="仿宋" w:eastAsia="仿宋" w:cs="仿宋"/>
          <w:color w:val="auto"/>
          <w:sz w:val="20"/>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注：1.如响应文件与采购文件的要求存在正偏离，请在“偏差内容”处填写“正偏离”。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2.如响应文件与采购文件的要求存在负偏离，请在“偏差内容”处填写“负偏离”。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3.如响应文件与采购文件的要求无偏离，请在“偏差内容”处填写“无”。</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4.本表可以按相同格式扩展；</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5.供应商应如实填写，若发现虚假材料将依法处理；</w:t>
      </w:r>
    </w:p>
    <w:p>
      <w:pPr>
        <w:spacing w:line="360" w:lineRule="auto"/>
        <w:rPr>
          <w:rFonts w:hint="eastAsia" w:ascii="仿宋" w:hAnsi="仿宋" w:eastAsia="仿宋" w:cs="仿宋"/>
          <w:color w:val="auto"/>
          <w:sz w:val="24"/>
          <w:highlight w:val="none"/>
        </w:rPr>
      </w:pPr>
    </w:p>
    <w:p>
      <w:pPr>
        <w:pStyle w:val="26"/>
        <w:adjustRightInd/>
        <w:snapToGrid/>
        <w:spacing w:line="360" w:lineRule="auto"/>
        <w:ind w:firstLine="480" w:firstLineChars="200"/>
        <w:rPr>
          <w:rFonts w:hint="eastAsia" w:ascii="仿宋" w:hAnsi="仿宋" w:eastAsia="仿宋" w:cs="仿宋"/>
          <w:color w:val="auto"/>
          <w:sz w:val="24"/>
          <w:highlight w:val="none"/>
        </w:rPr>
      </w:pPr>
    </w:p>
    <w:p>
      <w:pPr>
        <w:pStyle w:val="26"/>
        <w:adjustRightInd/>
        <w:snapToGrid/>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p>
    <w:p>
      <w:pPr>
        <w:pStyle w:val="26"/>
        <w:adjustRightInd/>
        <w:snapToGrid/>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法定代表人或授权代理人：(</w:t>
      </w:r>
      <w:r>
        <w:rPr>
          <w:rFonts w:hint="eastAsia" w:ascii="仿宋" w:hAnsi="仿宋" w:eastAsia="仿宋" w:cs="仿宋"/>
          <w:color w:val="auto"/>
          <w:sz w:val="24"/>
          <w:highlight w:val="none"/>
          <w:u w:val="none"/>
        </w:rPr>
        <w:t>签字或</w:t>
      </w:r>
      <w:r>
        <w:rPr>
          <w:rFonts w:hint="eastAsia" w:ascii="仿宋" w:hAnsi="仿宋" w:eastAsia="仿宋" w:cs="仿宋"/>
          <w:color w:val="auto"/>
          <w:sz w:val="24"/>
          <w:highlight w:val="none"/>
          <w:u w:val="none"/>
          <w:lang w:eastAsia="zh-CN"/>
        </w:rPr>
        <w:t>盖章</w:t>
      </w:r>
      <w:r>
        <w:rPr>
          <w:rFonts w:hint="eastAsia" w:ascii="仿宋" w:hAnsi="仿宋" w:eastAsia="仿宋" w:cs="仿宋"/>
          <w:color w:val="auto"/>
          <w:sz w:val="24"/>
          <w:highlight w:val="none"/>
        </w:rPr>
        <w:t>)</w:t>
      </w:r>
    </w:p>
    <w:p>
      <w:pPr>
        <w:spacing w:line="480" w:lineRule="auto"/>
        <w:ind w:firstLine="480" w:firstLineChars="200"/>
        <w:rPr>
          <w:rFonts w:hint="eastAsia" w:ascii="仿宋" w:hAnsi="仿宋" w:eastAsia="仿宋" w:cs="仿宋"/>
          <w:color w:val="auto"/>
          <w:sz w:val="24"/>
          <w:highlight w:val="none"/>
          <w:u w:val="single"/>
        </w:rPr>
        <w:sectPr>
          <w:footerReference r:id="rId10" w:type="default"/>
          <w:pgSz w:w="11910" w:h="16840"/>
          <w:pgMar w:top="1220" w:right="1150" w:bottom="1420" w:left="1300" w:header="595" w:footer="1231" w:gutter="0"/>
          <w:pgNumType w:fmt="decimal"/>
          <w:cols w:space="720" w:num="1"/>
        </w:sectPr>
      </w:pPr>
      <w:r>
        <w:rPr>
          <w:rFonts w:hint="eastAsia" w:ascii="仿宋" w:hAnsi="仿宋" w:eastAsia="仿宋" w:cs="仿宋"/>
          <w:color w:val="auto"/>
          <w:sz w:val="24"/>
          <w:highlight w:val="none"/>
        </w:rPr>
        <w:t xml:space="preserve">日  期： </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日</w:t>
      </w:r>
    </w:p>
    <w:p>
      <w:pPr>
        <w:pStyle w:val="3"/>
        <w:keepNext/>
        <w:keepLines/>
        <w:pageBreakBefore w:val="0"/>
        <w:widowControl w:val="0"/>
        <w:kinsoku/>
        <w:wordWrap/>
        <w:overflowPunct/>
        <w:topLinePunct w:val="0"/>
        <w:autoSpaceDE/>
        <w:autoSpaceDN/>
        <w:bidi w:val="0"/>
        <w:adjustRightInd/>
        <w:snapToGrid/>
        <w:ind w:right="351"/>
        <w:textAlignment w:val="auto"/>
        <w:outlineLvl w:val="1"/>
        <w:rPr>
          <w:rFonts w:hint="eastAsia" w:ascii="仿宋" w:hAnsi="仿宋" w:eastAsia="仿宋" w:cs="仿宋"/>
          <w:bCs w:val="0"/>
          <w:color w:val="auto"/>
          <w:kern w:val="2"/>
          <w:sz w:val="28"/>
          <w:szCs w:val="28"/>
          <w:highlight w:val="none"/>
        </w:rPr>
      </w:pPr>
      <w:bookmarkStart w:id="272" w:name="_Toc26703"/>
      <w:bookmarkStart w:id="273" w:name="_Toc26451"/>
      <w:bookmarkStart w:id="274" w:name="_Toc32659"/>
      <w:bookmarkStart w:id="275" w:name="_Toc18988"/>
      <w:bookmarkStart w:id="276" w:name="_Toc7395"/>
      <w:bookmarkStart w:id="277" w:name="_Toc30734"/>
      <w:bookmarkStart w:id="278" w:name="_Toc18248"/>
      <w:bookmarkStart w:id="279" w:name="_Toc7127"/>
      <w:bookmarkStart w:id="280" w:name="_Toc18167"/>
      <w:bookmarkStart w:id="281" w:name="_Toc29208"/>
      <w:bookmarkStart w:id="282" w:name="_Toc15380"/>
      <w:bookmarkStart w:id="283" w:name="_Toc21472"/>
      <w:r>
        <w:rPr>
          <w:rFonts w:hint="eastAsia" w:ascii="仿宋" w:hAnsi="仿宋" w:eastAsia="仿宋" w:cs="仿宋"/>
          <w:bCs w:val="0"/>
          <w:color w:val="auto"/>
          <w:kern w:val="2"/>
          <w:sz w:val="28"/>
          <w:szCs w:val="28"/>
          <w:highlight w:val="none"/>
        </w:rPr>
        <w:t>六、资格审查资料</w:t>
      </w:r>
      <w:bookmarkEnd w:id="272"/>
      <w:bookmarkEnd w:id="273"/>
      <w:bookmarkEnd w:id="274"/>
      <w:bookmarkEnd w:id="275"/>
      <w:bookmarkEnd w:id="276"/>
      <w:bookmarkEnd w:id="277"/>
      <w:bookmarkEnd w:id="278"/>
      <w:bookmarkEnd w:id="279"/>
      <w:bookmarkEnd w:id="280"/>
      <w:bookmarkEnd w:id="281"/>
      <w:bookmarkEnd w:id="282"/>
      <w:bookmarkEnd w:id="283"/>
    </w:p>
    <w:p>
      <w:pPr>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（一）供应商基本情况表</w:t>
      </w:r>
    </w:p>
    <w:tbl>
      <w:tblPr>
        <w:tblStyle w:val="3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8"/>
        <w:gridCol w:w="965"/>
        <w:gridCol w:w="2486"/>
        <w:gridCol w:w="107"/>
        <w:gridCol w:w="1026"/>
        <w:gridCol w:w="255"/>
        <w:gridCol w:w="2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858" w:type="dxa"/>
            <w:tcBorders>
              <w:top w:val="single" w:color="auto" w:sz="4" w:space="0"/>
              <w:bottom w:val="single" w:color="auto" w:sz="4" w:space="0"/>
              <w:right w:val="single" w:color="auto" w:sz="4" w:space="0"/>
            </w:tcBorders>
            <w:vAlign w:val="center"/>
          </w:tcPr>
          <w:p>
            <w:pPr>
              <w:topLinePunct/>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p>
        </w:tc>
        <w:tc>
          <w:tcPr>
            <w:tcW w:w="7361" w:type="dxa"/>
            <w:gridSpan w:val="6"/>
            <w:tcBorders>
              <w:top w:val="single" w:color="auto" w:sz="4" w:space="0"/>
              <w:left w:val="single" w:color="auto" w:sz="4" w:space="0"/>
              <w:bottom w:val="single" w:color="auto" w:sz="4" w:space="0"/>
            </w:tcBorders>
            <w:vAlign w:val="center"/>
          </w:tcPr>
          <w:p>
            <w:pPr>
              <w:topLinePunct/>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1858" w:type="dxa"/>
            <w:tcBorders>
              <w:top w:val="single" w:color="auto" w:sz="4" w:space="0"/>
              <w:bottom w:val="single" w:color="auto" w:sz="4" w:space="0"/>
              <w:right w:val="single" w:color="auto" w:sz="4" w:space="0"/>
            </w:tcBorders>
            <w:vAlign w:val="center"/>
          </w:tcPr>
          <w:p>
            <w:pPr>
              <w:topLinePunct/>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558"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仿宋" w:hAnsi="仿宋" w:eastAsia="仿宋" w:cs="仿宋"/>
                <w:color w:val="auto"/>
                <w:sz w:val="24"/>
                <w:highlight w:val="none"/>
              </w:rPr>
            </w:pPr>
          </w:p>
        </w:tc>
        <w:tc>
          <w:tcPr>
            <w:tcW w:w="1281"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2522" w:type="dxa"/>
            <w:tcBorders>
              <w:top w:val="single" w:color="auto" w:sz="4" w:space="0"/>
              <w:left w:val="single" w:color="auto" w:sz="4" w:space="0"/>
              <w:bottom w:val="single" w:color="auto" w:sz="4" w:space="0"/>
            </w:tcBorders>
            <w:vAlign w:val="center"/>
          </w:tcPr>
          <w:p>
            <w:pPr>
              <w:topLinePunct/>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7" w:hRule="atLeast"/>
        </w:trPr>
        <w:tc>
          <w:tcPr>
            <w:tcW w:w="1858" w:type="dxa"/>
            <w:vMerge w:val="restart"/>
            <w:tcBorders>
              <w:top w:val="single" w:color="auto" w:sz="4" w:space="0"/>
              <w:bottom w:val="single" w:color="auto" w:sz="4" w:space="0"/>
              <w:right w:val="single" w:color="auto" w:sz="4" w:space="0"/>
            </w:tcBorders>
            <w:vAlign w:val="center"/>
          </w:tcPr>
          <w:p>
            <w:pPr>
              <w:topLinePunct/>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96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2593"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仿宋" w:hAnsi="仿宋" w:eastAsia="仿宋" w:cs="仿宋"/>
                <w:color w:val="auto"/>
                <w:sz w:val="24"/>
                <w:highlight w:val="none"/>
              </w:rPr>
            </w:pPr>
          </w:p>
        </w:tc>
        <w:tc>
          <w:tcPr>
            <w:tcW w:w="1281"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p>
        </w:tc>
        <w:tc>
          <w:tcPr>
            <w:tcW w:w="2522" w:type="dxa"/>
            <w:tcBorders>
              <w:top w:val="single" w:color="auto" w:sz="4" w:space="0"/>
              <w:left w:val="single" w:color="auto" w:sz="4" w:space="0"/>
              <w:bottom w:val="single" w:color="auto" w:sz="4" w:space="0"/>
            </w:tcBorders>
            <w:vAlign w:val="center"/>
          </w:tcPr>
          <w:p>
            <w:pPr>
              <w:topLinePunct/>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9" w:hRule="atLeast"/>
        </w:trPr>
        <w:tc>
          <w:tcPr>
            <w:tcW w:w="1858" w:type="dxa"/>
            <w:vMerge w:val="continue"/>
            <w:tcBorders>
              <w:top w:val="single" w:color="auto" w:sz="4" w:space="0"/>
              <w:bottom w:val="single" w:color="auto" w:sz="4" w:space="0"/>
              <w:right w:val="single" w:color="auto" w:sz="4" w:space="0"/>
            </w:tcBorders>
            <w:vAlign w:val="center"/>
          </w:tcPr>
          <w:p>
            <w:pPr>
              <w:topLinePunct/>
              <w:spacing w:line="360" w:lineRule="auto"/>
              <w:jc w:val="center"/>
              <w:rPr>
                <w:rFonts w:hint="eastAsia" w:ascii="仿宋" w:hAnsi="仿宋" w:eastAsia="仿宋" w:cs="仿宋"/>
                <w:color w:val="auto"/>
                <w:sz w:val="24"/>
                <w:highlight w:val="none"/>
              </w:rPr>
            </w:pPr>
          </w:p>
        </w:tc>
        <w:tc>
          <w:tcPr>
            <w:tcW w:w="96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tc>
        <w:tc>
          <w:tcPr>
            <w:tcW w:w="2593"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仿宋" w:hAnsi="仿宋" w:eastAsia="仿宋" w:cs="仿宋"/>
                <w:color w:val="auto"/>
                <w:sz w:val="24"/>
                <w:highlight w:val="none"/>
              </w:rPr>
            </w:pPr>
          </w:p>
        </w:tc>
        <w:tc>
          <w:tcPr>
            <w:tcW w:w="1281"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网 址</w:t>
            </w:r>
          </w:p>
        </w:tc>
        <w:tc>
          <w:tcPr>
            <w:tcW w:w="2522" w:type="dxa"/>
            <w:tcBorders>
              <w:top w:val="single" w:color="auto" w:sz="4" w:space="0"/>
              <w:left w:val="single" w:color="auto" w:sz="4" w:space="0"/>
              <w:bottom w:val="single" w:color="auto" w:sz="4" w:space="0"/>
            </w:tcBorders>
            <w:vAlign w:val="center"/>
          </w:tcPr>
          <w:p>
            <w:pPr>
              <w:topLinePunct/>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858" w:type="dxa"/>
            <w:tcBorders>
              <w:top w:val="single" w:color="auto" w:sz="4" w:space="0"/>
              <w:bottom w:val="single" w:color="auto" w:sz="4" w:space="0"/>
              <w:right w:val="single" w:color="auto" w:sz="4" w:space="0"/>
            </w:tcBorders>
            <w:vAlign w:val="center"/>
          </w:tcPr>
          <w:p>
            <w:pPr>
              <w:topLinePunct/>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组织结构</w:t>
            </w:r>
          </w:p>
        </w:tc>
        <w:tc>
          <w:tcPr>
            <w:tcW w:w="7361" w:type="dxa"/>
            <w:gridSpan w:val="6"/>
            <w:tcBorders>
              <w:top w:val="single" w:color="auto" w:sz="4" w:space="0"/>
              <w:left w:val="single" w:color="auto" w:sz="4" w:space="0"/>
              <w:bottom w:val="single" w:color="auto" w:sz="4" w:space="0"/>
            </w:tcBorders>
            <w:vAlign w:val="center"/>
          </w:tcPr>
          <w:p>
            <w:pPr>
              <w:topLinePunct/>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858" w:type="dxa"/>
            <w:tcBorders>
              <w:top w:val="single" w:color="auto" w:sz="4" w:space="0"/>
              <w:bottom w:val="single" w:color="auto" w:sz="4" w:space="0"/>
              <w:right w:val="single" w:color="auto" w:sz="4" w:space="0"/>
            </w:tcBorders>
            <w:vAlign w:val="center"/>
          </w:tcPr>
          <w:p>
            <w:pPr>
              <w:topLinePunct/>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96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248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仿宋" w:hAnsi="仿宋" w:eastAsia="仿宋" w:cs="仿宋"/>
                <w:color w:val="auto"/>
                <w:sz w:val="24"/>
                <w:highlight w:val="none"/>
              </w:rPr>
            </w:pPr>
          </w:p>
        </w:tc>
        <w:tc>
          <w:tcPr>
            <w:tcW w:w="1133"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2777" w:type="dxa"/>
            <w:gridSpan w:val="2"/>
            <w:tcBorders>
              <w:top w:val="single" w:color="auto" w:sz="4" w:space="0"/>
              <w:left w:val="single" w:color="auto" w:sz="4" w:space="0"/>
              <w:bottom w:val="single" w:color="auto" w:sz="4" w:space="0"/>
            </w:tcBorders>
            <w:vAlign w:val="center"/>
          </w:tcPr>
          <w:p>
            <w:pPr>
              <w:topLinePunct/>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858" w:type="dxa"/>
            <w:tcBorders>
              <w:top w:val="single" w:color="auto" w:sz="4" w:space="0"/>
              <w:bottom w:val="single" w:color="auto" w:sz="4" w:space="0"/>
              <w:right w:val="single" w:color="auto" w:sz="4" w:space="0"/>
            </w:tcBorders>
            <w:vAlign w:val="center"/>
          </w:tcPr>
          <w:p>
            <w:pPr>
              <w:topLinePunct/>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w:t>
            </w:r>
          </w:p>
        </w:tc>
        <w:tc>
          <w:tcPr>
            <w:tcW w:w="3451"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仿宋" w:hAnsi="仿宋" w:eastAsia="仿宋" w:cs="仿宋"/>
                <w:color w:val="auto"/>
                <w:sz w:val="24"/>
                <w:highlight w:val="none"/>
              </w:rPr>
            </w:pPr>
          </w:p>
        </w:tc>
        <w:tc>
          <w:tcPr>
            <w:tcW w:w="3910" w:type="dxa"/>
            <w:gridSpan w:val="4"/>
            <w:tcBorders>
              <w:top w:val="single" w:color="auto" w:sz="4" w:space="0"/>
              <w:left w:val="single" w:color="auto" w:sz="4" w:space="0"/>
              <w:bottom w:val="single" w:color="auto" w:sz="4" w:space="0"/>
            </w:tcBorders>
            <w:vAlign w:val="center"/>
          </w:tcPr>
          <w:p>
            <w:pPr>
              <w:topLinePunct/>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5" w:hRule="atLeast"/>
        </w:trPr>
        <w:tc>
          <w:tcPr>
            <w:tcW w:w="1858" w:type="dxa"/>
            <w:tcBorders>
              <w:top w:val="single" w:color="auto" w:sz="4" w:space="0"/>
              <w:right w:val="single" w:color="auto" w:sz="4" w:space="0"/>
            </w:tcBorders>
            <w:vAlign w:val="center"/>
          </w:tcPr>
          <w:p>
            <w:pPr>
              <w:topLinePunct/>
              <w:spacing w:line="360" w:lineRule="auto"/>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7361" w:type="dxa"/>
            <w:gridSpan w:val="6"/>
            <w:tcBorders>
              <w:top w:val="single" w:color="auto" w:sz="4" w:space="0"/>
              <w:left w:val="single" w:color="auto" w:sz="4" w:space="0"/>
            </w:tcBorders>
            <w:vAlign w:val="center"/>
          </w:tcPr>
          <w:p>
            <w:pPr>
              <w:topLinePunct/>
              <w:spacing w:line="360" w:lineRule="auto"/>
              <w:jc w:val="center"/>
              <w:rPr>
                <w:rFonts w:hint="eastAsia" w:ascii="仿宋" w:hAnsi="仿宋" w:eastAsia="仿宋" w:cs="仿宋"/>
                <w:color w:val="auto"/>
                <w:sz w:val="24"/>
                <w:highlight w:val="none"/>
              </w:rPr>
            </w:pPr>
          </w:p>
          <w:p>
            <w:pPr>
              <w:topLinePunct/>
              <w:spacing w:line="360" w:lineRule="auto"/>
              <w:jc w:val="center"/>
              <w:rPr>
                <w:rFonts w:hint="eastAsia" w:ascii="仿宋" w:hAnsi="仿宋" w:eastAsia="仿宋" w:cs="仿宋"/>
                <w:color w:val="auto"/>
                <w:sz w:val="24"/>
                <w:highlight w:val="none"/>
              </w:rPr>
            </w:pPr>
          </w:p>
          <w:p>
            <w:pPr>
              <w:topLinePunct/>
              <w:spacing w:line="360" w:lineRule="auto"/>
              <w:jc w:val="center"/>
              <w:rPr>
                <w:rFonts w:hint="eastAsia" w:ascii="仿宋" w:hAnsi="仿宋" w:eastAsia="仿宋" w:cs="仿宋"/>
                <w:color w:val="auto"/>
                <w:sz w:val="24"/>
                <w:highlight w:val="none"/>
              </w:rPr>
            </w:pPr>
          </w:p>
          <w:p>
            <w:pPr>
              <w:topLinePunct/>
              <w:spacing w:line="360" w:lineRule="auto"/>
              <w:jc w:val="center"/>
              <w:rPr>
                <w:rFonts w:hint="eastAsia" w:ascii="仿宋" w:hAnsi="仿宋" w:eastAsia="仿宋" w:cs="仿宋"/>
                <w:color w:val="auto"/>
                <w:sz w:val="24"/>
                <w:highlight w:val="none"/>
              </w:rPr>
            </w:pPr>
          </w:p>
          <w:p>
            <w:pPr>
              <w:topLinePunct/>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1858" w:type="dxa"/>
            <w:tcBorders>
              <w:top w:val="single" w:color="auto" w:sz="4" w:space="0"/>
              <w:bottom w:val="single" w:color="auto" w:sz="4" w:space="0"/>
              <w:right w:val="single" w:color="auto" w:sz="4" w:space="0"/>
            </w:tcBorders>
            <w:vAlign w:val="center"/>
          </w:tcPr>
          <w:p>
            <w:pPr>
              <w:topLinePunct/>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7361" w:type="dxa"/>
            <w:gridSpan w:val="6"/>
            <w:tcBorders>
              <w:top w:val="single" w:color="auto" w:sz="4" w:space="0"/>
              <w:left w:val="single" w:color="auto" w:sz="4" w:space="0"/>
              <w:bottom w:val="single" w:color="auto" w:sz="4" w:space="0"/>
            </w:tcBorders>
            <w:vAlign w:val="center"/>
          </w:tcPr>
          <w:p>
            <w:pPr>
              <w:topLinePunct/>
              <w:spacing w:line="360" w:lineRule="auto"/>
              <w:jc w:val="center"/>
              <w:rPr>
                <w:rFonts w:hint="eastAsia" w:ascii="仿宋" w:hAnsi="仿宋" w:eastAsia="仿宋" w:cs="仿宋"/>
                <w:color w:val="auto"/>
                <w:sz w:val="24"/>
                <w:highlight w:val="none"/>
              </w:rPr>
            </w:pPr>
          </w:p>
        </w:tc>
      </w:tr>
    </w:tbl>
    <w:p>
      <w:pPr>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备注：本表后应附供应商营业执照副本、法人身份证等资格审查材料。所填写内容应准确无误。</w:t>
      </w:r>
    </w:p>
    <w:p>
      <w:pPr>
        <w:rPr>
          <w:rFonts w:hint="eastAsia" w:ascii="仿宋" w:hAnsi="仿宋" w:eastAsia="仿宋" w:cs="仿宋"/>
          <w:spacing w:val="9"/>
          <w:sz w:val="31"/>
          <w:szCs w:val="31"/>
          <w:highlight w:val="none"/>
          <w14:textOutline w14:w="5793" w14:cap="sq" w14:cmpd="sng">
            <w14:solidFill>
              <w14:srgbClr w14:val="000000"/>
            </w14:solidFill>
            <w14:prstDash w14:val="solid"/>
            <w14:bevel/>
          </w14:textOutline>
        </w:rPr>
      </w:pPr>
      <w:bookmarkStart w:id="284" w:name="_Toc26326"/>
      <w:bookmarkStart w:id="285" w:name="_Toc28295"/>
      <w:bookmarkStart w:id="286" w:name="_Toc7941"/>
      <w:bookmarkStart w:id="287" w:name="_Toc3932"/>
      <w:bookmarkStart w:id="288" w:name="_Toc144974881"/>
      <w:bookmarkStart w:id="289" w:name="_Toc246996374"/>
      <w:bookmarkStart w:id="290" w:name="_Toc296602622"/>
      <w:bookmarkStart w:id="291" w:name="_Toc179632833"/>
      <w:bookmarkStart w:id="292" w:name="_Toc152045813"/>
      <w:bookmarkStart w:id="293" w:name="_Toc247085892"/>
      <w:bookmarkStart w:id="294" w:name="_Toc246997117"/>
      <w:bookmarkStart w:id="295" w:name="_Toc152042602"/>
      <w:r>
        <w:rPr>
          <w:rFonts w:hint="eastAsia" w:ascii="仿宋" w:hAnsi="仿宋" w:eastAsia="仿宋" w:cs="仿宋"/>
          <w:spacing w:val="9"/>
          <w:sz w:val="31"/>
          <w:szCs w:val="31"/>
          <w:highlight w:val="none"/>
          <w14:textOutline w14:w="5793" w14:cap="sq" w14:cmpd="sng">
            <w14:solidFill>
              <w14:srgbClr w14:val="000000"/>
            </w14:solidFill>
            <w14:prstDash w14:val="solid"/>
            <w14:bevel/>
          </w14:textOutline>
        </w:rPr>
        <w:br w:type="page"/>
      </w:r>
    </w:p>
    <w:p>
      <w:pPr>
        <w:pStyle w:val="4"/>
        <w:keepNext/>
        <w:keepLines/>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sz w:val="21"/>
          <w:highlight w:val="none"/>
        </w:rPr>
      </w:pPr>
      <w:r>
        <w:rPr>
          <w:rFonts w:hint="eastAsia" w:ascii="仿宋" w:hAnsi="仿宋" w:eastAsia="仿宋" w:cs="仿宋"/>
          <w:spacing w:val="9"/>
          <w:sz w:val="31"/>
          <w:szCs w:val="31"/>
          <w:highlight w:val="none"/>
          <w14:textOutline w14:w="5793" w14:cap="sq" w14:cmpd="sng">
            <w14:solidFill>
              <w14:srgbClr w14:val="000000"/>
            </w14:solidFill>
            <w14:prstDash w14:val="solid"/>
            <w14:bevel/>
          </w14:textOutline>
        </w:rPr>
        <w:t>对磋商文件认同程度的声明</w:t>
      </w:r>
    </w:p>
    <w:p>
      <w:pPr>
        <w:pageBreakBefore w:val="0"/>
        <w:overflowPunct/>
        <w:bidi w:val="0"/>
        <w:spacing w:line="360" w:lineRule="auto"/>
        <w:rPr>
          <w:rFonts w:hint="eastAsia" w:ascii="仿宋" w:hAnsi="仿宋" w:eastAsia="仿宋" w:cs="仿宋"/>
          <w:spacing w:val="31"/>
          <w:sz w:val="24"/>
          <w:szCs w:val="24"/>
          <w:highlight w:val="none"/>
          <w:u w:val="single"/>
        </w:rPr>
      </w:pPr>
    </w:p>
    <w:p>
      <w:pPr>
        <w:pageBreakBefore w:val="0"/>
        <w:overflowPunct/>
        <w:bidi w:val="0"/>
        <w:spacing w:line="360" w:lineRule="auto"/>
        <w:rPr>
          <w:rFonts w:hint="eastAsia" w:ascii="仿宋" w:hAnsi="仿宋" w:eastAsia="仿宋" w:cs="仿宋"/>
          <w:spacing w:val="31"/>
          <w:sz w:val="24"/>
          <w:szCs w:val="24"/>
          <w:highlight w:val="none"/>
          <w:u w:val="single"/>
        </w:rPr>
      </w:pPr>
    </w:p>
    <w:p>
      <w:pPr>
        <w:pageBreakBefore w:val="0"/>
        <w:overflowPunct/>
        <w:bidi w:val="0"/>
        <w:spacing w:line="360" w:lineRule="auto"/>
        <w:rPr>
          <w:rFonts w:hint="eastAsia" w:ascii="仿宋" w:hAnsi="仿宋" w:eastAsia="仿宋" w:cs="仿宋"/>
          <w:sz w:val="24"/>
          <w:szCs w:val="24"/>
          <w:highlight w:val="none"/>
        </w:rPr>
      </w:pPr>
      <w:r>
        <w:rPr>
          <w:rFonts w:hint="eastAsia" w:ascii="仿宋" w:hAnsi="仿宋" w:eastAsia="仿宋" w:cs="仿宋"/>
          <w:spacing w:val="31"/>
          <w:sz w:val="24"/>
          <w:szCs w:val="24"/>
          <w:highlight w:val="none"/>
          <w:u w:val="single"/>
        </w:rPr>
        <w:t>(</w:t>
      </w:r>
      <w:r>
        <w:rPr>
          <w:rFonts w:hint="eastAsia" w:ascii="仿宋" w:hAnsi="仿宋" w:eastAsia="仿宋" w:cs="仿宋"/>
          <w:spacing w:val="29"/>
          <w:sz w:val="24"/>
          <w:szCs w:val="24"/>
          <w:highlight w:val="none"/>
          <w:u w:val="single"/>
        </w:rPr>
        <w:t>采购人)</w:t>
      </w:r>
      <w:r>
        <w:rPr>
          <w:rFonts w:hint="eastAsia" w:ascii="仿宋" w:hAnsi="仿宋" w:eastAsia="仿宋" w:cs="仿宋"/>
          <w:spacing w:val="29"/>
          <w:sz w:val="24"/>
          <w:szCs w:val="24"/>
          <w:highlight w:val="none"/>
          <w:u w:val="single"/>
          <w:lang w:val="en-US" w:eastAsia="zh-CN"/>
        </w:rPr>
        <w:t xml:space="preserve">   </w:t>
      </w:r>
      <w:r>
        <w:rPr>
          <w:rFonts w:hint="eastAsia" w:ascii="仿宋" w:hAnsi="仿宋" w:eastAsia="仿宋" w:cs="仿宋"/>
          <w:spacing w:val="29"/>
          <w:sz w:val="24"/>
          <w:szCs w:val="24"/>
          <w:highlight w:val="none"/>
        </w:rPr>
        <w:t>：</w:t>
      </w:r>
    </w:p>
    <w:p>
      <w:pPr>
        <w:pageBreakBefore w:val="0"/>
        <w:overflowPunct/>
        <w:bidi w:val="0"/>
        <w:spacing w:line="360" w:lineRule="auto"/>
        <w:rPr>
          <w:rFonts w:hint="eastAsia" w:ascii="仿宋" w:hAnsi="仿宋" w:eastAsia="仿宋" w:cs="仿宋"/>
          <w:sz w:val="24"/>
          <w:szCs w:val="24"/>
          <w:highlight w:val="none"/>
        </w:rPr>
      </w:pPr>
    </w:p>
    <w:p>
      <w:pPr>
        <w:pageBreakBefore w:val="0"/>
        <w:overflowPunct/>
        <w:bidi w:val="0"/>
        <w:spacing w:line="360" w:lineRule="auto"/>
        <w:rPr>
          <w:rFonts w:hint="eastAsia" w:ascii="仿宋" w:hAnsi="仿宋" w:eastAsia="仿宋" w:cs="仿宋"/>
          <w:sz w:val="24"/>
          <w:szCs w:val="24"/>
          <w:highlight w:val="none"/>
        </w:rPr>
      </w:pPr>
    </w:p>
    <w:p>
      <w:pPr>
        <w:pageBreakBefore w:val="0"/>
        <w:overflowPunct/>
        <w:bidi w:val="0"/>
        <w:spacing w:line="360" w:lineRule="auto"/>
        <w:ind w:left="10" w:right="1" w:firstLine="480"/>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经我方对</w:t>
      </w:r>
      <w:r>
        <w:rPr>
          <w:rFonts w:hint="eastAsia" w:ascii="仿宋" w:hAnsi="仿宋" w:eastAsia="仿宋" w:cs="仿宋"/>
          <w:spacing w:val="8"/>
          <w:sz w:val="24"/>
          <w:szCs w:val="24"/>
          <w:highlight w:val="none"/>
          <w:u w:val="single"/>
          <w:lang w:val="en-US" w:eastAsia="zh-CN"/>
        </w:rPr>
        <w:t xml:space="preserve">   （项目名称）    </w:t>
      </w:r>
      <w:r>
        <w:rPr>
          <w:rFonts w:hint="eastAsia" w:ascii="仿宋" w:hAnsi="仿宋" w:eastAsia="仿宋" w:cs="仿宋"/>
          <w:spacing w:val="4"/>
          <w:sz w:val="24"/>
          <w:szCs w:val="24"/>
          <w:highlight w:val="none"/>
        </w:rPr>
        <w:t xml:space="preserve"> (项目编号：</w:t>
      </w:r>
      <w:r>
        <w:rPr>
          <w:rFonts w:hint="eastAsia" w:ascii="仿宋" w:hAnsi="仿宋" w:eastAsia="仿宋" w:cs="仿宋"/>
          <w:spacing w:val="4"/>
          <w:sz w:val="24"/>
          <w:szCs w:val="24"/>
          <w:highlight w:val="none"/>
          <w:u w:val="single"/>
          <w:lang w:val="en-US" w:eastAsia="zh-CN"/>
        </w:rPr>
        <w:t xml:space="preserve">              </w:t>
      </w:r>
      <w:r>
        <w:rPr>
          <w:rFonts w:hint="eastAsia" w:ascii="仿宋" w:hAnsi="仿宋" w:eastAsia="仿宋" w:cs="仿宋"/>
          <w:spacing w:val="4"/>
          <w:sz w:val="24"/>
          <w:szCs w:val="24"/>
          <w:highlight w:val="none"/>
        </w:rPr>
        <w:t xml:space="preserve"> ) 仔细、认真的研究</w:t>
      </w:r>
      <w:r>
        <w:rPr>
          <w:rFonts w:hint="eastAsia" w:ascii="仿宋" w:hAnsi="仿宋" w:eastAsia="仿宋" w:cs="仿宋"/>
          <w:spacing w:val="18"/>
          <w:sz w:val="24"/>
          <w:szCs w:val="24"/>
          <w:highlight w:val="none"/>
        </w:rPr>
        <w:t>之</w:t>
      </w:r>
      <w:r>
        <w:rPr>
          <w:rFonts w:hint="eastAsia" w:ascii="仿宋" w:hAnsi="仿宋" w:eastAsia="仿宋" w:cs="仿宋"/>
          <w:spacing w:val="17"/>
          <w:sz w:val="24"/>
          <w:szCs w:val="24"/>
          <w:highlight w:val="none"/>
        </w:rPr>
        <w:t>后</w:t>
      </w:r>
      <w:r>
        <w:rPr>
          <w:rFonts w:hint="eastAsia" w:ascii="仿宋" w:hAnsi="仿宋" w:eastAsia="仿宋" w:cs="仿宋"/>
          <w:spacing w:val="9"/>
          <w:sz w:val="24"/>
          <w:szCs w:val="24"/>
          <w:highlight w:val="none"/>
        </w:rPr>
        <w:t>，对磋商文件中所有的规定要求、条件全部确认，对磋商文件的全部内容予以认同。</w:t>
      </w:r>
    </w:p>
    <w:p>
      <w:pPr>
        <w:pageBreakBefore w:val="0"/>
        <w:overflowPunct/>
        <w:bidi w:val="0"/>
        <w:spacing w:line="360" w:lineRule="auto"/>
        <w:ind w:left="8"/>
        <w:rPr>
          <w:rFonts w:hint="eastAsia" w:ascii="仿宋" w:hAnsi="仿宋" w:eastAsia="仿宋" w:cs="仿宋"/>
          <w:spacing w:val="6"/>
          <w:sz w:val="24"/>
          <w:szCs w:val="24"/>
          <w:highlight w:val="none"/>
        </w:rPr>
      </w:pPr>
    </w:p>
    <w:p>
      <w:pPr>
        <w:pageBreakBefore w:val="0"/>
        <w:overflowPunct/>
        <w:bidi w:val="0"/>
        <w:spacing w:line="360" w:lineRule="auto"/>
        <w:ind w:left="8"/>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特此声明！</w:t>
      </w:r>
    </w:p>
    <w:p>
      <w:pPr>
        <w:pageBreakBefore w:val="0"/>
        <w:overflowPunct/>
        <w:bidi w:val="0"/>
        <w:spacing w:line="360" w:lineRule="auto"/>
        <w:rPr>
          <w:rFonts w:hint="eastAsia" w:ascii="仿宋" w:hAnsi="仿宋" w:eastAsia="仿宋" w:cs="仿宋"/>
          <w:sz w:val="24"/>
          <w:szCs w:val="24"/>
          <w:highlight w:val="none"/>
        </w:rPr>
      </w:pPr>
    </w:p>
    <w:p>
      <w:pPr>
        <w:pageBreakBefore w:val="0"/>
        <w:overflowPunct/>
        <w:bidi w:val="0"/>
        <w:spacing w:line="360" w:lineRule="auto"/>
        <w:rPr>
          <w:rFonts w:hint="eastAsia" w:ascii="仿宋" w:hAnsi="仿宋" w:eastAsia="仿宋" w:cs="仿宋"/>
          <w:sz w:val="24"/>
          <w:szCs w:val="24"/>
          <w:highlight w:val="none"/>
        </w:rPr>
      </w:pPr>
    </w:p>
    <w:p>
      <w:pPr>
        <w:pageBreakBefore w:val="0"/>
        <w:overflowPunct/>
        <w:bidi w:val="0"/>
        <w:spacing w:line="360" w:lineRule="auto"/>
        <w:rPr>
          <w:rFonts w:hint="eastAsia" w:ascii="仿宋" w:hAnsi="仿宋" w:eastAsia="仿宋" w:cs="仿宋"/>
          <w:sz w:val="24"/>
          <w:szCs w:val="24"/>
          <w:highlight w:val="none"/>
        </w:rPr>
      </w:pPr>
    </w:p>
    <w:p>
      <w:pPr>
        <w:pageBreakBefore w:val="0"/>
        <w:overflowPunct/>
        <w:bidi w:val="0"/>
        <w:spacing w:line="360" w:lineRule="auto"/>
        <w:ind w:left="3848"/>
        <w:rPr>
          <w:rFonts w:hint="eastAsia" w:ascii="仿宋" w:hAnsi="仿宋" w:eastAsia="仿宋" w:cs="仿宋"/>
          <w:sz w:val="28"/>
          <w:szCs w:val="28"/>
          <w:highlight w:val="none"/>
        </w:rPr>
      </w:pPr>
      <w:r>
        <w:rPr>
          <w:rFonts w:hint="eastAsia" w:ascii="仿宋" w:hAnsi="仿宋" w:eastAsia="仿宋" w:cs="仿宋"/>
          <w:spacing w:val="-8"/>
          <w:sz w:val="24"/>
          <w:szCs w:val="24"/>
          <w:highlight w:val="none"/>
        </w:rPr>
        <w:t>供</w:t>
      </w:r>
      <w:r>
        <w:rPr>
          <w:rFonts w:hint="eastAsia" w:ascii="仿宋" w:hAnsi="仿宋" w:eastAsia="仿宋" w:cs="仿宋"/>
          <w:spacing w:val="-6"/>
          <w:sz w:val="24"/>
          <w:szCs w:val="24"/>
          <w:highlight w:val="none"/>
        </w:rPr>
        <w:t>应</w:t>
      </w:r>
      <w:r>
        <w:rPr>
          <w:rFonts w:hint="eastAsia" w:ascii="仿宋" w:hAnsi="仿宋" w:eastAsia="仿宋" w:cs="仿宋"/>
          <w:spacing w:val="-4"/>
          <w:sz w:val="24"/>
          <w:szCs w:val="24"/>
          <w:highlight w:val="none"/>
        </w:rPr>
        <w:t>商：   (盖章)</w:t>
      </w:r>
    </w:p>
    <w:p>
      <w:pPr>
        <w:pageBreakBefore w:val="0"/>
        <w:overflowPunct/>
        <w:bidi w:val="0"/>
        <w:spacing w:line="360" w:lineRule="auto"/>
        <w:rPr>
          <w:rFonts w:hint="eastAsia" w:ascii="仿宋" w:hAnsi="仿宋" w:eastAsia="仿宋" w:cs="仿宋"/>
          <w:sz w:val="24"/>
          <w:szCs w:val="24"/>
          <w:highlight w:val="none"/>
        </w:rPr>
      </w:pPr>
    </w:p>
    <w:p>
      <w:pPr>
        <w:pageBreakBefore w:val="0"/>
        <w:overflowPunct/>
        <w:bidi w:val="0"/>
        <w:spacing w:line="360" w:lineRule="auto"/>
        <w:ind w:left="384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法定代表人或其委托代理人：  (签字或盖章</w:t>
      </w:r>
      <w:r>
        <w:rPr>
          <w:rFonts w:hint="eastAsia" w:ascii="仿宋" w:hAnsi="仿宋" w:eastAsia="仿宋" w:cs="仿宋"/>
          <w:spacing w:val="1"/>
          <w:sz w:val="24"/>
          <w:szCs w:val="24"/>
          <w:highlight w:val="none"/>
        </w:rPr>
        <w:t>)</w:t>
      </w:r>
    </w:p>
    <w:p>
      <w:pPr>
        <w:pageBreakBefore w:val="0"/>
        <w:overflowPunct/>
        <w:bidi w:val="0"/>
        <w:spacing w:line="360" w:lineRule="auto"/>
        <w:rPr>
          <w:rFonts w:hint="eastAsia" w:ascii="仿宋" w:hAnsi="仿宋" w:eastAsia="仿宋" w:cs="仿宋"/>
          <w:sz w:val="24"/>
          <w:szCs w:val="24"/>
          <w:highlight w:val="none"/>
        </w:rPr>
      </w:pPr>
    </w:p>
    <w:p>
      <w:pPr>
        <w:pageBreakBefore w:val="0"/>
        <w:overflowPunct/>
        <w:bidi w:val="0"/>
        <w:spacing w:line="360" w:lineRule="auto"/>
        <w:ind w:left="3889"/>
        <w:outlineLvl w:val="9"/>
        <w:rPr>
          <w:rFonts w:hint="eastAsia" w:ascii="仿宋" w:hAnsi="仿宋" w:eastAsia="仿宋" w:cs="仿宋"/>
          <w:sz w:val="24"/>
          <w:szCs w:val="24"/>
          <w:highlight w:val="none"/>
        </w:rPr>
        <w:sectPr>
          <w:headerReference r:id="rId11" w:type="default"/>
          <w:footerReference r:id="rId12" w:type="default"/>
          <w:pgSz w:w="11911" w:h="16838"/>
          <w:pgMar w:top="1440" w:right="1083" w:bottom="1440" w:left="1083" w:header="1032" w:footer="935" w:gutter="0"/>
          <w:pgNumType w:fmt="decimal"/>
          <w:cols w:space="0" w:num="1"/>
          <w:rtlGutter w:val="0"/>
          <w:docGrid w:linePitch="0" w:charSpace="0"/>
        </w:sectPr>
      </w:pPr>
      <w:r>
        <w:rPr>
          <w:rFonts w:hint="eastAsia" w:ascii="仿宋" w:hAnsi="仿宋" w:eastAsia="仿宋" w:cs="仿宋"/>
          <w:spacing w:val="-18"/>
          <w:sz w:val="24"/>
          <w:szCs w:val="24"/>
          <w:highlight w:val="none"/>
        </w:rPr>
        <w:t>日</w:t>
      </w:r>
      <w:r>
        <w:rPr>
          <w:rFonts w:hint="eastAsia" w:ascii="仿宋" w:hAnsi="仿宋" w:eastAsia="仿宋" w:cs="仿宋"/>
          <w:spacing w:val="-10"/>
          <w:sz w:val="24"/>
          <w:szCs w:val="24"/>
          <w:highlight w:val="none"/>
        </w:rPr>
        <w:t xml:space="preserve"> </w:t>
      </w:r>
      <w:r>
        <w:rPr>
          <w:rFonts w:hint="eastAsia" w:ascii="仿宋" w:hAnsi="仿宋" w:eastAsia="仿宋" w:cs="仿宋"/>
          <w:spacing w:val="-9"/>
          <w:sz w:val="24"/>
          <w:szCs w:val="24"/>
          <w:highlight w:val="none"/>
        </w:rPr>
        <w:t xml:space="preserve">期 ：    年 </w:t>
      </w:r>
      <w:r>
        <w:rPr>
          <w:rFonts w:hint="eastAsia" w:ascii="仿宋" w:hAnsi="仿宋" w:eastAsia="仿宋" w:cs="仿宋"/>
          <w:spacing w:val="-9"/>
          <w:sz w:val="24"/>
          <w:szCs w:val="24"/>
          <w:highlight w:val="none"/>
          <w:lang w:val="en-US" w:eastAsia="zh-CN"/>
        </w:rPr>
        <w:t xml:space="preserve">  </w:t>
      </w:r>
      <w:r>
        <w:rPr>
          <w:rFonts w:hint="eastAsia" w:ascii="仿宋" w:hAnsi="仿宋" w:eastAsia="仿宋" w:cs="仿宋"/>
          <w:spacing w:val="-9"/>
          <w:sz w:val="24"/>
          <w:szCs w:val="24"/>
          <w:highlight w:val="none"/>
        </w:rPr>
        <w:t>月  日</w:t>
      </w:r>
    </w:p>
    <w:p>
      <w:pPr>
        <w:keepNext w:val="0"/>
        <w:keepLines w:val="0"/>
        <w:pageBreakBefore w:val="0"/>
        <w:widowControl w:val="0"/>
        <w:kinsoku/>
        <w:wordWrap w:val="0"/>
        <w:overflowPunct/>
        <w:topLinePunct w:val="0"/>
        <w:autoSpaceDE/>
        <w:autoSpaceDN/>
        <w:bidi w:val="0"/>
        <w:adjustRightInd/>
        <w:snapToGrid/>
        <w:spacing w:before="23"/>
        <w:ind w:right="-17"/>
        <w:jc w:val="center"/>
        <w:textAlignment w:val="auto"/>
        <w:outlineLvl w:val="1"/>
        <w:rPr>
          <w:rFonts w:hint="eastAsia" w:ascii="仿宋" w:hAnsi="仿宋" w:eastAsia="仿宋" w:cs="仿宋"/>
          <w:b/>
          <w:color w:val="auto"/>
          <w:sz w:val="30"/>
          <w:szCs w:val="30"/>
          <w:highlight w:val="none"/>
        </w:rPr>
      </w:pPr>
      <w:bookmarkStart w:id="296" w:name="_Toc25238"/>
      <w:bookmarkStart w:id="297" w:name="_Toc9359"/>
      <w:bookmarkStart w:id="298" w:name="_Toc12216"/>
      <w:bookmarkStart w:id="299" w:name="_Toc1179"/>
      <w:bookmarkStart w:id="300" w:name="_Toc7995"/>
      <w:bookmarkStart w:id="301" w:name="_Toc18048"/>
      <w:bookmarkStart w:id="302" w:name="_Toc22699"/>
      <w:bookmarkStart w:id="303" w:name="_Toc5340"/>
      <w:r>
        <w:rPr>
          <w:rFonts w:hint="eastAsia" w:ascii="仿宋" w:hAnsi="仿宋" w:eastAsia="仿宋" w:cs="仿宋"/>
          <w:b/>
          <w:color w:val="auto"/>
          <w:sz w:val="28"/>
          <w:szCs w:val="28"/>
          <w:highlight w:val="none"/>
        </w:rPr>
        <w:t>七、</w:t>
      </w:r>
      <w:bookmarkEnd w:id="284"/>
      <w:bookmarkEnd w:id="285"/>
      <w:bookmarkEnd w:id="286"/>
      <w:bookmarkEnd w:id="287"/>
      <w:bookmarkEnd w:id="296"/>
      <w:bookmarkEnd w:id="297"/>
      <w:bookmarkEnd w:id="298"/>
      <w:bookmarkEnd w:id="299"/>
      <w:bookmarkEnd w:id="300"/>
      <w:bookmarkEnd w:id="301"/>
      <w:r>
        <w:rPr>
          <w:rFonts w:hint="eastAsia" w:ascii="仿宋" w:hAnsi="仿宋" w:eastAsia="仿宋" w:cs="仿宋"/>
          <w:b/>
          <w:color w:val="auto"/>
          <w:sz w:val="28"/>
          <w:szCs w:val="28"/>
          <w:highlight w:val="none"/>
        </w:rPr>
        <w:t>菏泽市政府采购供应商资格信用承诺函</w:t>
      </w:r>
      <w:bookmarkEnd w:id="302"/>
      <w:bookmarkEnd w:id="303"/>
    </w:p>
    <w:p>
      <w:pPr>
        <w:jc w:val="center"/>
        <w:rPr>
          <w:rFonts w:hint="eastAsia" w:ascii="仿宋" w:hAnsi="仿宋" w:eastAsia="仿宋" w:cs="仿宋"/>
          <w:color w:val="auto"/>
          <w:sz w:val="36"/>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32"/>
          <w:highlight w:val="none"/>
        </w:rPr>
        <w:t>附件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我公司自愿参加</w:t>
      </w:r>
      <w:r>
        <w:rPr>
          <w:rFonts w:hint="eastAsia" w:ascii="仿宋" w:hAnsi="仿宋" w:eastAsia="仿宋" w:cs="仿宋"/>
          <w:color w:val="auto"/>
          <w:sz w:val="24"/>
          <w:highlight w:val="none"/>
          <w:u w:val="single"/>
        </w:rPr>
        <w:t xml:space="preserve">(项目名称)             </w:t>
      </w:r>
      <w:r>
        <w:rPr>
          <w:rFonts w:hint="eastAsia" w:ascii="仿宋" w:hAnsi="仿宋" w:eastAsia="仿宋" w:cs="仿宋"/>
          <w:color w:val="auto"/>
          <w:sz w:val="24"/>
          <w:highlight w:val="none"/>
        </w:rPr>
        <w:t xml:space="preserve"> 政府采购活动，并郑重承诺:</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我公司符合下列要求: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(3)具有履行合同所必需的专业技术能力；</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(4)具有依法缴纳税收和社会保障资金的良好记录: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(5)参加政府采购活动(以开启时间为准)前3年内，供应商和其法定代表人无行贿犯罪行为且在经营活动中没有重大违法记录以及本项目开启时未被禁止参加本项目所在地的政府采购活动的证明材料；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(6)法律、行政法规和采购文件规定的其他条件。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如果我公司中标(成交)，将在评审(评标)环节结束后5个工作日内，按采购文件要求，向采购人提供下列材料原件进行核验: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(1)营业执照或事业单位法人登记证书；</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(2)税务登记证(接受合一的证书)或者上一年度以来任意一个月缴纳的增值税或营业税或企业所得税的凭据；</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(3)参加本次政府采购活动上一年度至今的年度或任意一个月度财务报表(至少包含资产负债表和损益表或预算收入支出表)或供应商结算户银行出具的资信证明:</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(4)参加本次政府采购活动上一年度以来任意一个月缴纳社会保险的凭据(专用收据或社会保险缴纳清单):</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(5)其他材料。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本公司对上述承诺的真实性、合法性、有效性负责，如有虛假，将依法承担相应责任。</w:t>
      </w:r>
    </w:p>
    <w:p>
      <w:pPr>
        <w:spacing w:line="360" w:lineRule="auto"/>
        <w:ind w:firstLine="5280" w:firstLineChars="2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法定代表人(签章) :</w:t>
      </w:r>
    </w:p>
    <w:p>
      <w:pPr>
        <w:spacing w:line="360" w:lineRule="auto"/>
        <w:ind w:firstLine="5280" w:firstLineChars="2200"/>
        <w:rPr>
          <w:rFonts w:hint="eastAsia" w:ascii="仿宋" w:hAnsi="仿宋" w:eastAsia="仿宋" w:cs="仿宋"/>
          <w:color w:val="auto"/>
          <w:sz w:val="24"/>
          <w:highlight w:val="none"/>
        </w:rPr>
      </w:pPr>
      <w:r>
        <w:rPr>
          <w:rFonts w:hint="eastAsia" w:ascii="仿宋" w:hAnsi="仿宋" w:eastAsia="仿宋" w:cs="仿宋"/>
          <w:color w:val="auto"/>
          <w:sz w:val="24"/>
          <w:highlight w:val="none"/>
        </w:rPr>
        <w:t>社会信用代码:</w:t>
      </w:r>
    </w:p>
    <w:p>
      <w:pPr>
        <w:spacing w:line="360" w:lineRule="auto"/>
        <w:ind w:firstLine="5280" w:firstLineChars="2200"/>
        <w:rPr>
          <w:rFonts w:hint="eastAsia" w:ascii="仿宋" w:hAnsi="仿宋" w:eastAsia="仿宋" w:cs="仿宋"/>
          <w:color w:val="auto"/>
          <w:sz w:val="24"/>
          <w:szCs w:val="32"/>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p>
    <w:p>
      <w:pPr>
        <w:spacing w:line="360" w:lineRule="auto"/>
        <w:ind w:firstLine="5520" w:firstLineChars="2300"/>
        <w:rPr>
          <w:rFonts w:hint="eastAsia" w:ascii="仿宋" w:hAnsi="仿宋" w:eastAsia="仿宋" w:cs="仿宋"/>
          <w:color w:val="auto"/>
          <w:sz w:val="24"/>
          <w:highlight w:val="none"/>
        </w:rPr>
      </w:pPr>
      <w:r>
        <w:rPr>
          <w:rFonts w:hint="eastAsia" w:ascii="仿宋" w:hAnsi="仿宋" w:eastAsia="仿宋" w:cs="仿宋"/>
          <w:color w:val="auto"/>
          <w:sz w:val="24"/>
          <w:szCs w:val="32"/>
          <w:highlight w:val="none"/>
        </w:rPr>
        <w:t>年  月  日</w:t>
      </w:r>
    </w:p>
    <w:p>
      <w:pPr>
        <w:rPr>
          <w:rFonts w:hint="eastAsia" w:ascii="仿宋" w:hAnsi="仿宋" w:eastAsia="仿宋" w:cs="仿宋"/>
          <w:b/>
          <w:bCs/>
          <w:color w:val="auto"/>
          <w:sz w:val="24"/>
          <w:highlight w:val="none"/>
        </w:rPr>
      </w:pPr>
    </w:p>
    <w:bookmarkEnd w:id="288"/>
    <w:bookmarkEnd w:id="289"/>
    <w:bookmarkEnd w:id="290"/>
    <w:bookmarkEnd w:id="291"/>
    <w:bookmarkEnd w:id="292"/>
    <w:bookmarkEnd w:id="293"/>
    <w:bookmarkEnd w:id="294"/>
    <w:bookmarkEnd w:id="295"/>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1"/>
        <w:rPr>
          <w:rFonts w:hint="eastAsia" w:ascii="仿宋" w:hAnsi="仿宋" w:eastAsia="仿宋" w:cs="仿宋"/>
          <w:color w:val="auto"/>
          <w:sz w:val="24"/>
          <w:highlight w:val="none"/>
        </w:rPr>
      </w:pPr>
      <w:bookmarkStart w:id="304" w:name="_Toc26003"/>
      <w:bookmarkStart w:id="305" w:name="_Toc15515"/>
      <w:bookmarkStart w:id="306" w:name="_Toc31862"/>
      <w:bookmarkStart w:id="307" w:name="_Toc7713"/>
      <w:bookmarkStart w:id="308" w:name="_Toc22257"/>
      <w:bookmarkStart w:id="309" w:name="_Toc15891"/>
      <w:bookmarkStart w:id="310" w:name="_Toc28390"/>
      <w:bookmarkStart w:id="311" w:name="_Toc1669"/>
      <w:bookmarkStart w:id="312" w:name="_Toc4949"/>
      <w:bookmarkStart w:id="313" w:name="_Toc13406"/>
      <w:bookmarkStart w:id="314" w:name="_Toc15888"/>
      <w:r>
        <w:rPr>
          <w:rFonts w:hint="eastAsia" w:ascii="仿宋" w:hAnsi="仿宋" w:eastAsia="仿宋" w:cs="仿宋"/>
          <w:b/>
          <w:color w:val="auto"/>
          <w:sz w:val="28"/>
          <w:szCs w:val="28"/>
          <w:highlight w:val="none"/>
        </w:rPr>
        <w:t>八、</w:t>
      </w:r>
      <w:bookmarkEnd w:id="304"/>
      <w:bookmarkEnd w:id="305"/>
      <w:bookmarkEnd w:id="306"/>
      <w:bookmarkEnd w:id="307"/>
      <w:bookmarkStart w:id="315" w:name="_Toc20331"/>
      <w:bookmarkStart w:id="316" w:name="_Toc18477"/>
      <w:bookmarkStart w:id="317" w:name="_Toc7458"/>
      <w:bookmarkStart w:id="318" w:name="_Toc3514"/>
      <w:r>
        <w:rPr>
          <w:rFonts w:hint="eastAsia" w:ascii="仿宋" w:hAnsi="仿宋" w:eastAsia="仿宋" w:cs="仿宋"/>
          <w:b/>
          <w:color w:val="auto"/>
          <w:sz w:val="28"/>
          <w:szCs w:val="28"/>
          <w:highlight w:val="none"/>
        </w:rPr>
        <w:t>供应商认为需提交的其他资料</w:t>
      </w:r>
      <w:bookmarkEnd w:id="308"/>
      <w:bookmarkEnd w:id="309"/>
      <w:bookmarkEnd w:id="310"/>
      <w:bookmarkEnd w:id="311"/>
      <w:bookmarkEnd w:id="312"/>
      <w:bookmarkEnd w:id="313"/>
      <w:bookmarkEnd w:id="314"/>
      <w:bookmarkEnd w:id="315"/>
      <w:bookmarkEnd w:id="316"/>
      <w:bookmarkEnd w:id="317"/>
      <w:bookmarkEnd w:id="318"/>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w:t>
      </w:r>
    </w:p>
    <w:p>
      <w:pPr>
        <w:ind w:firstLine="640" w:firstLineChars="200"/>
        <w:rPr>
          <w:rFonts w:hint="eastAsia" w:ascii="仿宋" w:hAnsi="仿宋" w:eastAsia="仿宋" w:cs="仿宋"/>
          <w:color w:val="auto"/>
          <w:sz w:val="32"/>
          <w:szCs w:val="32"/>
          <w:highlight w:val="none"/>
        </w:rPr>
      </w:pPr>
    </w:p>
    <w:p>
      <w:pPr>
        <w:pStyle w:val="26"/>
        <w:adjustRightInd/>
        <w:snapToGrid/>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本公司郑重声明，根据《政府采购促进中小企业发展管理办法》（财库〔2020〕46号）的规定，本公司参加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采购活动，服务全部由符合政策要求的中小企业承接。相关企业的具体情况如下：</w:t>
      </w:r>
    </w:p>
    <w:p>
      <w:pPr>
        <w:pStyle w:val="26"/>
        <w:adjustRightInd/>
        <w:snapToGrid/>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行业；制造商为（企业名称），从业人员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pPr>
        <w:pStyle w:val="26"/>
        <w:adjustRightInd/>
        <w:snapToGrid/>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万元，属于（中型企业、小型企业、微型企业）；</w:t>
      </w:r>
    </w:p>
    <w:p>
      <w:pPr>
        <w:pStyle w:val="26"/>
        <w:adjustRightInd/>
        <w:snapToGrid/>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pStyle w:val="26"/>
        <w:adjustRightInd/>
        <w:snapToGrid/>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pStyle w:val="26"/>
        <w:adjustRightInd/>
        <w:snapToGrid/>
        <w:spacing w:line="480" w:lineRule="auto"/>
        <w:ind w:firstLine="480" w:firstLineChars="200"/>
        <w:rPr>
          <w:rFonts w:hint="eastAsia" w:ascii="仿宋" w:hAnsi="仿宋" w:eastAsia="仿宋" w:cs="仿宋"/>
          <w:color w:val="auto"/>
          <w:sz w:val="24"/>
          <w:highlight w:val="none"/>
        </w:rPr>
      </w:pPr>
    </w:p>
    <w:p>
      <w:pPr>
        <w:pStyle w:val="26"/>
        <w:adjustRightInd/>
        <w:snapToGrid/>
        <w:spacing w:line="480" w:lineRule="auto"/>
        <w:ind w:firstLine="480" w:firstLineChars="200"/>
        <w:rPr>
          <w:rFonts w:hint="eastAsia" w:ascii="仿宋" w:hAnsi="仿宋" w:eastAsia="仿宋" w:cs="仿宋"/>
          <w:color w:val="auto"/>
          <w:sz w:val="24"/>
          <w:highlight w:val="none"/>
        </w:rPr>
      </w:pPr>
    </w:p>
    <w:p>
      <w:pPr>
        <w:pStyle w:val="26"/>
        <w:adjustRightInd/>
        <w:snapToGrid/>
        <w:spacing w:line="48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p>
    <w:p>
      <w:pPr>
        <w:pStyle w:val="26"/>
        <w:adjustRightInd/>
        <w:snapToGrid/>
        <w:spacing w:line="48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bCs/>
          <w:color w:val="auto"/>
          <w:sz w:val="24"/>
          <w:highlight w:val="none"/>
        </w:rPr>
        <w:t xml:space="preserve">   年   月   日</w:t>
      </w:r>
    </w:p>
    <w:p>
      <w:pPr>
        <w:spacing w:line="360" w:lineRule="auto"/>
        <w:rPr>
          <w:rFonts w:hint="eastAsia" w:ascii="仿宋" w:hAnsi="仿宋" w:eastAsia="仿宋" w:cs="仿宋"/>
          <w:b/>
          <w:bCs/>
          <w:color w:val="auto"/>
          <w:sz w:val="30"/>
          <w:szCs w:val="32"/>
          <w:highlight w:val="none"/>
        </w:rPr>
      </w:pPr>
    </w:p>
    <w:p>
      <w:pPr>
        <w:spacing w:line="360" w:lineRule="auto"/>
        <w:rPr>
          <w:rFonts w:hint="eastAsia" w:ascii="仿宋" w:hAnsi="仿宋" w:eastAsia="仿宋" w:cs="仿宋"/>
          <w:b/>
          <w:bCs/>
          <w:color w:val="auto"/>
          <w:sz w:val="30"/>
          <w:szCs w:val="32"/>
          <w:highlight w:val="none"/>
        </w:rPr>
      </w:pPr>
    </w:p>
    <w:p>
      <w:pPr>
        <w:spacing w:line="360" w:lineRule="auto"/>
        <w:jc w:val="center"/>
        <w:rPr>
          <w:rFonts w:hint="eastAsia" w:ascii="仿宋" w:hAnsi="仿宋" w:eastAsia="仿宋" w:cs="仿宋"/>
          <w:b/>
          <w:color w:val="auto"/>
          <w:sz w:val="30"/>
          <w:szCs w:val="30"/>
          <w:highlight w:val="none"/>
          <w:lang w:eastAsia="zh-CN"/>
        </w:rPr>
      </w:pPr>
      <w:r>
        <w:rPr>
          <w:rFonts w:hint="eastAsia" w:ascii="仿宋" w:hAnsi="仿宋" w:eastAsia="仿宋" w:cs="仿宋"/>
          <w:b/>
          <w:bCs/>
          <w:color w:val="auto"/>
          <w:sz w:val="30"/>
          <w:szCs w:val="32"/>
          <w:highlight w:val="none"/>
        </w:rPr>
        <w:br w:type="page"/>
      </w:r>
      <w:bookmarkEnd w:id="44"/>
      <w:bookmarkEnd w:id="45"/>
      <w:r>
        <w:rPr>
          <w:rFonts w:hint="eastAsia" w:ascii="仿宋" w:hAnsi="仿宋" w:eastAsia="仿宋" w:cs="仿宋"/>
          <w:b/>
          <w:color w:val="auto"/>
          <w:sz w:val="30"/>
          <w:szCs w:val="30"/>
          <w:highlight w:val="none"/>
          <w:lang w:val="zh-CN"/>
        </w:rPr>
        <w:t>残疾人福利性单位声明函</w:t>
      </w:r>
      <w:r>
        <w:rPr>
          <w:rFonts w:hint="eastAsia" w:ascii="仿宋" w:hAnsi="仿宋" w:eastAsia="仿宋" w:cs="仿宋"/>
          <w:b/>
          <w:color w:val="auto"/>
          <w:sz w:val="30"/>
          <w:szCs w:val="30"/>
          <w:highlight w:val="none"/>
        </w:rPr>
        <w:t>(残疾人福利性单位提供)</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lang w:val="en-US" w:eastAsia="zh-CN"/>
        </w:rPr>
        <w:t>如是</w:t>
      </w:r>
      <w:r>
        <w:rPr>
          <w:rFonts w:hint="eastAsia" w:ascii="仿宋" w:hAnsi="仿宋" w:eastAsia="仿宋" w:cs="仿宋"/>
          <w:b/>
          <w:color w:val="auto"/>
          <w:sz w:val="30"/>
          <w:szCs w:val="30"/>
          <w:highlight w:val="none"/>
          <w:lang w:eastAsia="zh-CN"/>
        </w:rPr>
        <w:t>）</w:t>
      </w:r>
    </w:p>
    <w:p>
      <w:pPr>
        <w:snapToGrid w:val="0"/>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本单位对上述声明的真实性负责。如有虚假，将依法承担相应责任。</w:t>
      </w:r>
    </w:p>
    <w:p>
      <w:pPr>
        <w:snapToGrid w:val="0"/>
        <w:spacing w:line="360" w:lineRule="auto"/>
        <w:ind w:firstLine="480" w:firstLineChars="200"/>
        <w:rPr>
          <w:rFonts w:hint="eastAsia" w:ascii="仿宋" w:hAnsi="仿宋" w:eastAsia="仿宋" w:cs="仿宋"/>
          <w:color w:val="auto"/>
          <w:sz w:val="24"/>
          <w:highlight w:val="none"/>
          <w:lang w:bidi="ar"/>
        </w:rPr>
      </w:pP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 xml:space="preserve">  </w:t>
      </w:r>
    </w:p>
    <w:p>
      <w:pPr>
        <w:autoSpaceDE w:val="0"/>
        <w:autoSpaceDN w:val="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供应商（盖章）：</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 </w:t>
      </w:r>
    </w:p>
    <w:p>
      <w:pPr>
        <w:autoSpaceDE w:val="0"/>
        <w:autoSpaceDN w:val="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法定代表人或授权代理人（签字或盖章）：</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 </w:t>
      </w:r>
    </w:p>
    <w:p>
      <w:pPr>
        <w:autoSpaceDE w:val="0"/>
        <w:autoSpaceDN w:val="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日期：   年   月   日</w:t>
      </w:r>
    </w:p>
    <w:p>
      <w:pPr>
        <w:pStyle w:val="58"/>
        <w:ind w:firstLine="0" w:firstLineChars="0"/>
        <w:rPr>
          <w:rFonts w:hint="eastAsia" w:ascii="仿宋" w:hAnsi="仿宋" w:eastAsia="仿宋" w:cs="仿宋"/>
          <w:color w:val="auto"/>
          <w:highlight w:val="none"/>
        </w:rPr>
      </w:pPr>
    </w:p>
    <w:p>
      <w:pPr>
        <w:pStyle w:val="58"/>
        <w:rPr>
          <w:rFonts w:hint="eastAsia" w:ascii="仿宋" w:hAnsi="仿宋" w:eastAsia="仿宋" w:cs="仿宋"/>
          <w:color w:val="auto"/>
          <w:highlight w:val="none"/>
        </w:rPr>
      </w:pPr>
    </w:p>
    <w:p>
      <w:pPr>
        <w:pStyle w:val="58"/>
        <w:rPr>
          <w:rFonts w:hint="eastAsia" w:ascii="仿宋" w:hAnsi="仿宋" w:eastAsia="仿宋" w:cs="仿宋"/>
          <w:color w:val="auto"/>
          <w:highlight w:val="none"/>
        </w:rPr>
      </w:pPr>
    </w:p>
    <w:p>
      <w:pPr>
        <w:pStyle w:val="58"/>
        <w:rPr>
          <w:rFonts w:hint="eastAsia" w:ascii="仿宋" w:hAnsi="仿宋" w:eastAsia="仿宋" w:cs="仿宋"/>
          <w:color w:val="auto"/>
          <w:highlight w:val="none"/>
        </w:rPr>
      </w:pPr>
    </w:p>
    <w:p>
      <w:pPr>
        <w:pStyle w:val="58"/>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30"/>
          <w:szCs w:val="30"/>
          <w:highlight w:val="none"/>
          <w:lang w:val="zh-CN"/>
        </w:rPr>
      </w:pPr>
      <w:r>
        <w:rPr>
          <w:rFonts w:hint="eastAsia" w:ascii="仿宋" w:hAnsi="仿宋" w:eastAsia="仿宋" w:cs="仿宋"/>
          <w:b/>
          <w:bCs/>
          <w:color w:val="auto"/>
          <w:sz w:val="30"/>
          <w:szCs w:val="30"/>
          <w:highlight w:val="none"/>
        </w:rPr>
        <w:br w:type="page"/>
      </w:r>
      <w:r>
        <w:rPr>
          <w:rFonts w:hint="eastAsia" w:ascii="仿宋" w:hAnsi="仿宋" w:eastAsia="仿宋" w:cs="仿宋"/>
          <w:b/>
          <w:color w:val="auto"/>
          <w:sz w:val="30"/>
          <w:szCs w:val="30"/>
          <w:highlight w:val="none"/>
          <w:lang w:val="zh-CN"/>
        </w:rPr>
        <w:t>省级以上监狱管理局、戒毒管理局（含新疆生产建设兵团）出</w:t>
      </w:r>
    </w:p>
    <w:p>
      <w:pPr>
        <w:spacing w:line="360" w:lineRule="auto"/>
        <w:jc w:val="center"/>
        <w:rPr>
          <w:rFonts w:hint="eastAsia" w:ascii="仿宋" w:hAnsi="仿宋" w:eastAsia="仿宋" w:cs="仿宋"/>
          <w:b/>
          <w:color w:val="auto"/>
          <w:sz w:val="30"/>
          <w:szCs w:val="30"/>
          <w:highlight w:val="none"/>
          <w:lang w:val="zh-CN"/>
        </w:rPr>
        <w:sectPr>
          <w:footerReference r:id="rId13" w:type="default"/>
          <w:pgSz w:w="11906" w:h="16838"/>
          <w:pgMar w:top="1417" w:right="1417" w:bottom="1417" w:left="1417" w:header="850" w:footer="992" w:gutter="0"/>
          <w:pgNumType w:fmt="decimal"/>
          <w:cols w:space="720" w:num="1"/>
          <w:docGrid w:linePitch="312" w:charSpace="0"/>
        </w:sectPr>
      </w:pPr>
      <w:r>
        <w:rPr>
          <w:rFonts w:hint="eastAsia" w:ascii="仿宋" w:hAnsi="仿宋" w:eastAsia="仿宋" w:cs="仿宋"/>
          <w:b/>
          <w:color w:val="auto"/>
          <w:sz w:val="30"/>
          <w:szCs w:val="30"/>
          <w:highlight w:val="none"/>
          <w:lang w:val="zh-CN"/>
        </w:rPr>
        <w:t>具的属于监狱企业的证明文件。（监狱企业提供）</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lang w:val="en-US" w:eastAsia="zh-CN"/>
        </w:rPr>
        <w:t>如是</w:t>
      </w:r>
      <w:r>
        <w:rPr>
          <w:rFonts w:hint="eastAsia" w:ascii="仿宋" w:hAnsi="仿宋" w:eastAsia="仿宋" w:cs="仿宋"/>
          <w:b/>
          <w:color w:val="auto"/>
          <w:sz w:val="30"/>
          <w:szCs w:val="30"/>
          <w:highlight w:val="none"/>
          <w:lang w:eastAsia="zh-CN"/>
        </w:rPr>
        <w:t>）</w:t>
      </w:r>
    </w:p>
    <w:p>
      <w:pPr>
        <w:pStyle w:val="27"/>
        <w:keepNext w:val="0"/>
        <w:keepLines w:val="0"/>
        <w:pageBreakBefore w:val="0"/>
        <w:widowControl w:val="0"/>
        <w:kinsoku/>
        <w:wordWrap/>
        <w:overflowPunct/>
        <w:topLinePunct w:val="0"/>
        <w:autoSpaceDE/>
        <w:autoSpaceDN/>
        <w:bidi w:val="0"/>
        <w:adjustRightInd/>
        <w:snapToGrid/>
        <w:spacing w:beforeAutospacing="0" w:afterAutospacing="0" w:line="480" w:lineRule="auto"/>
        <w:jc w:val="center"/>
        <w:textAlignment w:val="auto"/>
        <w:outlineLvl w:val="1"/>
        <w:rPr>
          <w:rFonts w:hint="eastAsia" w:ascii="仿宋" w:hAnsi="仿宋" w:eastAsia="仿宋" w:cs="仿宋"/>
          <w:color w:val="auto"/>
          <w:spacing w:val="-6"/>
          <w:highlight w:val="none"/>
        </w:rPr>
      </w:pPr>
      <w:r>
        <w:rPr>
          <w:rFonts w:hint="eastAsia" w:ascii="仿宋" w:hAnsi="仿宋" w:eastAsia="仿宋" w:cs="仿宋"/>
          <w:b/>
          <w:color w:val="auto"/>
          <w:sz w:val="30"/>
          <w:szCs w:val="30"/>
          <w:highlight w:val="none"/>
          <w:lang w:eastAsia="zh-CN"/>
        </w:rPr>
        <w:t>九</w:t>
      </w:r>
      <w:r>
        <w:rPr>
          <w:rFonts w:hint="eastAsia" w:ascii="仿宋" w:hAnsi="仿宋" w:eastAsia="仿宋" w:cs="仿宋"/>
          <w:b/>
          <w:color w:val="auto"/>
          <w:sz w:val="30"/>
          <w:szCs w:val="30"/>
          <w:highlight w:val="none"/>
        </w:rPr>
        <w:t>、供应商认为有必要提供的其他资料文件</w:t>
      </w:r>
    </w:p>
    <w:sectPr>
      <w:headerReference r:id="rId14" w:type="default"/>
      <w:footerReference r:id="rId15"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方正姚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520"/>
      </w:tabs>
      <w:rPr>
        <w:rFonts w:eastAsia="宋体"/>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宋体"/>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宋体"/>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2" w:line="230" w:lineRule="auto"/>
      <w:ind w:left="113"/>
      <w:rPr>
        <w:rFonts w:ascii="宋体" w:hAnsi="宋体" w:eastAsia="宋体" w:cs="宋体"/>
        <w:sz w:val="17"/>
        <w:szCs w:val="17"/>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68</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3001010</wp:posOffset>
              </wp:positionH>
              <wp:positionV relativeFrom="paragraph">
                <wp:posOffset>37465</wp:posOffset>
              </wp:positionV>
              <wp:extent cx="135890" cy="1276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5890" cy="127635"/>
                      </a:xfrm>
                      <a:prstGeom prst="rect">
                        <a:avLst/>
                      </a:prstGeom>
                      <a:noFill/>
                      <a:ln>
                        <a:noFill/>
                      </a:ln>
                    </wps:spPr>
                    <wps:txbx>
                      <w:txbxContent>
                        <w:p>
                          <w:pPr>
                            <w:spacing w:before="19" w:line="197" w:lineRule="auto"/>
                            <w:ind w:left="20"/>
                            <w:rPr>
                              <w:rFonts w:ascii="Times New Roman" w:hAnsi="Times New Roman" w:eastAsia="Times New Roman" w:cs="Times New Roman"/>
                              <w:sz w:val="17"/>
                              <w:szCs w:val="17"/>
                            </w:rPr>
                          </w:pPr>
                        </w:p>
                      </w:txbxContent>
                    </wps:txbx>
                    <wps:bodyPr lIns="0" tIns="0" rIns="0" bIns="0" upright="1"/>
                  </wps:wsp>
                </a:graphicData>
              </a:graphic>
            </wp:anchor>
          </w:drawing>
        </mc:Choice>
        <mc:Fallback>
          <w:pict>
            <v:shape id="_x0000_s1026" o:spid="_x0000_s1026" o:spt="202" type="#_x0000_t202" style="position:absolute;left:0pt;margin-left:236.3pt;margin-top:2.95pt;height:10.05pt;width:10.7pt;z-index:251661312;mso-width-relative:page;mso-height-relative:page;" filled="f" stroked="f" coordsize="21600,21600" o:gfxdata="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sF35tcAAAAIAQAADwAAAAAAAAABACAAAAAiAAAAZHJzL2Rvd25yZXYueG1sUEsBAhQA&#10;FAAAAAgAh07iQO3+mWq6AQAAcQMAAA4AAAAAAAAAAQAgAAAAJgEAAGRycy9lMm9Eb2MueG1sUEsF&#10;BgAAAAAGAAYAWQEAAFIFAAAAAA==&#10;">
              <v:fill on="f" focussize="0,0"/>
              <v:stroke on="f"/>
              <v:imagedata o:title=""/>
              <o:lock v:ext="edit" aspectratio="f"/>
              <v:textbox inset="0mm,0mm,0mm,0mm">
                <w:txbxContent>
                  <w:p>
                    <w:pPr>
                      <w:spacing w:before="19" w:line="197" w:lineRule="auto"/>
                      <w:ind w:left="20"/>
                      <w:rPr>
                        <w:rFonts w:ascii="Times New Roman" w:hAnsi="Times New Roman" w:eastAsia="Times New Roman" w:cs="Times New Roman"/>
                        <w:sz w:val="17"/>
                        <w:szCs w:val="17"/>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260" w:lineRule="exact"/>
      <w:jc w:val="left"/>
      <w:rPr>
        <w:sz w:val="20"/>
        <w:szCs w:val="20"/>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4" w:line="28" w:lineRule="exact"/>
      <w:textAlignment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rPr>
        <w:b/>
        <w:i/>
      </w:rPr>
    </w:pPr>
  </w:p>
  <w:p>
    <w:pPr>
      <w:pStyle w:val="23"/>
      <w:pBdr>
        <w:bottom w:val="none" w:color="auto" w:sz="0" w:space="0"/>
      </w:pBdr>
      <w:rPr>
        <w:rFonts w:ascii="方正姚体" w:eastAsia="方正姚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B9D97"/>
    <w:multiLevelType w:val="singleLevel"/>
    <w:tmpl w:val="957B9D97"/>
    <w:lvl w:ilvl="0" w:tentative="0">
      <w:start w:val="1"/>
      <w:numFmt w:val="decimal"/>
      <w:lvlText w:val="%1)"/>
      <w:lvlJc w:val="left"/>
      <w:pPr>
        <w:ind w:left="425" w:hanging="425"/>
      </w:pPr>
      <w:rPr>
        <w:rFonts w:hint="default"/>
      </w:rPr>
    </w:lvl>
  </w:abstractNum>
  <w:abstractNum w:abstractNumId="1">
    <w:nsid w:val="AFB99022"/>
    <w:multiLevelType w:val="multilevel"/>
    <w:tmpl w:val="AFB99022"/>
    <w:lvl w:ilvl="0" w:tentative="0">
      <w:start w:val="1"/>
      <w:numFmt w:val="decimal"/>
      <w:lvlText w:val="%1)"/>
      <w:lvlJc w:val="left"/>
      <w:pPr>
        <w:ind w:left="1700" w:hanging="420"/>
      </w:p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2">
    <w:nsid w:val="C5E2EB6B"/>
    <w:multiLevelType w:val="multilevel"/>
    <w:tmpl w:val="C5E2EB6B"/>
    <w:lvl w:ilvl="0" w:tentative="0">
      <w:start w:val="1"/>
      <w:numFmt w:val="decimal"/>
      <w:lvlText w:val="%1."/>
      <w:lvlJc w:val="left"/>
      <w:pPr>
        <w:ind w:left="425" w:hanging="425"/>
      </w:pPr>
    </w:lvl>
    <w:lvl w:ilvl="1" w:tentative="0">
      <w:start w:val="1"/>
      <w:numFmt w:val="decimal"/>
      <w:lvlText w:val="%1.%2."/>
      <w:lvlJc w:val="left"/>
      <w:pPr>
        <w:ind w:left="708" w:hanging="567"/>
      </w:pPr>
      <w:rPr>
        <w:b w:val="0"/>
        <w:sz w:val="21"/>
        <w:szCs w:val="21"/>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00CE0FCD"/>
    <w:multiLevelType w:val="multilevel"/>
    <w:tmpl w:val="00CE0FCD"/>
    <w:lvl w:ilvl="0" w:tentative="0">
      <w:start w:val="1"/>
      <w:numFmt w:val="decimal"/>
      <w:lvlText w:val="%1)"/>
      <w:lvlJc w:val="left"/>
      <w:pPr>
        <w:ind w:left="1700" w:hanging="420"/>
      </w:p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4">
    <w:nsid w:val="01B80BFA"/>
    <w:multiLevelType w:val="multilevel"/>
    <w:tmpl w:val="01B80BFA"/>
    <w:lvl w:ilvl="0" w:tentative="0">
      <w:start w:val="1"/>
      <w:numFmt w:val="decimal"/>
      <w:lvlText w:val="%1)"/>
      <w:lvlJc w:val="left"/>
      <w:pPr>
        <w:ind w:left="1700" w:hanging="420"/>
      </w:p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5">
    <w:nsid w:val="02F29AA6"/>
    <w:multiLevelType w:val="singleLevel"/>
    <w:tmpl w:val="02F29AA6"/>
    <w:lvl w:ilvl="0" w:tentative="0">
      <w:start w:val="1"/>
      <w:numFmt w:val="chineseCounting"/>
      <w:suff w:val="space"/>
      <w:lvlText w:val="第%1章"/>
      <w:lvlJc w:val="left"/>
      <w:rPr>
        <w:rFonts w:hint="eastAsia"/>
      </w:rPr>
    </w:lvl>
  </w:abstractNum>
  <w:abstractNum w:abstractNumId="6">
    <w:nsid w:val="04A5559A"/>
    <w:multiLevelType w:val="multilevel"/>
    <w:tmpl w:val="04A5559A"/>
    <w:lvl w:ilvl="0" w:tentative="0">
      <w:start w:val="1"/>
      <w:numFmt w:val="decimal"/>
      <w:lvlText w:val="%1)"/>
      <w:lvlJc w:val="left"/>
      <w:pPr>
        <w:ind w:left="1700" w:hanging="420"/>
      </w:pPr>
      <w:rPr>
        <w:rFonts w:hint="eastAsia"/>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7">
    <w:nsid w:val="0ABF74F4"/>
    <w:multiLevelType w:val="multilevel"/>
    <w:tmpl w:val="0ABF74F4"/>
    <w:lvl w:ilvl="0" w:tentative="0">
      <w:start w:val="1"/>
      <w:numFmt w:val="decimal"/>
      <w:lvlText w:val="%1)"/>
      <w:lvlJc w:val="left"/>
      <w:pPr>
        <w:ind w:left="1700" w:hanging="420"/>
      </w:p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8">
    <w:nsid w:val="0CF54AF2"/>
    <w:multiLevelType w:val="multilevel"/>
    <w:tmpl w:val="0CF54AF2"/>
    <w:lvl w:ilvl="0" w:tentative="0">
      <w:start w:val="1"/>
      <w:numFmt w:val="decimal"/>
      <w:lvlText w:val="%1)"/>
      <w:lvlJc w:val="left"/>
      <w:pPr>
        <w:ind w:left="1700" w:hanging="420"/>
      </w:p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9">
    <w:nsid w:val="0D8B4FD6"/>
    <w:multiLevelType w:val="multilevel"/>
    <w:tmpl w:val="0D8B4FD6"/>
    <w:lvl w:ilvl="0" w:tentative="0">
      <w:start w:val="1"/>
      <w:numFmt w:val="decimal"/>
      <w:lvlText w:val="%1)"/>
      <w:lvlJc w:val="left"/>
      <w:pPr>
        <w:ind w:left="1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157B85"/>
    <w:multiLevelType w:val="multilevel"/>
    <w:tmpl w:val="0E157B85"/>
    <w:lvl w:ilvl="0" w:tentative="0">
      <w:start w:val="1"/>
      <w:numFmt w:val="decimal"/>
      <w:lvlText w:val="%1)"/>
      <w:lvlJc w:val="left"/>
      <w:pPr>
        <w:ind w:left="1700" w:hanging="420"/>
      </w:p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1">
    <w:nsid w:val="0E5E515A"/>
    <w:multiLevelType w:val="multilevel"/>
    <w:tmpl w:val="0E5E515A"/>
    <w:lvl w:ilvl="0" w:tentative="0">
      <w:start w:val="1"/>
      <w:numFmt w:val="decimal"/>
      <w:lvlText w:val="%1)"/>
      <w:lvlJc w:val="left"/>
      <w:pPr>
        <w:ind w:left="1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10E09EF"/>
    <w:multiLevelType w:val="multilevel"/>
    <w:tmpl w:val="110E09EF"/>
    <w:lvl w:ilvl="0" w:tentative="0">
      <w:start w:val="1"/>
      <w:numFmt w:val="decimal"/>
      <w:lvlText w:val="%1)"/>
      <w:lvlJc w:val="left"/>
      <w:pPr>
        <w:ind w:left="1700" w:hanging="420"/>
      </w:pPr>
      <w:rPr>
        <w:rFonts w:hint="eastAsia"/>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3">
    <w:nsid w:val="14E1203C"/>
    <w:multiLevelType w:val="multilevel"/>
    <w:tmpl w:val="14E1203C"/>
    <w:lvl w:ilvl="0" w:tentative="0">
      <w:start w:val="1"/>
      <w:numFmt w:val="decimal"/>
      <w:lvlText w:val="%1."/>
      <w:lvlJc w:val="left"/>
      <w:pPr>
        <w:ind w:left="425" w:hanging="425"/>
      </w:pPr>
    </w:lvl>
    <w:lvl w:ilvl="1" w:tentative="0">
      <w:start w:val="1"/>
      <w:numFmt w:val="decimal"/>
      <w:lvlText w:val="%1.%2."/>
      <w:lvlJc w:val="left"/>
      <w:pPr>
        <w:ind w:left="708" w:hanging="567"/>
      </w:pPr>
      <w:rPr>
        <w:b w:val="0"/>
        <w:sz w:val="21"/>
        <w:szCs w:val="21"/>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1BAF469D"/>
    <w:multiLevelType w:val="multilevel"/>
    <w:tmpl w:val="1BAF469D"/>
    <w:lvl w:ilvl="0" w:tentative="0">
      <w:start w:val="1"/>
      <w:numFmt w:val="decimal"/>
      <w:lvlText w:val="%1)"/>
      <w:lvlJc w:val="left"/>
      <w:pPr>
        <w:ind w:left="1700" w:hanging="420"/>
      </w:p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5">
    <w:nsid w:val="1EFE3780"/>
    <w:multiLevelType w:val="multilevel"/>
    <w:tmpl w:val="1EFE3780"/>
    <w:lvl w:ilvl="0" w:tentative="0">
      <w:start w:val="1"/>
      <w:numFmt w:val="decimal"/>
      <w:lvlText w:val="%1)"/>
      <w:lvlJc w:val="left"/>
      <w:pPr>
        <w:ind w:left="1700" w:hanging="420"/>
      </w:p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6">
    <w:nsid w:val="225F40CB"/>
    <w:multiLevelType w:val="multilevel"/>
    <w:tmpl w:val="225F40CB"/>
    <w:lvl w:ilvl="0" w:tentative="0">
      <w:start w:val="1"/>
      <w:numFmt w:val="decimal"/>
      <w:lvlText w:val="%1)"/>
      <w:lvlJc w:val="left"/>
      <w:pPr>
        <w:ind w:left="1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2821E82"/>
    <w:multiLevelType w:val="multilevel"/>
    <w:tmpl w:val="22821E82"/>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3DE29EF"/>
    <w:multiLevelType w:val="multilevel"/>
    <w:tmpl w:val="23DE29EF"/>
    <w:lvl w:ilvl="0" w:tentative="0">
      <w:start w:val="1"/>
      <w:numFmt w:val="decimal"/>
      <w:lvlText w:val="%1)"/>
      <w:lvlJc w:val="left"/>
      <w:pPr>
        <w:ind w:left="1700" w:hanging="420"/>
      </w:p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9">
    <w:nsid w:val="2773D282"/>
    <w:multiLevelType w:val="singleLevel"/>
    <w:tmpl w:val="2773D282"/>
    <w:lvl w:ilvl="0" w:tentative="0">
      <w:start w:val="2"/>
      <w:numFmt w:val="decimal"/>
      <w:lvlText w:val="%1."/>
      <w:lvlJc w:val="left"/>
      <w:pPr>
        <w:tabs>
          <w:tab w:val="left" w:pos="312"/>
        </w:tabs>
      </w:pPr>
    </w:lvl>
  </w:abstractNum>
  <w:abstractNum w:abstractNumId="20">
    <w:nsid w:val="2A56589E"/>
    <w:multiLevelType w:val="multilevel"/>
    <w:tmpl w:val="2A56589E"/>
    <w:lvl w:ilvl="0" w:tentative="0">
      <w:start w:val="1"/>
      <w:numFmt w:val="decimal"/>
      <w:lvlText w:val="%1)"/>
      <w:lvlJc w:val="left"/>
      <w:pPr>
        <w:ind w:left="1700" w:hanging="420"/>
      </w:p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21">
    <w:nsid w:val="2BFF205B"/>
    <w:multiLevelType w:val="multilevel"/>
    <w:tmpl w:val="2BFF205B"/>
    <w:lvl w:ilvl="0" w:tentative="0">
      <w:start w:val="1"/>
      <w:numFmt w:val="decimal"/>
      <w:lvlText w:val="%1)"/>
      <w:lvlJc w:val="left"/>
      <w:pPr>
        <w:ind w:left="1700" w:hanging="420"/>
      </w:pPr>
      <w:rPr>
        <w:rFonts w:hint="eastAsia"/>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22">
    <w:nsid w:val="2CE9143D"/>
    <w:multiLevelType w:val="multilevel"/>
    <w:tmpl w:val="2CE9143D"/>
    <w:lvl w:ilvl="0" w:tentative="0">
      <w:start w:val="1"/>
      <w:numFmt w:val="decimal"/>
      <w:lvlText w:val="%1)"/>
      <w:lvlJc w:val="left"/>
      <w:pPr>
        <w:ind w:left="1700" w:hanging="420"/>
      </w:p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23">
    <w:nsid w:val="2D6B30E4"/>
    <w:multiLevelType w:val="multilevel"/>
    <w:tmpl w:val="2D6B30E4"/>
    <w:lvl w:ilvl="0" w:tentative="0">
      <w:start w:val="1"/>
      <w:numFmt w:val="decimal"/>
      <w:lvlText w:val="%1)"/>
      <w:lvlJc w:val="left"/>
      <w:pPr>
        <w:ind w:left="1700" w:hanging="420"/>
      </w:pPr>
      <w:rPr>
        <w:rFonts w:hint="eastAsia"/>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24">
    <w:nsid w:val="2F6C01DC"/>
    <w:multiLevelType w:val="multilevel"/>
    <w:tmpl w:val="2F6C01DC"/>
    <w:lvl w:ilvl="0" w:tentative="0">
      <w:start w:val="1"/>
      <w:numFmt w:val="decimal"/>
      <w:lvlText w:val="%1)"/>
      <w:lvlJc w:val="left"/>
      <w:pPr>
        <w:ind w:left="1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1F77B6B"/>
    <w:multiLevelType w:val="multilevel"/>
    <w:tmpl w:val="31F77B6B"/>
    <w:lvl w:ilvl="0" w:tentative="0">
      <w:start w:val="1"/>
      <w:numFmt w:val="decimal"/>
      <w:lvlText w:val="%1)"/>
      <w:lvlJc w:val="left"/>
      <w:pPr>
        <w:ind w:left="1700" w:hanging="420"/>
      </w:p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26">
    <w:nsid w:val="36FC1102"/>
    <w:multiLevelType w:val="multilevel"/>
    <w:tmpl w:val="36FC1102"/>
    <w:lvl w:ilvl="0" w:tentative="0">
      <w:start w:val="1"/>
      <w:numFmt w:val="decimal"/>
      <w:lvlText w:val="%1)"/>
      <w:lvlJc w:val="left"/>
      <w:pPr>
        <w:ind w:left="1700" w:hanging="420"/>
      </w:pPr>
      <w:rPr>
        <w:rFonts w:hint="eastAsia"/>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27">
    <w:nsid w:val="37E62D71"/>
    <w:multiLevelType w:val="multilevel"/>
    <w:tmpl w:val="37E62D71"/>
    <w:lvl w:ilvl="0" w:tentative="0">
      <w:start w:val="1"/>
      <w:numFmt w:val="decimal"/>
      <w:lvlText w:val="%1)"/>
      <w:lvlJc w:val="left"/>
      <w:pPr>
        <w:ind w:left="1700" w:hanging="420"/>
      </w:p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28">
    <w:nsid w:val="3A0E6359"/>
    <w:multiLevelType w:val="multilevel"/>
    <w:tmpl w:val="3A0E6359"/>
    <w:lvl w:ilvl="0" w:tentative="0">
      <w:start w:val="1"/>
      <w:numFmt w:val="decimal"/>
      <w:lvlText w:val="%1)"/>
      <w:lvlJc w:val="left"/>
      <w:pPr>
        <w:ind w:left="1700" w:hanging="420"/>
      </w:p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29">
    <w:nsid w:val="3B711D45"/>
    <w:multiLevelType w:val="multilevel"/>
    <w:tmpl w:val="3B711D45"/>
    <w:lvl w:ilvl="0" w:tentative="0">
      <w:start w:val="1"/>
      <w:numFmt w:val="decimal"/>
      <w:lvlText w:val="%1)"/>
      <w:lvlJc w:val="left"/>
      <w:pPr>
        <w:ind w:left="1700" w:hanging="420"/>
      </w:pPr>
      <w:rPr>
        <w:rFonts w:hint="eastAsia"/>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30">
    <w:nsid w:val="3C263C8F"/>
    <w:multiLevelType w:val="multilevel"/>
    <w:tmpl w:val="3C263C8F"/>
    <w:lvl w:ilvl="0" w:tentative="0">
      <w:start w:val="1"/>
      <w:numFmt w:val="decimal"/>
      <w:lvlText w:val="%1."/>
      <w:lvlJc w:val="left"/>
      <w:pPr>
        <w:ind w:left="780" w:hanging="360"/>
      </w:pPr>
      <w:rPr>
        <w:rFonts w:hint="default" w:ascii="??_GB2312" w:eastAsia="宋体" w:cs="Segoe U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F722EF5"/>
    <w:multiLevelType w:val="multilevel"/>
    <w:tmpl w:val="3F722EF5"/>
    <w:lvl w:ilvl="0" w:tentative="0">
      <w:start w:val="1"/>
      <w:numFmt w:val="decimal"/>
      <w:lvlText w:val="%1)"/>
      <w:lvlJc w:val="left"/>
      <w:pPr>
        <w:ind w:left="1700" w:hanging="420"/>
      </w:pPr>
      <w:rPr>
        <w:rFonts w:hint="eastAsia"/>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32">
    <w:nsid w:val="49CD7E3E"/>
    <w:multiLevelType w:val="multilevel"/>
    <w:tmpl w:val="49CD7E3E"/>
    <w:lvl w:ilvl="0" w:tentative="0">
      <w:start w:val="1"/>
      <w:numFmt w:val="decimal"/>
      <w:lvlText w:val="%1)"/>
      <w:lvlJc w:val="left"/>
      <w:pPr>
        <w:ind w:left="1700" w:hanging="420"/>
      </w:pPr>
      <w:rPr>
        <w:rFonts w:hint="eastAsia"/>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33">
    <w:nsid w:val="545E6074"/>
    <w:multiLevelType w:val="multilevel"/>
    <w:tmpl w:val="545E6074"/>
    <w:lvl w:ilvl="0" w:tentative="0">
      <w:start w:val="1"/>
      <w:numFmt w:val="decimal"/>
      <w:lvlText w:val="%1)"/>
      <w:lvlJc w:val="left"/>
      <w:pPr>
        <w:ind w:left="1700" w:hanging="420"/>
      </w:pPr>
      <w:rPr>
        <w:rFonts w:hint="eastAsia"/>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34">
    <w:nsid w:val="555C4F70"/>
    <w:multiLevelType w:val="singleLevel"/>
    <w:tmpl w:val="555C4F70"/>
    <w:lvl w:ilvl="0" w:tentative="0">
      <w:start w:val="5"/>
      <w:numFmt w:val="decimal"/>
      <w:suff w:val="nothing"/>
      <w:lvlText w:val="%1."/>
      <w:lvlJc w:val="left"/>
    </w:lvl>
  </w:abstractNum>
  <w:abstractNum w:abstractNumId="35">
    <w:nsid w:val="56787836"/>
    <w:multiLevelType w:val="multilevel"/>
    <w:tmpl w:val="56787836"/>
    <w:lvl w:ilvl="0" w:tentative="0">
      <w:start w:val="1"/>
      <w:numFmt w:val="decimal"/>
      <w:lvlText w:val="%1)"/>
      <w:lvlJc w:val="left"/>
      <w:pPr>
        <w:ind w:left="1700" w:hanging="420"/>
      </w:p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36">
    <w:nsid w:val="57E077B2"/>
    <w:multiLevelType w:val="multilevel"/>
    <w:tmpl w:val="57E077B2"/>
    <w:lvl w:ilvl="0" w:tentative="0">
      <w:start w:val="1"/>
      <w:numFmt w:val="decimal"/>
      <w:lvlText w:val="%1)"/>
      <w:lvlJc w:val="left"/>
      <w:pPr>
        <w:ind w:left="1700" w:hanging="420"/>
      </w:pPr>
      <w:rPr>
        <w:rFonts w:hint="eastAsia"/>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37">
    <w:nsid w:val="589991C5"/>
    <w:multiLevelType w:val="singleLevel"/>
    <w:tmpl w:val="589991C5"/>
    <w:lvl w:ilvl="0" w:tentative="0">
      <w:start w:val="3"/>
      <w:numFmt w:val="decimal"/>
      <w:suff w:val="nothing"/>
      <w:lvlText w:val="%1."/>
      <w:lvlJc w:val="left"/>
    </w:lvl>
  </w:abstractNum>
  <w:abstractNum w:abstractNumId="38">
    <w:nsid w:val="58C422FD"/>
    <w:multiLevelType w:val="multilevel"/>
    <w:tmpl w:val="58C422FD"/>
    <w:lvl w:ilvl="0" w:tentative="0">
      <w:start w:val="1"/>
      <w:numFmt w:val="decimal"/>
      <w:lvlText w:val="%1)"/>
      <w:lvlJc w:val="left"/>
      <w:pPr>
        <w:ind w:left="1700" w:hanging="420"/>
      </w:pPr>
      <w:rPr>
        <w:rFonts w:hint="eastAsia"/>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39">
    <w:nsid w:val="5BE07C60"/>
    <w:multiLevelType w:val="multilevel"/>
    <w:tmpl w:val="5BE07C60"/>
    <w:lvl w:ilvl="0" w:tentative="0">
      <w:start w:val="1"/>
      <w:numFmt w:val="decimal"/>
      <w:lvlText w:val="%1)"/>
      <w:lvlJc w:val="left"/>
      <w:pPr>
        <w:ind w:left="1700" w:hanging="420"/>
      </w:p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40">
    <w:nsid w:val="60C119CB"/>
    <w:multiLevelType w:val="multilevel"/>
    <w:tmpl w:val="60C119CB"/>
    <w:lvl w:ilvl="0" w:tentative="0">
      <w:start w:val="1"/>
      <w:numFmt w:val="decimal"/>
      <w:lvlText w:val="%1)"/>
      <w:lvlJc w:val="left"/>
      <w:pPr>
        <w:ind w:left="1700" w:hanging="420"/>
      </w:p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41">
    <w:nsid w:val="665A47E1"/>
    <w:multiLevelType w:val="multilevel"/>
    <w:tmpl w:val="665A47E1"/>
    <w:lvl w:ilvl="0" w:tentative="0">
      <w:start w:val="1"/>
      <w:numFmt w:val="decimal"/>
      <w:lvlText w:val="%1)"/>
      <w:lvlJc w:val="left"/>
      <w:pPr>
        <w:ind w:left="1700" w:hanging="420"/>
      </w:pPr>
      <w:rPr>
        <w:rFonts w:hint="eastAsia"/>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42">
    <w:nsid w:val="69D8410C"/>
    <w:multiLevelType w:val="multilevel"/>
    <w:tmpl w:val="69D8410C"/>
    <w:lvl w:ilvl="0" w:tentative="0">
      <w:start w:val="1"/>
      <w:numFmt w:val="decimal"/>
      <w:lvlText w:val="%1)"/>
      <w:lvlJc w:val="left"/>
      <w:pPr>
        <w:ind w:left="1700" w:hanging="420"/>
      </w:pPr>
      <w:rPr>
        <w:rFonts w:hint="eastAsia"/>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43">
    <w:nsid w:val="74100647"/>
    <w:multiLevelType w:val="singleLevel"/>
    <w:tmpl w:val="74100647"/>
    <w:lvl w:ilvl="0" w:tentative="0">
      <w:start w:val="5"/>
      <w:numFmt w:val="chineseCounting"/>
      <w:suff w:val="space"/>
      <w:lvlText w:val="第%1章"/>
      <w:lvlJc w:val="left"/>
      <w:rPr>
        <w:rFonts w:hint="eastAsia"/>
      </w:rPr>
    </w:lvl>
  </w:abstractNum>
  <w:abstractNum w:abstractNumId="44">
    <w:nsid w:val="7478622F"/>
    <w:multiLevelType w:val="multilevel"/>
    <w:tmpl w:val="7478622F"/>
    <w:lvl w:ilvl="0" w:tentative="0">
      <w:start w:val="1"/>
      <w:numFmt w:val="decimal"/>
      <w:lvlText w:val="%1)"/>
      <w:lvlJc w:val="left"/>
      <w:pPr>
        <w:ind w:left="1700" w:hanging="420"/>
      </w:p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num w:numId="1">
    <w:abstractNumId w:val="5"/>
  </w:num>
  <w:num w:numId="2">
    <w:abstractNumId w:val="19"/>
  </w:num>
  <w:num w:numId="3">
    <w:abstractNumId w:val="37"/>
  </w:num>
  <w:num w:numId="4">
    <w:abstractNumId w:val="34"/>
  </w:num>
  <w:num w:numId="5">
    <w:abstractNumId w:val="43"/>
  </w:num>
  <w:num w:numId="6">
    <w:abstractNumId w:val="0"/>
  </w:num>
  <w:num w:numId="7">
    <w:abstractNumId w:val="17"/>
  </w:num>
  <w:num w:numId="8">
    <w:abstractNumId w:val="30"/>
  </w:num>
  <w:num w:numId="9">
    <w:abstractNumId w:val="13"/>
  </w:num>
  <w:num w:numId="10">
    <w:abstractNumId w:val="28"/>
  </w:num>
  <w:num w:numId="11">
    <w:abstractNumId w:val="16"/>
  </w:num>
  <w:num w:numId="12">
    <w:abstractNumId w:val="21"/>
  </w:num>
  <w:num w:numId="13">
    <w:abstractNumId w:val="14"/>
  </w:num>
  <w:num w:numId="14">
    <w:abstractNumId w:val="27"/>
  </w:num>
  <w:num w:numId="15">
    <w:abstractNumId w:val="33"/>
  </w:num>
  <w:num w:numId="16">
    <w:abstractNumId w:val="31"/>
  </w:num>
  <w:num w:numId="17">
    <w:abstractNumId w:val="41"/>
  </w:num>
  <w:num w:numId="18">
    <w:abstractNumId w:val="40"/>
  </w:num>
  <w:num w:numId="19">
    <w:abstractNumId w:val="38"/>
  </w:num>
  <w:num w:numId="20">
    <w:abstractNumId w:val="8"/>
  </w:num>
  <w:num w:numId="21">
    <w:abstractNumId w:val="39"/>
  </w:num>
  <w:num w:numId="22">
    <w:abstractNumId w:val="18"/>
  </w:num>
  <w:num w:numId="23">
    <w:abstractNumId w:val="15"/>
  </w:num>
  <w:num w:numId="24">
    <w:abstractNumId w:val="3"/>
  </w:num>
  <w:num w:numId="25">
    <w:abstractNumId w:val="11"/>
  </w:num>
  <w:num w:numId="26">
    <w:abstractNumId w:val="24"/>
  </w:num>
  <w:num w:numId="27">
    <w:abstractNumId w:val="10"/>
  </w:num>
  <w:num w:numId="28">
    <w:abstractNumId w:val="22"/>
  </w:num>
  <w:num w:numId="29">
    <w:abstractNumId w:val="29"/>
  </w:num>
  <w:num w:numId="30">
    <w:abstractNumId w:val="6"/>
  </w:num>
  <w:num w:numId="31">
    <w:abstractNumId w:val="7"/>
  </w:num>
  <w:num w:numId="32">
    <w:abstractNumId w:val="25"/>
  </w:num>
  <w:num w:numId="33">
    <w:abstractNumId w:val="4"/>
  </w:num>
  <w:num w:numId="34">
    <w:abstractNumId w:val="20"/>
  </w:num>
  <w:num w:numId="35">
    <w:abstractNumId w:val="36"/>
  </w:num>
  <w:num w:numId="36">
    <w:abstractNumId w:val="9"/>
  </w:num>
  <w:num w:numId="37">
    <w:abstractNumId w:val="26"/>
  </w:num>
  <w:num w:numId="38">
    <w:abstractNumId w:val="2"/>
  </w:num>
  <w:num w:numId="39">
    <w:abstractNumId w:val="1"/>
  </w:num>
  <w:num w:numId="40">
    <w:abstractNumId w:val="44"/>
  </w:num>
  <w:num w:numId="41">
    <w:abstractNumId w:val="35"/>
  </w:num>
  <w:num w:numId="42">
    <w:abstractNumId w:val="12"/>
  </w:num>
  <w:num w:numId="43">
    <w:abstractNumId w:val="23"/>
  </w:num>
  <w:num w:numId="44">
    <w:abstractNumId w:val="42"/>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1ZjI0MDdmMDUxN2ZhMmQ3M2M4NzAwMDZmY2EwMmQifQ=="/>
  </w:docVars>
  <w:rsids>
    <w:rsidRoot w:val="00172A27"/>
    <w:rsid w:val="00006967"/>
    <w:rsid w:val="00026DB3"/>
    <w:rsid w:val="000361B7"/>
    <w:rsid w:val="0007770D"/>
    <w:rsid w:val="00083555"/>
    <w:rsid w:val="00097493"/>
    <w:rsid w:val="000B27A4"/>
    <w:rsid w:val="000B2E47"/>
    <w:rsid w:val="00100809"/>
    <w:rsid w:val="00103897"/>
    <w:rsid w:val="00105676"/>
    <w:rsid w:val="00172A27"/>
    <w:rsid w:val="001B072A"/>
    <w:rsid w:val="001D3A0A"/>
    <w:rsid w:val="001D5D63"/>
    <w:rsid w:val="002235CA"/>
    <w:rsid w:val="00245594"/>
    <w:rsid w:val="00354024"/>
    <w:rsid w:val="0035432C"/>
    <w:rsid w:val="003B4A54"/>
    <w:rsid w:val="003C6BDB"/>
    <w:rsid w:val="004012EF"/>
    <w:rsid w:val="004050EE"/>
    <w:rsid w:val="00430525"/>
    <w:rsid w:val="004C0A04"/>
    <w:rsid w:val="004E616D"/>
    <w:rsid w:val="005260D3"/>
    <w:rsid w:val="0054745E"/>
    <w:rsid w:val="00553401"/>
    <w:rsid w:val="005B1245"/>
    <w:rsid w:val="005F1325"/>
    <w:rsid w:val="00600D57"/>
    <w:rsid w:val="006068C7"/>
    <w:rsid w:val="006223D7"/>
    <w:rsid w:val="0062751E"/>
    <w:rsid w:val="0066477D"/>
    <w:rsid w:val="006C45D0"/>
    <w:rsid w:val="006D6F3B"/>
    <w:rsid w:val="00701E19"/>
    <w:rsid w:val="00755E14"/>
    <w:rsid w:val="007B1009"/>
    <w:rsid w:val="007C135A"/>
    <w:rsid w:val="007C3A5F"/>
    <w:rsid w:val="00854EF1"/>
    <w:rsid w:val="00893649"/>
    <w:rsid w:val="008E1B6F"/>
    <w:rsid w:val="008F0EF0"/>
    <w:rsid w:val="009427E5"/>
    <w:rsid w:val="00953CA0"/>
    <w:rsid w:val="009668A9"/>
    <w:rsid w:val="00973F73"/>
    <w:rsid w:val="009F2597"/>
    <w:rsid w:val="00A33A22"/>
    <w:rsid w:val="00A46540"/>
    <w:rsid w:val="00B42981"/>
    <w:rsid w:val="00B645F6"/>
    <w:rsid w:val="00B700D4"/>
    <w:rsid w:val="00B94286"/>
    <w:rsid w:val="00BA532E"/>
    <w:rsid w:val="00BB3280"/>
    <w:rsid w:val="00BC768A"/>
    <w:rsid w:val="00C158FD"/>
    <w:rsid w:val="00C26F9F"/>
    <w:rsid w:val="00C3457F"/>
    <w:rsid w:val="00C621A8"/>
    <w:rsid w:val="00C71BA6"/>
    <w:rsid w:val="00E00F20"/>
    <w:rsid w:val="00E13486"/>
    <w:rsid w:val="00E645F8"/>
    <w:rsid w:val="00ED7981"/>
    <w:rsid w:val="00EF77BF"/>
    <w:rsid w:val="00F0460E"/>
    <w:rsid w:val="00F05D40"/>
    <w:rsid w:val="00F13D93"/>
    <w:rsid w:val="00F44F67"/>
    <w:rsid w:val="00FA023A"/>
    <w:rsid w:val="00FC3E1B"/>
    <w:rsid w:val="011B6997"/>
    <w:rsid w:val="011B7D4A"/>
    <w:rsid w:val="01205D5C"/>
    <w:rsid w:val="01225D05"/>
    <w:rsid w:val="01390BCC"/>
    <w:rsid w:val="01424CC4"/>
    <w:rsid w:val="014410EC"/>
    <w:rsid w:val="014766A3"/>
    <w:rsid w:val="0156177E"/>
    <w:rsid w:val="015679D0"/>
    <w:rsid w:val="015B151E"/>
    <w:rsid w:val="015F7356"/>
    <w:rsid w:val="016E0D51"/>
    <w:rsid w:val="01710365"/>
    <w:rsid w:val="01714809"/>
    <w:rsid w:val="017B11E4"/>
    <w:rsid w:val="01934780"/>
    <w:rsid w:val="01A06E9D"/>
    <w:rsid w:val="01A45462"/>
    <w:rsid w:val="01B12E58"/>
    <w:rsid w:val="01BF64E7"/>
    <w:rsid w:val="01C310A5"/>
    <w:rsid w:val="01CE57B8"/>
    <w:rsid w:val="01DF5C17"/>
    <w:rsid w:val="01E054EB"/>
    <w:rsid w:val="01E943A0"/>
    <w:rsid w:val="01EC1682"/>
    <w:rsid w:val="01EE7C08"/>
    <w:rsid w:val="01F176F8"/>
    <w:rsid w:val="021A27AB"/>
    <w:rsid w:val="021B4775"/>
    <w:rsid w:val="021F7DC1"/>
    <w:rsid w:val="022F565F"/>
    <w:rsid w:val="02421D02"/>
    <w:rsid w:val="02535CBD"/>
    <w:rsid w:val="025C1016"/>
    <w:rsid w:val="025D60AD"/>
    <w:rsid w:val="02620CB6"/>
    <w:rsid w:val="02742E4C"/>
    <w:rsid w:val="02777BFD"/>
    <w:rsid w:val="02832A46"/>
    <w:rsid w:val="02870854"/>
    <w:rsid w:val="028C1B5C"/>
    <w:rsid w:val="02932E79"/>
    <w:rsid w:val="02954528"/>
    <w:rsid w:val="02A57D3C"/>
    <w:rsid w:val="02A824AD"/>
    <w:rsid w:val="02AF2769"/>
    <w:rsid w:val="02B1709F"/>
    <w:rsid w:val="02B250DA"/>
    <w:rsid w:val="02B26E88"/>
    <w:rsid w:val="02BA554D"/>
    <w:rsid w:val="02BC0003"/>
    <w:rsid w:val="02C458ED"/>
    <w:rsid w:val="02CF7A3A"/>
    <w:rsid w:val="02DA018C"/>
    <w:rsid w:val="02DC2156"/>
    <w:rsid w:val="02DF3019"/>
    <w:rsid w:val="02F8280D"/>
    <w:rsid w:val="02FD4E55"/>
    <w:rsid w:val="02FF18B5"/>
    <w:rsid w:val="03092820"/>
    <w:rsid w:val="03192A63"/>
    <w:rsid w:val="031A6E39"/>
    <w:rsid w:val="031C07A5"/>
    <w:rsid w:val="032F04D8"/>
    <w:rsid w:val="034A5312"/>
    <w:rsid w:val="034C108A"/>
    <w:rsid w:val="034F0B7A"/>
    <w:rsid w:val="03523995"/>
    <w:rsid w:val="03550F8F"/>
    <w:rsid w:val="036363D4"/>
    <w:rsid w:val="0365697F"/>
    <w:rsid w:val="036656D9"/>
    <w:rsid w:val="036A59B4"/>
    <w:rsid w:val="036E5944"/>
    <w:rsid w:val="037063C5"/>
    <w:rsid w:val="038A1BB2"/>
    <w:rsid w:val="038A56DB"/>
    <w:rsid w:val="03991DF6"/>
    <w:rsid w:val="039C5442"/>
    <w:rsid w:val="03A10CAA"/>
    <w:rsid w:val="03A8028B"/>
    <w:rsid w:val="03AC7D7B"/>
    <w:rsid w:val="03D34B93"/>
    <w:rsid w:val="03D472D2"/>
    <w:rsid w:val="03D62C2D"/>
    <w:rsid w:val="03E2379C"/>
    <w:rsid w:val="03E62AA5"/>
    <w:rsid w:val="03E67B6B"/>
    <w:rsid w:val="03EC63C9"/>
    <w:rsid w:val="03F4527E"/>
    <w:rsid w:val="04082AD7"/>
    <w:rsid w:val="04134B2E"/>
    <w:rsid w:val="041522ED"/>
    <w:rsid w:val="041D1900"/>
    <w:rsid w:val="04253689"/>
    <w:rsid w:val="04277401"/>
    <w:rsid w:val="042F2AD8"/>
    <w:rsid w:val="043833BC"/>
    <w:rsid w:val="043858E1"/>
    <w:rsid w:val="04390EE3"/>
    <w:rsid w:val="043F16FE"/>
    <w:rsid w:val="045301F6"/>
    <w:rsid w:val="046447EC"/>
    <w:rsid w:val="046D0271"/>
    <w:rsid w:val="047168CE"/>
    <w:rsid w:val="047C6D93"/>
    <w:rsid w:val="048F391D"/>
    <w:rsid w:val="04936845"/>
    <w:rsid w:val="049D76C3"/>
    <w:rsid w:val="04A25CB2"/>
    <w:rsid w:val="04C076AE"/>
    <w:rsid w:val="04C42EA2"/>
    <w:rsid w:val="04C50A57"/>
    <w:rsid w:val="04D017A8"/>
    <w:rsid w:val="04D63AD1"/>
    <w:rsid w:val="04D94B9F"/>
    <w:rsid w:val="04E13C7D"/>
    <w:rsid w:val="051A00F5"/>
    <w:rsid w:val="051F632A"/>
    <w:rsid w:val="052971A9"/>
    <w:rsid w:val="0530678A"/>
    <w:rsid w:val="0533756F"/>
    <w:rsid w:val="053610A2"/>
    <w:rsid w:val="056F0223"/>
    <w:rsid w:val="05860158"/>
    <w:rsid w:val="058A7C48"/>
    <w:rsid w:val="05962A91"/>
    <w:rsid w:val="05A0746B"/>
    <w:rsid w:val="05A11650"/>
    <w:rsid w:val="05AA7677"/>
    <w:rsid w:val="05B06B0F"/>
    <w:rsid w:val="05B23482"/>
    <w:rsid w:val="05BE78F1"/>
    <w:rsid w:val="05CF7D50"/>
    <w:rsid w:val="05E03D0C"/>
    <w:rsid w:val="05EC26B0"/>
    <w:rsid w:val="05F15F19"/>
    <w:rsid w:val="060A0D89"/>
    <w:rsid w:val="060C4292"/>
    <w:rsid w:val="060D7D86"/>
    <w:rsid w:val="060E0879"/>
    <w:rsid w:val="06121DC5"/>
    <w:rsid w:val="0614635C"/>
    <w:rsid w:val="061B11E8"/>
    <w:rsid w:val="062A142B"/>
    <w:rsid w:val="06314567"/>
    <w:rsid w:val="06316315"/>
    <w:rsid w:val="063D2F0C"/>
    <w:rsid w:val="063D40C6"/>
    <w:rsid w:val="064C314F"/>
    <w:rsid w:val="06510766"/>
    <w:rsid w:val="065B7836"/>
    <w:rsid w:val="065E4C1C"/>
    <w:rsid w:val="06626232"/>
    <w:rsid w:val="066B1335"/>
    <w:rsid w:val="069F3BC7"/>
    <w:rsid w:val="06A66D03"/>
    <w:rsid w:val="06C4362D"/>
    <w:rsid w:val="06C935FE"/>
    <w:rsid w:val="06D54C34"/>
    <w:rsid w:val="06E710CA"/>
    <w:rsid w:val="06ED162E"/>
    <w:rsid w:val="0701218C"/>
    <w:rsid w:val="070D6D82"/>
    <w:rsid w:val="0728046F"/>
    <w:rsid w:val="072B545A"/>
    <w:rsid w:val="072D4D2F"/>
    <w:rsid w:val="073541D7"/>
    <w:rsid w:val="073A569E"/>
    <w:rsid w:val="074309F6"/>
    <w:rsid w:val="074B3407"/>
    <w:rsid w:val="07534E8C"/>
    <w:rsid w:val="0754064C"/>
    <w:rsid w:val="07571DAC"/>
    <w:rsid w:val="07593D76"/>
    <w:rsid w:val="0765096C"/>
    <w:rsid w:val="0774295E"/>
    <w:rsid w:val="077566D6"/>
    <w:rsid w:val="079E5C2C"/>
    <w:rsid w:val="07BC60B3"/>
    <w:rsid w:val="07CA07CF"/>
    <w:rsid w:val="07D928C0"/>
    <w:rsid w:val="07E16777"/>
    <w:rsid w:val="07F43A9E"/>
    <w:rsid w:val="07F7358F"/>
    <w:rsid w:val="07F92E63"/>
    <w:rsid w:val="08030FF1"/>
    <w:rsid w:val="080710D7"/>
    <w:rsid w:val="081C2307"/>
    <w:rsid w:val="081D732F"/>
    <w:rsid w:val="083333DC"/>
    <w:rsid w:val="083D71F3"/>
    <w:rsid w:val="084E52C4"/>
    <w:rsid w:val="0854278F"/>
    <w:rsid w:val="0857624A"/>
    <w:rsid w:val="086B7EE6"/>
    <w:rsid w:val="08760957"/>
    <w:rsid w:val="08856DEC"/>
    <w:rsid w:val="08966904"/>
    <w:rsid w:val="08994B21"/>
    <w:rsid w:val="08A74FB5"/>
    <w:rsid w:val="08BD20E2"/>
    <w:rsid w:val="08BD6586"/>
    <w:rsid w:val="08CE117A"/>
    <w:rsid w:val="08CF1E16"/>
    <w:rsid w:val="08D959F0"/>
    <w:rsid w:val="08EC2F1E"/>
    <w:rsid w:val="08F1667E"/>
    <w:rsid w:val="08FF4E77"/>
    <w:rsid w:val="09093579"/>
    <w:rsid w:val="090B652D"/>
    <w:rsid w:val="09187C60"/>
    <w:rsid w:val="091A7535"/>
    <w:rsid w:val="0920254E"/>
    <w:rsid w:val="09212193"/>
    <w:rsid w:val="09271C52"/>
    <w:rsid w:val="09502F56"/>
    <w:rsid w:val="09535B4D"/>
    <w:rsid w:val="096864F2"/>
    <w:rsid w:val="096D34A6"/>
    <w:rsid w:val="096E162E"/>
    <w:rsid w:val="097E7AC3"/>
    <w:rsid w:val="09976DD7"/>
    <w:rsid w:val="099E0166"/>
    <w:rsid w:val="09B96D4E"/>
    <w:rsid w:val="09C33728"/>
    <w:rsid w:val="09D75426"/>
    <w:rsid w:val="09DC47EA"/>
    <w:rsid w:val="09EF6C13"/>
    <w:rsid w:val="09F31EAA"/>
    <w:rsid w:val="09F74AE2"/>
    <w:rsid w:val="09F91840"/>
    <w:rsid w:val="0A1E4E03"/>
    <w:rsid w:val="0A2032C1"/>
    <w:rsid w:val="0A213812"/>
    <w:rsid w:val="0A3A3B56"/>
    <w:rsid w:val="0A496A50"/>
    <w:rsid w:val="0A4A3E4A"/>
    <w:rsid w:val="0A631397"/>
    <w:rsid w:val="0A726DF8"/>
    <w:rsid w:val="0A7D5FCD"/>
    <w:rsid w:val="0A894972"/>
    <w:rsid w:val="0AA3355A"/>
    <w:rsid w:val="0AC05EBA"/>
    <w:rsid w:val="0ACA0AE6"/>
    <w:rsid w:val="0ACD5562"/>
    <w:rsid w:val="0AD342F0"/>
    <w:rsid w:val="0ADB3CD1"/>
    <w:rsid w:val="0AE4604C"/>
    <w:rsid w:val="0AE75B3C"/>
    <w:rsid w:val="0AEC4F01"/>
    <w:rsid w:val="0AFF5F1A"/>
    <w:rsid w:val="0B0E4E77"/>
    <w:rsid w:val="0B0F2F59"/>
    <w:rsid w:val="0B1701D0"/>
    <w:rsid w:val="0B2D556A"/>
    <w:rsid w:val="0B2F1603"/>
    <w:rsid w:val="0B4E1717"/>
    <w:rsid w:val="0B4E3DC4"/>
    <w:rsid w:val="0B52745A"/>
    <w:rsid w:val="0B534F80"/>
    <w:rsid w:val="0B642CE9"/>
    <w:rsid w:val="0B6444B2"/>
    <w:rsid w:val="0B754EF6"/>
    <w:rsid w:val="0B867103"/>
    <w:rsid w:val="0B8A3285"/>
    <w:rsid w:val="0B907F82"/>
    <w:rsid w:val="0B953132"/>
    <w:rsid w:val="0B97236F"/>
    <w:rsid w:val="0B980BE5"/>
    <w:rsid w:val="0B9C7783"/>
    <w:rsid w:val="0BA17A99"/>
    <w:rsid w:val="0BBF7F4D"/>
    <w:rsid w:val="0BC40120"/>
    <w:rsid w:val="0BC419DA"/>
    <w:rsid w:val="0BD53BE7"/>
    <w:rsid w:val="0BDB7B27"/>
    <w:rsid w:val="0BF1626A"/>
    <w:rsid w:val="0C032502"/>
    <w:rsid w:val="0C075A57"/>
    <w:rsid w:val="0C0F0EA7"/>
    <w:rsid w:val="0C1B20EA"/>
    <w:rsid w:val="0C370182"/>
    <w:rsid w:val="0C395F24"/>
    <w:rsid w:val="0C5C5A93"/>
    <w:rsid w:val="0C6236CC"/>
    <w:rsid w:val="0C800F2E"/>
    <w:rsid w:val="0C801DA5"/>
    <w:rsid w:val="0C807FF6"/>
    <w:rsid w:val="0C8F1FE8"/>
    <w:rsid w:val="0C9D3721"/>
    <w:rsid w:val="0CAC4948"/>
    <w:rsid w:val="0CB433A7"/>
    <w:rsid w:val="0CC021C4"/>
    <w:rsid w:val="0CC7482B"/>
    <w:rsid w:val="0CC90459"/>
    <w:rsid w:val="0CCC6D98"/>
    <w:rsid w:val="0CD404B4"/>
    <w:rsid w:val="0CDB6B9C"/>
    <w:rsid w:val="0CEC2E9B"/>
    <w:rsid w:val="0CEC568C"/>
    <w:rsid w:val="0CF32CB8"/>
    <w:rsid w:val="0D046532"/>
    <w:rsid w:val="0D0A78C0"/>
    <w:rsid w:val="0D0B5B12"/>
    <w:rsid w:val="0D1C7D1F"/>
    <w:rsid w:val="0D2B7F62"/>
    <w:rsid w:val="0D38442D"/>
    <w:rsid w:val="0D40688D"/>
    <w:rsid w:val="0D65587A"/>
    <w:rsid w:val="0D7116ED"/>
    <w:rsid w:val="0D907DC5"/>
    <w:rsid w:val="0D9C49BC"/>
    <w:rsid w:val="0DA72AB3"/>
    <w:rsid w:val="0DB31D06"/>
    <w:rsid w:val="0DB5782C"/>
    <w:rsid w:val="0DC3162F"/>
    <w:rsid w:val="0DCD2DC7"/>
    <w:rsid w:val="0DDA3CD6"/>
    <w:rsid w:val="0DDC125D"/>
    <w:rsid w:val="0DDC300B"/>
    <w:rsid w:val="0DDE4FD5"/>
    <w:rsid w:val="0DE93979"/>
    <w:rsid w:val="0DF2282E"/>
    <w:rsid w:val="0DFF4F4B"/>
    <w:rsid w:val="0E0617EA"/>
    <w:rsid w:val="0E0766AB"/>
    <w:rsid w:val="0E097C8C"/>
    <w:rsid w:val="0E0C455E"/>
    <w:rsid w:val="0E1D1300"/>
    <w:rsid w:val="0E213113"/>
    <w:rsid w:val="0E2944A5"/>
    <w:rsid w:val="0E2C7A37"/>
    <w:rsid w:val="0E3966AF"/>
    <w:rsid w:val="0E3D7000"/>
    <w:rsid w:val="0E42322F"/>
    <w:rsid w:val="0E430BBB"/>
    <w:rsid w:val="0E4A17FD"/>
    <w:rsid w:val="0E4D3F08"/>
    <w:rsid w:val="0E547045"/>
    <w:rsid w:val="0E6275B9"/>
    <w:rsid w:val="0E717B3E"/>
    <w:rsid w:val="0E7535C1"/>
    <w:rsid w:val="0E80608C"/>
    <w:rsid w:val="0E8F4521"/>
    <w:rsid w:val="0EA90C4D"/>
    <w:rsid w:val="0EC51CF1"/>
    <w:rsid w:val="0EC74500"/>
    <w:rsid w:val="0EC97E96"/>
    <w:rsid w:val="0ED168E7"/>
    <w:rsid w:val="0ED71A24"/>
    <w:rsid w:val="0EDE2DB2"/>
    <w:rsid w:val="0EE21728"/>
    <w:rsid w:val="0F0C5B71"/>
    <w:rsid w:val="0F0F11BE"/>
    <w:rsid w:val="0F0F17D9"/>
    <w:rsid w:val="0F19203C"/>
    <w:rsid w:val="0F205179"/>
    <w:rsid w:val="0F470958"/>
    <w:rsid w:val="0F5512C6"/>
    <w:rsid w:val="0F5C5647"/>
    <w:rsid w:val="0F6F2253"/>
    <w:rsid w:val="0F752504"/>
    <w:rsid w:val="0F761857"/>
    <w:rsid w:val="0F8E28A1"/>
    <w:rsid w:val="0F9F69E6"/>
    <w:rsid w:val="0FB30846"/>
    <w:rsid w:val="0FDC19E8"/>
    <w:rsid w:val="100A02F0"/>
    <w:rsid w:val="10174F65"/>
    <w:rsid w:val="10195736"/>
    <w:rsid w:val="102202ED"/>
    <w:rsid w:val="10254DF1"/>
    <w:rsid w:val="10294501"/>
    <w:rsid w:val="103435D2"/>
    <w:rsid w:val="104D28BD"/>
    <w:rsid w:val="10637A13"/>
    <w:rsid w:val="106A2B50"/>
    <w:rsid w:val="10853E2D"/>
    <w:rsid w:val="1094385F"/>
    <w:rsid w:val="10AB0A4F"/>
    <w:rsid w:val="10B822C3"/>
    <w:rsid w:val="10BF266C"/>
    <w:rsid w:val="10ED2B84"/>
    <w:rsid w:val="11052878"/>
    <w:rsid w:val="111156C1"/>
    <w:rsid w:val="111A415B"/>
    <w:rsid w:val="111E3700"/>
    <w:rsid w:val="112F431C"/>
    <w:rsid w:val="11317A64"/>
    <w:rsid w:val="113327E6"/>
    <w:rsid w:val="113849FC"/>
    <w:rsid w:val="113D64B6"/>
    <w:rsid w:val="115D0906"/>
    <w:rsid w:val="116B0D46"/>
    <w:rsid w:val="11785740"/>
    <w:rsid w:val="117874EE"/>
    <w:rsid w:val="118C6061"/>
    <w:rsid w:val="119845B0"/>
    <w:rsid w:val="11A251DF"/>
    <w:rsid w:val="11A81CA9"/>
    <w:rsid w:val="11AB6DEA"/>
    <w:rsid w:val="11AD29C4"/>
    <w:rsid w:val="11B5429E"/>
    <w:rsid w:val="11B76268"/>
    <w:rsid w:val="11BA3ED7"/>
    <w:rsid w:val="11C1000C"/>
    <w:rsid w:val="11D34725"/>
    <w:rsid w:val="11DF131B"/>
    <w:rsid w:val="12072825"/>
    <w:rsid w:val="120A778B"/>
    <w:rsid w:val="122E5B47"/>
    <w:rsid w:val="123831EB"/>
    <w:rsid w:val="124F64A1"/>
    <w:rsid w:val="12555A81"/>
    <w:rsid w:val="12575356"/>
    <w:rsid w:val="12580863"/>
    <w:rsid w:val="12582E7C"/>
    <w:rsid w:val="125F245C"/>
    <w:rsid w:val="12632280"/>
    <w:rsid w:val="126B124F"/>
    <w:rsid w:val="12753A2E"/>
    <w:rsid w:val="12775B54"/>
    <w:rsid w:val="12851EC3"/>
    <w:rsid w:val="128B14A3"/>
    <w:rsid w:val="129065E1"/>
    <w:rsid w:val="12931AA1"/>
    <w:rsid w:val="129B16E6"/>
    <w:rsid w:val="12AA1929"/>
    <w:rsid w:val="12B666A3"/>
    <w:rsid w:val="12CA3D79"/>
    <w:rsid w:val="12CF1390"/>
    <w:rsid w:val="12D13FC1"/>
    <w:rsid w:val="13274D28"/>
    <w:rsid w:val="13276DA3"/>
    <w:rsid w:val="132F62D2"/>
    <w:rsid w:val="133F4289"/>
    <w:rsid w:val="134F1DF4"/>
    <w:rsid w:val="136A10B9"/>
    <w:rsid w:val="136A7336"/>
    <w:rsid w:val="137B5074"/>
    <w:rsid w:val="137F2DB6"/>
    <w:rsid w:val="137F4B64"/>
    <w:rsid w:val="138008DC"/>
    <w:rsid w:val="13806B2E"/>
    <w:rsid w:val="139149DC"/>
    <w:rsid w:val="13A24CF6"/>
    <w:rsid w:val="13A26E3E"/>
    <w:rsid w:val="13C94031"/>
    <w:rsid w:val="13CE33F5"/>
    <w:rsid w:val="13E40E6B"/>
    <w:rsid w:val="13E744B7"/>
    <w:rsid w:val="13EB7E49"/>
    <w:rsid w:val="13F015BE"/>
    <w:rsid w:val="13F217DA"/>
    <w:rsid w:val="13FA2A48"/>
    <w:rsid w:val="14045069"/>
    <w:rsid w:val="140B464A"/>
    <w:rsid w:val="141D1339"/>
    <w:rsid w:val="14263231"/>
    <w:rsid w:val="142A08FD"/>
    <w:rsid w:val="14425B91"/>
    <w:rsid w:val="1450450E"/>
    <w:rsid w:val="145927F1"/>
    <w:rsid w:val="145D43A9"/>
    <w:rsid w:val="145E6E6F"/>
    <w:rsid w:val="14723351"/>
    <w:rsid w:val="14785D2F"/>
    <w:rsid w:val="148166BA"/>
    <w:rsid w:val="148B12E6"/>
    <w:rsid w:val="14983F47"/>
    <w:rsid w:val="14B11EC7"/>
    <w:rsid w:val="14C33176"/>
    <w:rsid w:val="14C74C58"/>
    <w:rsid w:val="14F3090E"/>
    <w:rsid w:val="14F72E20"/>
    <w:rsid w:val="150177FB"/>
    <w:rsid w:val="150507E1"/>
    <w:rsid w:val="15064E11"/>
    <w:rsid w:val="151F7657"/>
    <w:rsid w:val="15265F05"/>
    <w:rsid w:val="15272C65"/>
    <w:rsid w:val="15406575"/>
    <w:rsid w:val="15415E49"/>
    <w:rsid w:val="155315CE"/>
    <w:rsid w:val="15574721"/>
    <w:rsid w:val="155B6F0B"/>
    <w:rsid w:val="15654AA4"/>
    <w:rsid w:val="156875CB"/>
    <w:rsid w:val="156B673E"/>
    <w:rsid w:val="15700B8E"/>
    <w:rsid w:val="15704E89"/>
    <w:rsid w:val="15724254"/>
    <w:rsid w:val="15841A39"/>
    <w:rsid w:val="158B2A72"/>
    <w:rsid w:val="1594241D"/>
    <w:rsid w:val="159673EF"/>
    <w:rsid w:val="1598130C"/>
    <w:rsid w:val="159F1B9D"/>
    <w:rsid w:val="15A85EC8"/>
    <w:rsid w:val="15B30AF5"/>
    <w:rsid w:val="15DB44F0"/>
    <w:rsid w:val="15E92769"/>
    <w:rsid w:val="15EE5FD1"/>
    <w:rsid w:val="15FB06EE"/>
    <w:rsid w:val="161377E5"/>
    <w:rsid w:val="161546E1"/>
    <w:rsid w:val="161B48EC"/>
    <w:rsid w:val="161F43DC"/>
    <w:rsid w:val="16221D47"/>
    <w:rsid w:val="16253F10"/>
    <w:rsid w:val="16287735"/>
    <w:rsid w:val="16314110"/>
    <w:rsid w:val="163360DA"/>
    <w:rsid w:val="16585B40"/>
    <w:rsid w:val="16663DB9"/>
    <w:rsid w:val="166B462C"/>
    <w:rsid w:val="167631F1"/>
    <w:rsid w:val="167766AB"/>
    <w:rsid w:val="169528F0"/>
    <w:rsid w:val="1695469E"/>
    <w:rsid w:val="16957C0A"/>
    <w:rsid w:val="16A06D76"/>
    <w:rsid w:val="16A843D2"/>
    <w:rsid w:val="16B03286"/>
    <w:rsid w:val="16C227A3"/>
    <w:rsid w:val="16D04173"/>
    <w:rsid w:val="16DF3DDE"/>
    <w:rsid w:val="16E42F30"/>
    <w:rsid w:val="16E80C72"/>
    <w:rsid w:val="16ED6288"/>
    <w:rsid w:val="16F07B27"/>
    <w:rsid w:val="16FE3FF2"/>
    <w:rsid w:val="17033881"/>
    <w:rsid w:val="17190E2C"/>
    <w:rsid w:val="1740285C"/>
    <w:rsid w:val="17457E73"/>
    <w:rsid w:val="1750699F"/>
    <w:rsid w:val="175D6154"/>
    <w:rsid w:val="175F4005"/>
    <w:rsid w:val="17677DA2"/>
    <w:rsid w:val="176C18A3"/>
    <w:rsid w:val="177D585E"/>
    <w:rsid w:val="178A6601"/>
    <w:rsid w:val="179130B8"/>
    <w:rsid w:val="17A14634"/>
    <w:rsid w:val="17A27073"/>
    <w:rsid w:val="17A74689"/>
    <w:rsid w:val="17A80401"/>
    <w:rsid w:val="17AA23CB"/>
    <w:rsid w:val="17AE3C6A"/>
    <w:rsid w:val="17B1375A"/>
    <w:rsid w:val="17B13C64"/>
    <w:rsid w:val="17E009DD"/>
    <w:rsid w:val="17E16F55"/>
    <w:rsid w:val="17EC02EE"/>
    <w:rsid w:val="1802120A"/>
    <w:rsid w:val="18090EA0"/>
    <w:rsid w:val="180A3897"/>
    <w:rsid w:val="180C01B6"/>
    <w:rsid w:val="180E64B6"/>
    <w:rsid w:val="182A0E16"/>
    <w:rsid w:val="183A6650"/>
    <w:rsid w:val="183E3E7C"/>
    <w:rsid w:val="184C0CDA"/>
    <w:rsid w:val="1863229B"/>
    <w:rsid w:val="186C33DA"/>
    <w:rsid w:val="187C612F"/>
    <w:rsid w:val="18891FE1"/>
    <w:rsid w:val="18893D8F"/>
    <w:rsid w:val="188B3FAB"/>
    <w:rsid w:val="18950986"/>
    <w:rsid w:val="18AC1971"/>
    <w:rsid w:val="18C13529"/>
    <w:rsid w:val="18D5131F"/>
    <w:rsid w:val="18F65744"/>
    <w:rsid w:val="18FA6A3B"/>
    <w:rsid w:val="18FC27B3"/>
    <w:rsid w:val="19183D6F"/>
    <w:rsid w:val="191A0E8B"/>
    <w:rsid w:val="191B532F"/>
    <w:rsid w:val="193D70C0"/>
    <w:rsid w:val="193E2DCB"/>
    <w:rsid w:val="193F01CA"/>
    <w:rsid w:val="19543E84"/>
    <w:rsid w:val="19575C3B"/>
    <w:rsid w:val="195B4C5F"/>
    <w:rsid w:val="195F2D42"/>
    <w:rsid w:val="196547FC"/>
    <w:rsid w:val="196640D0"/>
    <w:rsid w:val="198B3B37"/>
    <w:rsid w:val="199B021E"/>
    <w:rsid w:val="19A02FFC"/>
    <w:rsid w:val="19B7492C"/>
    <w:rsid w:val="19C05F96"/>
    <w:rsid w:val="19C31523"/>
    <w:rsid w:val="19C332D1"/>
    <w:rsid w:val="19CA465F"/>
    <w:rsid w:val="19D674A8"/>
    <w:rsid w:val="19D84FCE"/>
    <w:rsid w:val="19E75211"/>
    <w:rsid w:val="19F26308"/>
    <w:rsid w:val="19F85670"/>
    <w:rsid w:val="19F9661C"/>
    <w:rsid w:val="19FD4AA7"/>
    <w:rsid w:val="1A0E09F0"/>
    <w:rsid w:val="1A350962"/>
    <w:rsid w:val="1A3C39DC"/>
    <w:rsid w:val="1A450189"/>
    <w:rsid w:val="1A4A39F2"/>
    <w:rsid w:val="1A50563C"/>
    <w:rsid w:val="1A617197"/>
    <w:rsid w:val="1A814768"/>
    <w:rsid w:val="1A8707A2"/>
    <w:rsid w:val="1A955327"/>
    <w:rsid w:val="1AA15C96"/>
    <w:rsid w:val="1AAC1FB7"/>
    <w:rsid w:val="1AB1114C"/>
    <w:rsid w:val="1ADA4D76"/>
    <w:rsid w:val="1ADD6614"/>
    <w:rsid w:val="1AE23C2A"/>
    <w:rsid w:val="1AED4AA9"/>
    <w:rsid w:val="1AF20311"/>
    <w:rsid w:val="1B102545"/>
    <w:rsid w:val="1B213750"/>
    <w:rsid w:val="1B2B3823"/>
    <w:rsid w:val="1B302BE8"/>
    <w:rsid w:val="1B337C21"/>
    <w:rsid w:val="1B3865EB"/>
    <w:rsid w:val="1B410951"/>
    <w:rsid w:val="1B5B4C11"/>
    <w:rsid w:val="1B6C24A0"/>
    <w:rsid w:val="1B7A5FD3"/>
    <w:rsid w:val="1B7D5788"/>
    <w:rsid w:val="1B811695"/>
    <w:rsid w:val="1B9469B0"/>
    <w:rsid w:val="1B9A365B"/>
    <w:rsid w:val="1BBD2E67"/>
    <w:rsid w:val="1BBD5075"/>
    <w:rsid w:val="1BE35EAC"/>
    <w:rsid w:val="1BE97638"/>
    <w:rsid w:val="1BF400B9"/>
    <w:rsid w:val="1BF735A6"/>
    <w:rsid w:val="1C0C71B1"/>
    <w:rsid w:val="1C234E9B"/>
    <w:rsid w:val="1C381D54"/>
    <w:rsid w:val="1C4701E9"/>
    <w:rsid w:val="1C4E1577"/>
    <w:rsid w:val="1C5A1B35"/>
    <w:rsid w:val="1C5B3C94"/>
    <w:rsid w:val="1C6074FD"/>
    <w:rsid w:val="1C6E7E6B"/>
    <w:rsid w:val="1C72040A"/>
    <w:rsid w:val="1C753962"/>
    <w:rsid w:val="1C78215E"/>
    <w:rsid w:val="1C7D3C0B"/>
    <w:rsid w:val="1C8054A9"/>
    <w:rsid w:val="1C8E0645"/>
    <w:rsid w:val="1CA613B3"/>
    <w:rsid w:val="1CB57848"/>
    <w:rsid w:val="1CD87093"/>
    <w:rsid w:val="1D0C4486"/>
    <w:rsid w:val="1D1D04BD"/>
    <w:rsid w:val="1D4B3D09"/>
    <w:rsid w:val="1D510FD3"/>
    <w:rsid w:val="1D5F77B4"/>
    <w:rsid w:val="1D6A0633"/>
    <w:rsid w:val="1D724738"/>
    <w:rsid w:val="1D750D86"/>
    <w:rsid w:val="1D774AFE"/>
    <w:rsid w:val="1D8A14F0"/>
    <w:rsid w:val="1D8E7788"/>
    <w:rsid w:val="1DA27101"/>
    <w:rsid w:val="1DAE1374"/>
    <w:rsid w:val="1DB00010"/>
    <w:rsid w:val="1DB20164"/>
    <w:rsid w:val="1DD51824"/>
    <w:rsid w:val="1DD56034"/>
    <w:rsid w:val="1DD65CC8"/>
    <w:rsid w:val="1DD737EE"/>
    <w:rsid w:val="1DD97567"/>
    <w:rsid w:val="1DE44BF6"/>
    <w:rsid w:val="1DE71C83"/>
    <w:rsid w:val="1E004AF3"/>
    <w:rsid w:val="1E0839A8"/>
    <w:rsid w:val="1E0C265C"/>
    <w:rsid w:val="1E0D0FBE"/>
    <w:rsid w:val="1E206F43"/>
    <w:rsid w:val="1E207B73"/>
    <w:rsid w:val="1E4569AA"/>
    <w:rsid w:val="1E4B3002"/>
    <w:rsid w:val="1E4E3AB1"/>
    <w:rsid w:val="1E565D01"/>
    <w:rsid w:val="1E604203"/>
    <w:rsid w:val="1E694901"/>
    <w:rsid w:val="1E9F213F"/>
    <w:rsid w:val="1E9F5123"/>
    <w:rsid w:val="1EB06519"/>
    <w:rsid w:val="1EB3600A"/>
    <w:rsid w:val="1EB678A8"/>
    <w:rsid w:val="1EBF30FA"/>
    <w:rsid w:val="1ECA7336"/>
    <w:rsid w:val="1ED478CD"/>
    <w:rsid w:val="1ED85A70"/>
    <w:rsid w:val="1EE53D46"/>
    <w:rsid w:val="1EE556D4"/>
    <w:rsid w:val="1EF26B32"/>
    <w:rsid w:val="1F0625DD"/>
    <w:rsid w:val="1F1840BF"/>
    <w:rsid w:val="1F212F73"/>
    <w:rsid w:val="1F3B2473"/>
    <w:rsid w:val="1F3C7DAD"/>
    <w:rsid w:val="1F460C2C"/>
    <w:rsid w:val="1F5275D0"/>
    <w:rsid w:val="1F560236"/>
    <w:rsid w:val="1F640F15"/>
    <w:rsid w:val="1F725F44"/>
    <w:rsid w:val="1F770DE5"/>
    <w:rsid w:val="1F8D23B7"/>
    <w:rsid w:val="1F923E71"/>
    <w:rsid w:val="1FA359A6"/>
    <w:rsid w:val="1FC16504"/>
    <w:rsid w:val="1FD67896"/>
    <w:rsid w:val="1FF73CD4"/>
    <w:rsid w:val="20017B96"/>
    <w:rsid w:val="20036B1D"/>
    <w:rsid w:val="200B58A1"/>
    <w:rsid w:val="201725C8"/>
    <w:rsid w:val="201D2831"/>
    <w:rsid w:val="20216FA3"/>
    <w:rsid w:val="202820DF"/>
    <w:rsid w:val="20362A4E"/>
    <w:rsid w:val="203B1E13"/>
    <w:rsid w:val="20511636"/>
    <w:rsid w:val="205253AE"/>
    <w:rsid w:val="20541126"/>
    <w:rsid w:val="20601879"/>
    <w:rsid w:val="20607ACB"/>
    <w:rsid w:val="206520C1"/>
    <w:rsid w:val="2075582C"/>
    <w:rsid w:val="207D242B"/>
    <w:rsid w:val="208732AA"/>
    <w:rsid w:val="20A35BFB"/>
    <w:rsid w:val="20AC4ABE"/>
    <w:rsid w:val="20AE75D3"/>
    <w:rsid w:val="20BE47F2"/>
    <w:rsid w:val="20C444FE"/>
    <w:rsid w:val="20CA13E8"/>
    <w:rsid w:val="20CE712B"/>
    <w:rsid w:val="20D65FDF"/>
    <w:rsid w:val="20DB0623"/>
    <w:rsid w:val="21093CBF"/>
    <w:rsid w:val="210E7E3D"/>
    <w:rsid w:val="21303941"/>
    <w:rsid w:val="21354AB4"/>
    <w:rsid w:val="213F6FAD"/>
    <w:rsid w:val="214D3F8A"/>
    <w:rsid w:val="21706B71"/>
    <w:rsid w:val="217166C6"/>
    <w:rsid w:val="217355DC"/>
    <w:rsid w:val="2187794B"/>
    <w:rsid w:val="21893052"/>
    <w:rsid w:val="219263AA"/>
    <w:rsid w:val="219914E7"/>
    <w:rsid w:val="21BB6D03"/>
    <w:rsid w:val="21BC1EC2"/>
    <w:rsid w:val="21C67329"/>
    <w:rsid w:val="220A4192"/>
    <w:rsid w:val="222C1991"/>
    <w:rsid w:val="222F59A7"/>
    <w:rsid w:val="22372AAE"/>
    <w:rsid w:val="223C784D"/>
    <w:rsid w:val="224116FE"/>
    <w:rsid w:val="22460F43"/>
    <w:rsid w:val="224C6824"/>
    <w:rsid w:val="225778AB"/>
    <w:rsid w:val="227710FC"/>
    <w:rsid w:val="22897514"/>
    <w:rsid w:val="228A0E2F"/>
    <w:rsid w:val="22927C98"/>
    <w:rsid w:val="22A939AB"/>
    <w:rsid w:val="22AA3280"/>
    <w:rsid w:val="22AE0FC2"/>
    <w:rsid w:val="22B1460E"/>
    <w:rsid w:val="22DF73CD"/>
    <w:rsid w:val="22E177D9"/>
    <w:rsid w:val="22E83DA8"/>
    <w:rsid w:val="22F93CDB"/>
    <w:rsid w:val="22FF181D"/>
    <w:rsid w:val="2305495A"/>
    <w:rsid w:val="231960BA"/>
    <w:rsid w:val="231F13E5"/>
    <w:rsid w:val="23362D65"/>
    <w:rsid w:val="233A7FAB"/>
    <w:rsid w:val="233F7E6C"/>
    <w:rsid w:val="2358785F"/>
    <w:rsid w:val="23733FB9"/>
    <w:rsid w:val="237A389D"/>
    <w:rsid w:val="238B7DD9"/>
    <w:rsid w:val="238E2BA1"/>
    <w:rsid w:val="23984345"/>
    <w:rsid w:val="23A61C99"/>
    <w:rsid w:val="23B867AC"/>
    <w:rsid w:val="23BD5235"/>
    <w:rsid w:val="23E2427A"/>
    <w:rsid w:val="23E5343B"/>
    <w:rsid w:val="23F0560A"/>
    <w:rsid w:val="24082954"/>
    <w:rsid w:val="240931A4"/>
    <w:rsid w:val="240D1D18"/>
    <w:rsid w:val="24172C21"/>
    <w:rsid w:val="24241DE4"/>
    <w:rsid w:val="242D5F16"/>
    <w:rsid w:val="24303C58"/>
    <w:rsid w:val="24417C14"/>
    <w:rsid w:val="2444321E"/>
    <w:rsid w:val="24461D83"/>
    <w:rsid w:val="244814DB"/>
    <w:rsid w:val="245C2C9F"/>
    <w:rsid w:val="247D50F0"/>
    <w:rsid w:val="248024EA"/>
    <w:rsid w:val="248249BD"/>
    <w:rsid w:val="24885842"/>
    <w:rsid w:val="248A5117"/>
    <w:rsid w:val="24AF1021"/>
    <w:rsid w:val="24AF4B7D"/>
    <w:rsid w:val="24B6415E"/>
    <w:rsid w:val="24C7636B"/>
    <w:rsid w:val="24FB4266"/>
    <w:rsid w:val="24FD7FDE"/>
    <w:rsid w:val="2500362B"/>
    <w:rsid w:val="251428A5"/>
    <w:rsid w:val="251F61A7"/>
    <w:rsid w:val="252E2311"/>
    <w:rsid w:val="253A1641"/>
    <w:rsid w:val="25445C0D"/>
    <w:rsid w:val="255319AC"/>
    <w:rsid w:val="255E0351"/>
    <w:rsid w:val="25850D9A"/>
    <w:rsid w:val="25861D82"/>
    <w:rsid w:val="258B4FC9"/>
    <w:rsid w:val="258C3110"/>
    <w:rsid w:val="258F1C44"/>
    <w:rsid w:val="259511CD"/>
    <w:rsid w:val="25A0096A"/>
    <w:rsid w:val="25A466AC"/>
    <w:rsid w:val="25AA29BE"/>
    <w:rsid w:val="25B87D98"/>
    <w:rsid w:val="25CC0CEB"/>
    <w:rsid w:val="25EB6089"/>
    <w:rsid w:val="25ED0053"/>
    <w:rsid w:val="25FB2A1E"/>
    <w:rsid w:val="26075B80"/>
    <w:rsid w:val="260C2602"/>
    <w:rsid w:val="262015F3"/>
    <w:rsid w:val="262477ED"/>
    <w:rsid w:val="262E41C8"/>
    <w:rsid w:val="263537A8"/>
    <w:rsid w:val="263C4B36"/>
    <w:rsid w:val="263E10C7"/>
    <w:rsid w:val="26461511"/>
    <w:rsid w:val="2650205D"/>
    <w:rsid w:val="265B2BC4"/>
    <w:rsid w:val="26607D19"/>
    <w:rsid w:val="266F2816"/>
    <w:rsid w:val="266F4FF3"/>
    <w:rsid w:val="267267AA"/>
    <w:rsid w:val="26831833"/>
    <w:rsid w:val="268E69A9"/>
    <w:rsid w:val="2694250F"/>
    <w:rsid w:val="26975000"/>
    <w:rsid w:val="269E30FB"/>
    <w:rsid w:val="26AD1EEB"/>
    <w:rsid w:val="26BE130A"/>
    <w:rsid w:val="26E1123A"/>
    <w:rsid w:val="26EE4083"/>
    <w:rsid w:val="26EE6A49"/>
    <w:rsid w:val="26FD1AB5"/>
    <w:rsid w:val="270218DC"/>
    <w:rsid w:val="27030243"/>
    <w:rsid w:val="2709399C"/>
    <w:rsid w:val="27182EAE"/>
    <w:rsid w:val="27286E69"/>
    <w:rsid w:val="27313844"/>
    <w:rsid w:val="27366F81"/>
    <w:rsid w:val="273B6B9C"/>
    <w:rsid w:val="27693709"/>
    <w:rsid w:val="276A7481"/>
    <w:rsid w:val="27765E26"/>
    <w:rsid w:val="277976C4"/>
    <w:rsid w:val="278542BB"/>
    <w:rsid w:val="27854848"/>
    <w:rsid w:val="278A3680"/>
    <w:rsid w:val="279871A5"/>
    <w:rsid w:val="27A26C1B"/>
    <w:rsid w:val="27B8643F"/>
    <w:rsid w:val="27C05F91"/>
    <w:rsid w:val="27C2106B"/>
    <w:rsid w:val="27D91663"/>
    <w:rsid w:val="27E47234"/>
    <w:rsid w:val="27FD20A3"/>
    <w:rsid w:val="280451E0"/>
    <w:rsid w:val="280B5953"/>
    <w:rsid w:val="28125B4F"/>
    <w:rsid w:val="28137B19"/>
    <w:rsid w:val="28142158"/>
    <w:rsid w:val="28164F13"/>
    <w:rsid w:val="281F5A75"/>
    <w:rsid w:val="2829733C"/>
    <w:rsid w:val="282C5A6C"/>
    <w:rsid w:val="2835183D"/>
    <w:rsid w:val="28363CF4"/>
    <w:rsid w:val="28461C9C"/>
    <w:rsid w:val="285B0632"/>
    <w:rsid w:val="28630541"/>
    <w:rsid w:val="286914E7"/>
    <w:rsid w:val="28846321"/>
    <w:rsid w:val="28904CC6"/>
    <w:rsid w:val="289052C4"/>
    <w:rsid w:val="28A25898"/>
    <w:rsid w:val="28C3509B"/>
    <w:rsid w:val="28D32E6C"/>
    <w:rsid w:val="28E04120"/>
    <w:rsid w:val="28E13773"/>
    <w:rsid w:val="28E15521"/>
    <w:rsid w:val="28EB3A2F"/>
    <w:rsid w:val="28EC5824"/>
    <w:rsid w:val="2907142C"/>
    <w:rsid w:val="29194CBB"/>
    <w:rsid w:val="29220C16"/>
    <w:rsid w:val="292A6FAA"/>
    <w:rsid w:val="292D0766"/>
    <w:rsid w:val="292E4C0A"/>
    <w:rsid w:val="293B4E85"/>
    <w:rsid w:val="294010DC"/>
    <w:rsid w:val="29890093"/>
    <w:rsid w:val="29961C76"/>
    <w:rsid w:val="29B13146"/>
    <w:rsid w:val="29B6075C"/>
    <w:rsid w:val="29C11250"/>
    <w:rsid w:val="29C44A37"/>
    <w:rsid w:val="29C73EC4"/>
    <w:rsid w:val="29CC42E3"/>
    <w:rsid w:val="29CD518B"/>
    <w:rsid w:val="29D55086"/>
    <w:rsid w:val="29EB2AFB"/>
    <w:rsid w:val="29F251A1"/>
    <w:rsid w:val="2A0E0598"/>
    <w:rsid w:val="2A115BEA"/>
    <w:rsid w:val="2A197130"/>
    <w:rsid w:val="2A257690"/>
    <w:rsid w:val="2A2C0A1E"/>
    <w:rsid w:val="2A41096D"/>
    <w:rsid w:val="2A5F7045"/>
    <w:rsid w:val="2A614B6C"/>
    <w:rsid w:val="2A694E61"/>
    <w:rsid w:val="2A832D34"/>
    <w:rsid w:val="2A8820F8"/>
    <w:rsid w:val="2A9A007E"/>
    <w:rsid w:val="2A9E68C1"/>
    <w:rsid w:val="2AC11AAE"/>
    <w:rsid w:val="2AD179A5"/>
    <w:rsid w:val="2AF27EBA"/>
    <w:rsid w:val="2AF835AA"/>
    <w:rsid w:val="2AFB6D6E"/>
    <w:rsid w:val="2B4404CC"/>
    <w:rsid w:val="2B4D6E9E"/>
    <w:rsid w:val="2B5A3DF7"/>
    <w:rsid w:val="2B65068C"/>
    <w:rsid w:val="2B6647F6"/>
    <w:rsid w:val="2B746468"/>
    <w:rsid w:val="2B7733E2"/>
    <w:rsid w:val="2BA41F0E"/>
    <w:rsid w:val="2BA64162"/>
    <w:rsid w:val="2BB37649"/>
    <w:rsid w:val="2BBA09D7"/>
    <w:rsid w:val="2BBD46AD"/>
    <w:rsid w:val="2BC76C50"/>
    <w:rsid w:val="2BD33231"/>
    <w:rsid w:val="2BD33847"/>
    <w:rsid w:val="2BF10171"/>
    <w:rsid w:val="2BFE648D"/>
    <w:rsid w:val="2C041C52"/>
    <w:rsid w:val="2C282633"/>
    <w:rsid w:val="2C2A2A9A"/>
    <w:rsid w:val="2C2F4DD8"/>
    <w:rsid w:val="2C3A38C6"/>
    <w:rsid w:val="2C3F0EDD"/>
    <w:rsid w:val="2C4C3B83"/>
    <w:rsid w:val="2C506C46"/>
    <w:rsid w:val="2C5745AB"/>
    <w:rsid w:val="2C9E3E55"/>
    <w:rsid w:val="2CA9484E"/>
    <w:rsid w:val="2CB01DDA"/>
    <w:rsid w:val="2CB160A0"/>
    <w:rsid w:val="2CBC077F"/>
    <w:rsid w:val="2CC13323"/>
    <w:rsid w:val="2CC55886"/>
    <w:rsid w:val="2CD60304"/>
    <w:rsid w:val="2CDE24A4"/>
    <w:rsid w:val="2CE455E0"/>
    <w:rsid w:val="2D1E301E"/>
    <w:rsid w:val="2D406B30"/>
    <w:rsid w:val="2D454740"/>
    <w:rsid w:val="2D4A18E7"/>
    <w:rsid w:val="2D512BEF"/>
    <w:rsid w:val="2D647A10"/>
    <w:rsid w:val="2DA059AB"/>
    <w:rsid w:val="2DA134D1"/>
    <w:rsid w:val="2DA846A6"/>
    <w:rsid w:val="2DC23B73"/>
    <w:rsid w:val="2DDA56EA"/>
    <w:rsid w:val="2DFB0E33"/>
    <w:rsid w:val="2E183793"/>
    <w:rsid w:val="2E1C482F"/>
    <w:rsid w:val="2E327AC5"/>
    <w:rsid w:val="2E3A195C"/>
    <w:rsid w:val="2E3A7749"/>
    <w:rsid w:val="2E4C78E1"/>
    <w:rsid w:val="2E821554"/>
    <w:rsid w:val="2E841966"/>
    <w:rsid w:val="2EB23BE8"/>
    <w:rsid w:val="2EC658E5"/>
    <w:rsid w:val="2ECB2EFB"/>
    <w:rsid w:val="2ECD1014"/>
    <w:rsid w:val="2ED40002"/>
    <w:rsid w:val="2EDE2C2F"/>
    <w:rsid w:val="2EFC0D3A"/>
    <w:rsid w:val="2F141D98"/>
    <w:rsid w:val="2F307202"/>
    <w:rsid w:val="2F3E7229"/>
    <w:rsid w:val="2F543666"/>
    <w:rsid w:val="2F5B70A6"/>
    <w:rsid w:val="2F6D0108"/>
    <w:rsid w:val="2F77098D"/>
    <w:rsid w:val="2F7739FD"/>
    <w:rsid w:val="2F792957"/>
    <w:rsid w:val="2F7F5C63"/>
    <w:rsid w:val="2F883775"/>
    <w:rsid w:val="2F9C7CC1"/>
    <w:rsid w:val="2FC17E5A"/>
    <w:rsid w:val="2FDE6C5E"/>
    <w:rsid w:val="2FE04785"/>
    <w:rsid w:val="2FE51D9B"/>
    <w:rsid w:val="2FF0068C"/>
    <w:rsid w:val="2FF521E4"/>
    <w:rsid w:val="2FF87D20"/>
    <w:rsid w:val="2FF9677F"/>
    <w:rsid w:val="30000983"/>
    <w:rsid w:val="300F1B69"/>
    <w:rsid w:val="301B3A0F"/>
    <w:rsid w:val="302369E0"/>
    <w:rsid w:val="303074BA"/>
    <w:rsid w:val="303660E6"/>
    <w:rsid w:val="30371724"/>
    <w:rsid w:val="303D5733"/>
    <w:rsid w:val="304A4EA7"/>
    <w:rsid w:val="304C261B"/>
    <w:rsid w:val="30536D05"/>
    <w:rsid w:val="307443EA"/>
    <w:rsid w:val="30782C0F"/>
    <w:rsid w:val="307978A9"/>
    <w:rsid w:val="30817D16"/>
    <w:rsid w:val="308C3FE9"/>
    <w:rsid w:val="309D2676"/>
    <w:rsid w:val="30A13F14"/>
    <w:rsid w:val="30A231B2"/>
    <w:rsid w:val="30A5717E"/>
    <w:rsid w:val="30AE6DA3"/>
    <w:rsid w:val="30B8125D"/>
    <w:rsid w:val="30BD6482"/>
    <w:rsid w:val="30DD7AD3"/>
    <w:rsid w:val="30F1651D"/>
    <w:rsid w:val="31034D3E"/>
    <w:rsid w:val="310C2ECC"/>
    <w:rsid w:val="31100BB0"/>
    <w:rsid w:val="311566B0"/>
    <w:rsid w:val="31262E0D"/>
    <w:rsid w:val="312D1C4B"/>
    <w:rsid w:val="312F4132"/>
    <w:rsid w:val="313E1763"/>
    <w:rsid w:val="313F54DB"/>
    <w:rsid w:val="31603DCF"/>
    <w:rsid w:val="31632CA6"/>
    <w:rsid w:val="316B32F9"/>
    <w:rsid w:val="316D029A"/>
    <w:rsid w:val="318A3434"/>
    <w:rsid w:val="31A17F44"/>
    <w:rsid w:val="31A87524"/>
    <w:rsid w:val="31C85368"/>
    <w:rsid w:val="31CB7453"/>
    <w:rsid w:val="31D40478"/>
    <w:rsid w:val="31D60C88"/>
    <w:rsid w:val="31DF54C1"/>
    <w:rsid w:val="31E61759"/>
    <w:rsid w:val="31E63BA8"/>
    <w:rsid w:val="31EA5447"/>
    <w:rsid w:val="31F75CBD"/>
    <w:rsid w:val="31FB3BAC"/>
    <w:rsid w:val="31FB7654"/>
    <w:rsid w:val="31FE7097"/>
    <w:rsid w:val="31FF2950"/>
    <w:rsid w:val="320A3D3B"/>
    <w:rsid w:val="3214418B"/>
    <w:rsid w:val="321A1BF0"/>
    <w:rsid w:val="322029FD"/>
    <w:rsid w:val="32211104"/>
    <w:rsid w:val="32362245"/>
    <w:rsid w:val="324F174E"/>
    <w:rsid w:val="32560D2E"/>
    <w:rsid w:val="326E6078"/>
    <w:rsid w:val="32733DB8"/>
    <w:rsid w:val="328C29A2"/>
    <w:rsid w:val="32A63A63"/>
    <w:rsid w:val="32CA457B"/>
    <w:rsid w:val="32DC6530"/>
    <w:rsid w:val="32DE7D48"/>
    <w:rsid w:val="32E4633A"/>
    <w:rsid w:val="33122EA7"/>
    <w:rsid w:val="331C5AD4"/>
    <w:rsid w:val="332901F1"/>
    <w:rsid w:val="3330157F"/>
    <w:rsid w:val="3330332D"/>
    <w:rsid w:val="333472C1"/>
    <w:rsid w:val="33386686"/>
    <w:rsid w:val="334119DE"/>
    <w:rsid w:val="33423060"/>
    <w:rsid w:val="33461202"/>
    <w:rsid w:val="335061FE"/>
    <w:rsid w:val="33527747"/>
    <w:rsid w:val="33590AD6"/>
    <w:rsid w:val="335E3471"/>
    <w:rsid w:val="335F3C12"/>
    <w:rsid w:val="33635E0F"/>
    <w:rsid w:val="33714DCF"/>
    <w:rsid w:val="33770723"/>
    <w:rsid w:val="33897646"/>
    <w:rsid w:val="33941B0E"/>
    <w:rsid w:val="339A4C4A"/>
    <w:rsid w:val="33AA1331"/>
    <w:rsid w:val="33BC2E13"/>
    <w:rsid w:val="33CA7E8E"/>
    <w:rsid w:val="33CD1CCC"/>
    <w:rsid w:val="33EF169D"/>
    <w:rsid w:val="33F3440D"/>
    <w:rsid w:val="33F829BD"/>
    <w:rsid w:val="340D18C0"/>
    <w:rsid w:val="341E1D1F"/>
    <w:rsid w:val="342509B8"/>
    <w:rsid w:val="34256C0A"/>
    <w:rsid w:val="34287065"/>
    <w:rsid w:val="34346E4D"/>
    <w:rsid w:val="34401315"/>
    <w:rsid w:val="34403A44"/>
    <w:rsid w:val="344057F2"/>
    <w:rsid w:val="34524761"/>
    <w:rsid w:val="345B757C"/>
    <w:rsid w:val="345D63A4"/>
    <w:rsid w:val="34704FE3"/>
    <w:rsid w:val="34763909"/>
    <w:rsid w:val="347F3F13"/>
    <w:rsid w:val="348E47AF"/>
    <w:rsid w:val="348F0527"/>
    <w:rsid w:val="34A83397"/>
    <w:rsid w:val="34A87694"/>
    <w:rsid w:val="34AF7225"/>
    <w:rsid w:val="34B67475"/>
    <w:rsid w:val="34BA37F6"/>
    <w:rsid w:val="34BF2BBB"/>
    <w:rsid w:val="34EB1C02"/>
    <w:rsid w:val="34EC397A"/>
    <w:rsid w:val="34FD36E3"/>
    <w:rsid w:val="34FF56AD"/>
    <w:rsid w:val="350723C1"/>
    <w:rsid w:val="35134CB4"/>
    <w:rsid w:val="352670DE"/>
    <w:rsid w:val="352B64A2"/>
    <w:rsid w:val="353367AA"/>
    <w:rsid w:val="354E2190"/>
    <w:rsid w:val="355B7EB7"/>
    <w:rsid w:val="357F234A"/>
    <w:rsid w:val="359130D0"/>
    <w:rsid w:val="3591793A"/>
    <w:rsid w:val="359202CF"/>
    <w:rsid w:val="35935DF5"/>
    <w:rsid w:val="35A324DC"/>
    <w:rsid w:val="35C058A7"/>
    <w:rsid w:val="35C25A21"/>
    <w:rsid w:val="35C97A69"/>
    <w:rsid w:val="35D02BA5"/>
    <w:rsid w:val="35D07049"/>
    <w:rsid w:val="35E000E3"/>
    <w:rsid w:val="35EB550A"/>
    <w:rsid w:val="35F72828"/>
    <w:rsid w:val="35F745D6"/>
    <w:rsid w:val="360867E3"/>
    <w:rsid w:val="361B02C4"/>
    <w:rsid w:val="3620283E"/>
    <w:rsid w:val="362313EC"/>
    <w:rsid w:val="362353CB"/>
    <w:rsid w:val="36323860"/>
    <w:rsid w:val="36600405"/>
    <w:rsid w:val="36624375"/>
    <w:rsid w:val="3670401A"/>
    <w:rsid w:val="367725DD"/>
    <w:rsid w:val="36780302"/>
    <w:rsid w:val="367D3BD9"/>
    <w:rsid w:val="369E302D"/>
    <w:rsid w:val="36A54032"/>
    <w:rsid w:val="36AF6EDD"/>
    <w:rsid w:val="36BF3346"/>
    <w:rsid w:val="36C24BE4"/>
    <w:rsid w:val="36C3270A"/>
    <w:rsid w:val="36C941C4"/>
    <w:rsid w:val="36D30B9F"/>
    <w:rsid w:val="37021484"/>
    <w:rsid w:val="37071F49"/>
    <w:rsid w:val="370945C1"/>
    <w:rsid w:val="370A533E"/>
    <w:rsid w:val="370E7874"/>
    <w:rsid w:val="3733163E"/>
    <w:rsid w:val="37331D46"/>
    <w:rsid w:val="374C2700"/>
    <w:rsid w:val="37502A1C"/>
    <w:rsid w:val="37511F6D"/>
    <w:rsid w:val="37585548"/>
    <w:rsid w:val="375B1BFB"/>
    <w:rsid w:val="37621F23"/>
    <w:rsid w:val="37753A04"/>
    <w:rsid w:val="378C0D4E"/>
    <w:rsid w:val="379A16BD"/>
    <w:rsid w:val="379C5435"/>
    <w:rsid w:val="37A3615F"/>
    <w:rsid w:val="37B54749"/>
    <w:rsid w:val="37B817C9"/>
    <w:rsid w:val="37BC5AD7"/>
    <w:rsid w:val="37C84D12"/>
    <w:rsid w:val="37CD3840"/>
    <w:rsid w:val="37D8310E"/>
    <w:rsid w:val="37DF3574"/>
    <w:rsid w:val="37E312B6"/>
    <w:rsid w:val="37F12DF7"/>
    <w:rsid w:val="38282D0E"/>
    <w:rsid w:val="382F3388"/>
    <w:rsid w:val="384A4E91"/>
    <w:rsid w:val="384E07D6"/>
    <w:rsid w:val="38585BBA"/>
    <w:rsid w:val="385E6BA3"/>
    <w:rsid w:val="386341A5"/>
    <w:rsid w:val="386D0B7F"/>
    <w:rsid w:val="386F2B4A"/>
    <w:rsid w:val="38736CF7"/>
    <w:rsid w:val="38912AC0"/>
    <w:rsid w:val="3894610C"/>
    <w:rsid w:val="38A02D03"/>
    <w:rsid w:val="38B84A32"/>
    <w:rsid w:val="38BA0DC3"/>
    <w:rsid w:val="38C033A5"/>
    <w:rsid w:val="38C43790"/>
    <w:rsid w:val="38CA58DD"/>
    <w:rsid w:val="38E021AD"/>
    <w:rsid w:val="38E54BBA"/>
    <w:rsid w:val="38EA21D0"/>
    <w:rsid w:val="38FD63A7"/>
    <w:rsid w:val="39070FD4"/>
    <w:rsid w:val="390C65EA"/>
    <w:rsid w:val="39131727"/>
    <w:rsid w:val="391E3BD4"/>
    <w:rsid w:val="392456E2"/>
    <w:rsid w:val="392A439A"/>
    <w:rsid w:val="39304169"/>
    <w:rsid w:val="393671C3"/>
    <w:rsid w:val="39443EAD"/>
    <w:rsid w:val="394713D0"/>
    <w:rsid w:val="395561AA"/>
    <w:rsid w:val="39762EA7"/>
    <w:rsid w:val="398A62A9"/>
    <w:rsid w:val="39944836"/>
    <w:rsid w:val="39A51CEE"/>
    <w:rsid w:val="39B25E9B"/>
    <w:rsid w:val="39E43DD1"/>
    <w:rsid w:val="39E75371"/>
    <w:rsid w:val="39EB5217"/>
    <w:rsid w:val="39F96B6F"/>
    <w:rsid w:val="39FE0F50"/>
    <w:rsid w:val="39FF1CAB"/>
    <w:rsid w:val="3A0472C2"/>
    <w:rsid w:val="3A080B60"/>
    <w:rsid w:val="3A206369"/>
    <w:rsid w:val="3A2222E7"/>
    <w:rsid w:val="3A23599A"/>
    <w:rsid w:val="3A251161"/>
    <w:rsid w:val="3A2B2AA0"/>
    <w:rsid w:val="3A2E433E"/>
    <w:rsid w:val="3A3B7187"/>
    <w:rsid w:val="3A3E6C77"/>
    <w:rsid w:val="3A437DEA"/>
    <w:rsid w:val="3A451DB4"/>
    <w:rsid w:val="3A5F410D"/>
    <w:rsid w:val="3A61657F"/>
    <w:rsid w:val="3A661D2A"/>
    <w:rsid w:val="3A6C0D0D"/>
    <w:rsid w:val="3A775CE5"/>
    <w:rsid w:val="3AAD7959"/>
    <w:rsid w:val="3AD67296"/>
    <w:rsid w:val="3AE80991"/>
    <w:rsid w:val="3AE90553"/>
    <w:rsid w:val="3B005CDB"/>
    <w:rsid w:val="3B0C0B24"/>
    <w:rsid w:val="3B1479D8"/>
    <w:rsid w:val="3B2C087E"/>
    <w:rsid w:val="3B3E5FF5"/>
    <w:rsid w:val="3B4C2CCE"/>
    <w:rsid w:val="3B5A7F94"/>
    <w:rsid w:val="3B6F4C0F"/>
    <w:rsid w:val="3B7E1D2D"/>
    <w:rsid w:val="3B84690C"/>
    <w:rsid w:val="3B895CD0"/>
    <w:rsid w:val="3B9D352A"/>
    <w:rsid w:val="3B9F3746"/>
    <w:rsid w:val="3BA96372"/>
    <w:rsid w:val="3BB05953"/>
    <w:rsid w:val="3BF5514D"/>
    <w:rsid w:val="3BF86187"/>
    <w:rsid w:val="3C103A96"/>
    <w:rsid w:val="3C10772C"/>
    <w:rsid w:val="3C230A88"/>
    <w:rsid w:val="3C2809C3"/>
    <w:rsid w:val="3C3519B4"/>
    <w:rsid w:val="3C417755"/>
    <w:rsid w:val="3C526A18"/>
    <w:rsid w:val="3C5941BE"/>
    <w:rsid w:val="3C6759DA"/>
    <w:rsid w:val="3C6A1695"/>
    <w:rsid w:val="3C8B4592"/>
    <w:rsid w:val="3C90308E"/>
    <w:rsid w:val="3CB7686D"/>
    <w:rsid w:val="3CBA0C58"/>
    <w:rsid w:val="3CC316B6"/>
    <w:rsid w:val="3CCA034E"/>
    <w:rsid w:val="3CCA0B6D"/>
    <w:rsid w:val="3CF17FD1"/>
    <w:rsid w:val="3CFD4BC8"/>
    <w:rsid w:val="3D01192B"/>
    <w:rsid w:val="3D09356D"/>
    <w:rsid w:val="3D0F0457"/>
    <w:rsid w:val="3D235CB1"/>
    <w:rsid w:val="3D245BF8"/>
    <w:rsid w:val="3D2739F3"/>
    <w:rsid w:val="3D283C87"/>
    <w:rsid w:val="3D29215E"/>
    <w:rsid w:val="3D314871"/>
    <w:rsid w:val="3D31661F"/>
    <w:rsid w:val="3D3E0D3C"/>
    <w:rsid w:val="3D5E514C"/>
    <w:rsid w:val="3D791D75"/>
    <w:rsid w:val="3D7F55DD"/>
    <w:rsid w:val="3D804EB1"/>
    <w:rsid w:val="3D8726E3"/>
    <w:rsid w:val="3D8C1AA8"/>
    <w:rsid w:val="3D8F6A2D"/>
    <w:rsid w:val="3D932E36"/>
    <w:rsid w:val="3D935E8B"/>
    <w:rsid w:val="3D946221"/>
    <w:rsid w:val="3DAB1865"/>
    <w:rsid w:val="3DAB7272"/>
    <w:rsid w:val="3DB8289D"/>
    <w:rsid w:val="3DBA4867"/>
    <w:rsid w:val="3DC2371B"/>
    <w:rsid w:val="3DCD6C0E"/>
    <w:rsid w:val="3DEA6D00"/>
    <w:rsid w:val="3DF80EEB"/>
    <w:rsid w:val="3DFD29A6"/>
    <w:rsid w:val="3DFD4754"/>
    <w:rsid w:val="3E060D36"/>
    <w:rsid w:val="3E265A58"/>
    <w:rsid w:val="3E2B306F"/>
    <w:rsid w:val="3E2F688E"/>
    <w:rsid w:val="3E304B29"/>
    <w:rsid w:val="3E467EA9"/>
    <w:rsid w:val="3E4B3711"/>
    <w:rsid w:val="3E88747E"/>
    <w:rsid w:val="3E8F7AA2"/>
    <w:rsid w:val="3E97730D"/>
    <w:rsid w:val="3E990920"/>
    <w:rsid w:val="3EAA58B9"/>
    <w:rsid w:val="3EC27633"/>
    <w:rsid w:val="3EC534C3"/>
    <w:rsid w:val="3ECA6D2C"/>
    <w:rsid w:val="3EED6576"/>
    <w:rsid w:val="3EF148F5"/>
    <w:rsid w:val="3EFC1CFF"/>
    <w:rsid w:val="3EFC2C5D"/>
    <w:rsid w:val="3EFC626C"/>
    <w:rsid w:val="3F116709"/>
    <w:rsid w:val="3F171845"/>
    <w:rsid w:val="3F1955BD"/>
    <w:rsid w:val="3F3149DD"/>
    <w:rsid w:val="3F3C7E38"/>
    <w:rsid w:val="3F3E5024"/>
    <w:rsid w:val="3F3F1856"/>
    <w:rsid w:val="3F45637A"/>
    <w:rsid w:val="3F5E1222"/>
    <w:rsid w:val="3F631A22"/>
    <w:rsid w:val="3F6601FF"/>
    <w:rsid w:val="3F676329"/>
    <w:rsid w:val="3F710F55"/>
    <w:rsid w:val="3F78758D"/>
    <w:rsid w:val="3F823162"/>
    <w:rsid w:val="3F824E2F"/>
    <w:rsid w:val="3FAA217B"/>
    <w:rsid w:val="3FB47094"/>
    <w:rsid w:val="3FB56AEB"/>
    <w:rsid w:val="3FBB750E"/>
    <w:rsid w:val="3FDD5CB2"/>
    <w:rsid w:val="3FDF5019"/>
    <w:rsid w:val="3FE4147D"/>
    <w:rsid w:val="3FE536F1"/>
    <w:rsid w:val="3FE62797"/>
    <w:rsid w:val="400B2A8A"/>
    <w:rsid w:val="4022422D"/>
    <w:rsid w:val="40267F92"/>
    <w:rsid w:val="402C30CE"/>
    <w:rsid w:val="403C5A07"/>
    <w:rsid w:val="403F1053"/>
    <w:rsid w:val="404448BC"/>
    <w:rsid w:val="4044666A"/>
    <w:rsid w:val="40503261"/>
    <w:rsid w:val="4058383E"/>
    <w:rsid w:val="40642868"/>
    <w:rsid w:val="40784565"/>
    <w:rsid w:val="407F5F47"/>
    <w:rsid w:val="408F1FDB"/>
    <w:rsid w:val="40A75A1F"/>
    <w:rsid w:val="40AB493B"/>
    <w:rsid w:val="40B03CFF"/>
    <w:rsid w:val="40B97D06"/>
    <w:rsid w:val="40CD5D50"/>
    <w:rsid w:val="40DC2092"/>
    <w:rsid w:val="40EE6524"/>
    <w:rsid w:val="40F9266D"/>
    <w:rsid w:val="40FC6F44"/>
    <w:rsid w:val="40FE4A6B"/>
    <w:rsid w:val="41016309"/>
    <w:rsid w:val="410234F5"/>
    <w:rsid w:val="411A0EBA"/>
    <w:rsid w:val="411E68C6"/>
    <w:rsid w:val="412255E1"/>
    <w:rsid w:val="4136375D"/>
    <w:rsid w:val="41410DFB"/>
    <w:rsid w:val="41566655"/>
    <w:rsid w:val="415D29BB"/>
    <w:rsid w:val="416B1C74"/>
    <w:rsid w:val="416B2522"/>
    <w:rsid w:val="416C5E78"/>
    <w:rsid w:val="418A7109"/>
    <w:rsid w:val="41A82C28"/>
    <w:rsid w:val="41C37C84"/>
    <w:rsid w:val="41C94975"/>
    <w:rsid w:val="41D41C6F"/>
    <w:rsid w:val="41D70B7E"/>
    <w:rsid w:val="41D74DC8"/>
    <w:rsid w:val="41DA7286"/>
    <w:rsid w:val="41DF2AEE"/>
    <w:rsid w:val="41EE10CA"/>
    <w:rsid w:val="41F850F4"/>
    <w:rsid w:val="42097B6B"/>
    <w:rsid w:val="421901A8"/>
    <w:rsid w:val="42203E5F"/>
    <w:rsid w:val="4228106A"/>
    <w:rsid w:val="422D59C7"/>
    <w:rsid w:val="42444495"/>
    <w:rsid w:val="424A13B3"/>
    <w:rsid w:val="42622B53"/>
    <w:rsid w:val="427721DD"/>
    <w:rsid w:val="428E0070"/>
    <w:rsid w:val="42B15B0D"/>
    <w:rsid w:val="42B400DA"/>
    <w:rsid w:val="42D8596E"/>
    <w:rsid w:val="42F205FF"/>
    <w:rsid w:val="42F22E95"/>
    <w:rsid w:val="42FE6FA4"/>
    <w:rsid w:val="430640AA"/>
    <w:rsid w:val="43071A78"/>
    <w:rsid w:val="43122A4F"/>
    <w:rsid w:val="431E7646"/>
    <w:rsid w:val="43296080"/>
    <w:rsid w:val="433046B5"/>
    <w:rsid w:val="43317379"/>
    <w:rsid w:val="433E1A96"/>
    <w:rsid w:val="43505326"/>
    <w:rsid w:val="43566717"/>
    <w:rsid w:val="43615785"/>
    <w:rsid w:val="43617533"/>
    <w:rsid w:val="436521AE"/>
    <w:rsid w:val="436F0772"/>
    <w:rsid w:val="43823A17"/>
    <w:rsid w:val="43996CCD"/>
    <w:rsid w:val="439F7D1C"/>
    <w:rsid w:val="43A55671"/>
    <w:rsid w:val="43B43B06"/>
    <w:rsid w:val="43C26223"/>
    <w:rsid w:val="43DC0776"/>
    <w:rsid w:val="43E80E4B"/>
    <w:rsid w:val="43EA39CC"/>
    <w:rsid w:val="43F22CB6"/>
    <w:rsid w:val="43F81C45"/>
    <w:rsid w:val="441675AE"/>
    <w:rsid w:val="441822E7"/>
    <w:rsid w:val="442247E6"/>
    <w:rsid w:val="442742D8"/>
    <w:rsid w:val="4441183E"/>
    <w:rsid w:val="444430DC"/>
    <w:rsid w:val="444A697C"/>
    <w:rsid w:val="444C1F91"/>
    <w:rsid w:val="445C6678"/>
    <w:rsid w:val="445E35D2"/>
    <w:rsid w:val="4464552C"/>
    <w:rsid w:val="446C5274"/>
    <w:rsid w:val="446C6D12"/>
    <w:rsid w:val="448B2AB9"/>
    <w:rsid w:val="44BE42FA"/>
    <w:rsid w:val="44C22253"/>
    <w:rsid w:val="44C24001"/>
    <w:rsid w:val="44CE0BF8"/>
    <w:rsid w:val="44D04970"/>
    <w:rsid w:val="44D151D5"/>
    <w:rsid w:val="44D34460"/>
    <w:rsid w:val="44EC08C5"/>
    <w:rsid w:val="44FB7C04"/>
    <w:rsid w:val="45156827"/>
    <w:rsid w:val="45294080"/>
    <w:rsid w:val="454E475C"/>
    <w:rsid w:val="455D2E57"/>
    <w:rsid w:val="455D7760"/>
    <w:rsid w:val="455F7AA2"/>
    <w:rsid w:val="456652D4"/>
    <w:rsid w:val="45667629"/>
    <w:rsid w:val="45727023"/>
    <w:rsid w:val="45765517"/>
    <w:rsid w:val="458F0387"/>
    <w:rsid w:val="4594475B"/>
    <w:rsid w:val="459E05CA"/>
    <w:rsid w:val="45A05858"/>
    <w:rsid w:val="45A2455E"/>
    <w:rsid w:val="45BA3F42"/>
    <w:rsid w:val="45BE0C6C"/>
    <w:rsid w:val="45CD6529"/>
    <w:rsid w:val="45D65FB6"/>
    <w:rsid w:val="45F66658"/>
    <w:rsid w:val="46040D75"/>
    <w:rsid w:val="461865CE"/>
    <w:rsid w:val="462209BC"/>
    <w:rsid w:val="464523AB"/>
    <w:rsid w:val="46474FB7"/>
    <w:rsid w:val="46537607"/>
    <w:rsid w:val="46592743"/>
    <w:rsid w:val="46605C5A"/>
    <w:rsid w:val="467001B9"/>
    <w:rsid w:val="467254D8"/>
    <w:rsid w:val="46774745"/>
    <w:rsid w:val="467C2F4D"/>
    <w:rsid w:val="46AD6B15"/>
    <w:rsid w:val="46BD0F24"/>
    <w:rsid w:val="46C265A1"/>
    <w:rsid w:val="46C36DC9"/>
    <w:rsid w:val="46D70238"/>
    <w:rsid w:val="47027A25"/>
    <w:rsid w:val="4705073F"/>
    <w:rsid w:val="470D5A07"/>
    <w:rsid w:val="470E1780"/>
    <w:rsid w:val="470E4DF8"/>
    <w:rsid w:val="47425366"/>
    <w:rsid w:val="47460F19"/>
    <w:rsid w:val="47501D98"/>
    <w:rsid w:val="47574ED5"/>
    <w:rsid w:val="477041E8"/>
    <w:rsid w:val="47824475"/>
    <w:rsid w:val="478F1DF2"/>
    <w:rsid w:val="47981173"/>
    <w:rsid w:val="479E48B1"/>
    <w:rsid w:val="47A67C0A"/>
    <w:rsid w:val="47AD2D46"/>
    <w:rsid w:val="47AF6ABF"/>
    <w:rsid w:val="47C3256A"/>
    <w:rsid w:val="47D77DC3"/>
    <w:rsid w:val="47E65CEC"/>
    <w:rsid w:val="47E96B0E"/>
    <w:rsid w:val="47F32850"/>
    <w:rsid w:val="4800556C"/>
    <w:rsid w:val="4800731A"/>
    <w:rsid w:val="480321E6"/>
    <w:rsid w:val="48221986"/>
    <w:rsid w:val="48253225"/>
    <w:rsid w:val="48320856"/>
    <w:rsid w:val="485578E8"/>
    <w:rsid w:val="48561630"/>
    <w:rsid w:val="485B09F4"/>
    <w:rsid w:val="48623B31"/>
    <w:rsid w:val="486D73A7"/>
    <w:rsid w:val="486E0728"/>
    <w:rsid w:val="487815A6"/>
    <w:rsid w:val="487B4BF3"/>
    <w:rsid w:val="48952158"/>
    <w:rsid w:val="489C473A"/>
    <w:rsid w:val="489D2DBB"/>
    <w:rsid w:val="489E0465"/>
    <w:rsid w:val="48AC5A6A"/>
    <w:rsid w:val="48B200D7"/>
    <w:rsid w:val="48C93BB0"/>
    <w:rsid w:val="48DA400F"/>
    <w:rsid w:val="48DD765B"/>
    <w:rsid w:val="48E21F99"/>
    <w:rsid w:val="48F80DA3"/>
    <w:rsid w:val="48F90270"/>
    <w:rsid w:val="49115DE0"/>
    <w:rsid w:val="491224CC"/>
    <w:rsid w:val="491D3EFC"/>
    <w:rsid w:val="49227764"/>
    <w:rsid w:val="492D05E3"/>
    <w:rsid w:val="492D2391"/>
    <w:rsid w:val="49302049"/>
    <w:rsid w:val="493D0864"/>
    <w:rsid w:val="4948541D"/>
    <w:rsid w:val="4954565F"/>
    <w:rsid w:val="495711BC"/>
    <w:rsid w:val="495D0A9A"/>
    <w:rsid w:val="49635DB3"/>
    <w:rsid w:val="49641B2B"/>
    <w:rsid w:val="49695393"/>
    <w:rsid w:val="497A134E"/>
    <w:rsid w:val="49830203"/>
    <w:rsid w:val="49864ADB"/>
    <w:rsid w:val="498E7955"/>
    <w:rsid w:val="499E328F"/>
    <w:rsid w:val="49A81A17"/>
    <w:rsid w:val="49B93C25"/>
    <w:rsid w:val="49F033BE"/>
    <w:rsid w:val="4A0D3F70"/>
    <w:rsid w:val="4A1103DE"/>
    <w:rsid w:val="4A201EF6"/>
    <w:rsid w:val="4A273284"/>
    <w:rsid w:val="4A2B252C"/>
    <w:rsid w:val="4A2D4613"/>
    <w:rsid w:val="4A34774F"/>
    <w:rsid w:val="4A3530A3"/>
    <w:rsid w:val="4A396B13"/>
    <w:rsid w:val="4A421E6C"/>
    <w:rsid w:val="4A446641"/>
    <w:rsid w:val="4A4A1E76"/>
    <w:rsid w:val="4A5977A3"/>
    <w:rsid w:val="4A6524F5"/>
    <w:rsid w:val="4A7A7858"/>
    <w:rsid w:val="4A8204BA"/>
    <w:rsid w:val="4A8B6E41"/>
    <w:rsid w:val="4A8F4564"/>
    <w:rsid w:val="4A9C6BF7"/>
    <w:rsid w:val="4A9D52F4"/>
    <w:rsid w:val="4AA25E4C"/>
    <w:rsid w:val="4AA743C5"/>
    <w:rsid w:val="4AAA6C0E"/>
    <w:rsid w:val="4AAE0B94"/>
    <w:rsid w:val="4AAE12AF"/>
    <w:rsid w:val="4ABA7D49"/>
    <w:rsid w:val="4AC442F9"/>
    <w:rsid w:val="4AC565F9"/>
    <w:rsid w:val="4AD8632C"/>
    <w:rsid w:val="4AE214A1"/>
    <w:rsid w:val="4AE41175"/>
    <w:rsid w:val="4AE7656F"/>
    <w:rsid w:val="4AEF234C"/>
    <w:rsid w:val="4AF64A04"/>
    <w:rsid w:val="4AFA2747"/>
    <w:rsid w:val="4AFF1B0B"/>
    <w:rsid w:val="4B005883"/>
    <w:rsid w:val="4B054C48"/>
    <w:rsid w:val="4B082C60"/>
    <w:rsid w:val="4B0D292E"/>
    <w:rsid w:val="4B1650A7"/>
    <w:rsid w:val="4B2E419E"/>
    <w:rsid w:val="4B35786E"/>
    <w:rsid w:val="4B3638F4"/>
    <w:rsid w:val="4B4B4B6F"/>
    <w:rsid w:val="4B4B6AFE"/>
    <w:rsid w:val="4B577B99"/>
    <w:rsid w:val="4B79324A"/>
    <w:rsid w:val="4B8B7CCC"/>
    <w:rsid w:val="4B9F6E4A"/>
    <w:rsid w:val="4BBA3C84"/>
    <w:rsid w:val="4BC15012"/>
    <w:rsid w:val="4BC32B39"/>
    <w:rsid w:val="4BE01F43"/>
    <w:rsid w:val="4BEA27BB"/>
    <w:rsid w:val="4BEB6533"/>
    <w:rsid w:val="4BEC6950"/>
    <w:rsid w:val="4BF076A6"/>
    <w:rsid w:val="4C0B44E0"/>
    <w:rsid w:val="4C0C0983"/>
    <w:rsid w:val="4C0F5D7E"/>
    <w:rsid w:val="4C160BE8"/>
    <w:rsid w:val="4C197801"/>
    <w:rsid w:val="4C215AB1"/>
    <w:rsid w:val="4C3E1446"/>
    <w:rsid w:val="4C5508D2"/>
    <w:rsid w:val="4C5639AD"/>
    <w:rsid w:val="4C6065D9"/>
    <w:rsid w:val="4C6B4F7E"/>
    <w:rsid w:val="4C765DFD"/>
    <w:rsid w:val="4C9A11B0"/>
    <w:rsid w:val="4C9B5863"/>
    <w:rsid w:val="4CAA5AA7"/>
    <w:rsid w:val="4CB6269D"/>
    <w:rsid w:val="4CD77A52"/>
    <w:rsid w:val="4D1653B4"/>
    <w:rsid w:val="4D2015B6"/>
    <w:rsid w:val="4D204806"/>
    <w:rsid w:val="4D241CFD"/>
    <w:rsid w:val="4D2A6BE7"/>
    <w:rsid w:val="4D3B2BA3"/>
    <w:rsid w:val="4D50664E"/>
    <w:rsid w:val="4D5107EB"/>
    <w:rsid w:val="4D5A127B"/>
    <w:rsid w:val="4D626381"/>
    <w:rsid w:val="4D7B7443"/>
    <w:rsid w:val="4D86669F"/>
    <w:rsid w:val="4D9549A9"/>
    <w:rsid w:val="4DA92202"/>
    <w:rsid w:val="4DA96BE8"/>
    <w:rsid w:val="4DB43081"/>
    <w:rsid w:val="4DCB2178"/>
    <w:rsid w:val="4DF47921"/>
    <w:rsid w:val="4E0336C0"/>
    <w:rsid w:val="4E0A1A3D"/>
    <w:rsid w:val="4E0A3CAD"/>
    <w:rsid w:val="4E303376"/>
    <w:rsid w:val="4E311EA0"/>
    <w:rsid w:val="4E316C78"/>
    <w:rsid w:val="4E465CA3"/>
    <w:rsid w:val="4E487C6D"/>
    <w:rsid w:val="4E50267E"/>
    <w:rsid w:val="4E54216E"/>
    <w:rsid w:val="4E597784"/>
    <w:rsid w:val="4E5B675C"/>
    <w:rsid w:val="4E5E14F5"/>
    <w:rsid w:val="4E61488B"/>
    <w:rsid w:val="4E666605"/>
    <w:rsid w:val="4E7C16C5"/>
    <w:rsid w:val="4E8862BB"/>
    <w:rsid w:val="4E89528B"/>
    <w:rsid w:val="4E8D742E"/>
    <w:rsid w:val="4EA96FD3"/>
    <w:rsid w:val="4EB2661A"/>
    <w:rsid w:val="4EBC5DD1"/>
    <w:rsid w:val="4ECB42B0"/>
    <w:rsid w:val="4EDB0370"/>
    <w:rsid w:val="4EDE5EDB"/>
    <w:rsid w:val="4EE07EA5"/>
    <w:rsid w:val="4EEE25C2"/>
    <w:rsid w:val="4EF072CB"/>
    <w:rsid w:val="4EFF657E"/>
    <w:rsid w:val="4F075432"/>
    <w:rsid w:val="4F0E1669"/>
    <w:rsid w:val="4F0F42E7"/>
    <w:rsid w:val="4F3B332E"/>
    <w:rsid w:val="4F6C05D2"/>
    <w:rsid w:val="4F716D4F"/>
    <w:rsid w:val="4F7505EE"/>
    <w:rsid w:val="4F764366"/>
    <w:rsid w:val="4F781E8C"/>
    <w:rsid w:val="4F896BE2"/>
    <w:rsid w:val="4F9071D6"/>
    <w:rsid w:val="4F9856EF"/>
    <w:rsid w:val="4FA03191"/>
    <w:rsid w:val="4FA84378"/>
    <w:rsid w:val="4FA92045"/>
    <w:rsid w:val="4FBA06F6"/>
    <w:rsid w:val="4FC6709B"/>
    <w:rsid w:val="4FC76DD2"/>
    <w:rsid w:val="4FCC3F86"/>
    <w:rsid w:val="4FD03A76"/>
    <w:rsid w:val="4FD73056"/>
    <w:rsid w:val="4FD86DCF"/>
    <w:rsid w:val="4FE414DF"/>
    <w:rsid w:val="4FED3E56"/>
    <w:rsid w:val="4FF37764"/>
    <w:rsid w:val="50016325"/>
    <w:rsid w:val="500425F1"/>
    <w:rsid w:val="500A342C"/>
    <w:rsid w:val="50102193"/>
    <w:rsid w:val="50140E65"/>
    <w:rsid w:val="50233805"/>
    <w:rsid w:val="502D0121"/>
    <w:rsid w:val="503C4576"/>
    <w:rsid w:val="504A7CCC"/>
    <w:rsid w:val="5060585A"/>
    <w:rsid w:val="50650BE1"/>
    <w:rsid w:val="50700DB5"/>
    <w:rsid w:val="50735668"/>
    <w:rsid w:val="507C3A71"/>
    <w:rsid w:val="50850D04"/>
    <w:rsid w:val="5097285B"/>
    <w:rsid w:val="50974594"/>
    <w:rsid w:val="50B60EBE"/>
    <w:rsid w:val="50BC3FFA"/>
    <w:rsid w:val="50C555A5"/>
    <w:rsid w:val="50CC06E1"/>
    <w:rsid w:val="50D21CD3"/>
    <w:rsid w:val="50F41509"/>
    <w:rsid w:val="50F7509A"/>
    <w:rsid w:val="50F9524E"/>
    <w:rsid w:val="510559A1"/>
    <w:rsid w:val="51087240"/>
    <w:rsid w:val="510D4493"/>
    <w:rsid w:val="510D4856"/>
    <w:rsid w:val="51165E00"/>
    <w:rsid w:val="511E6A63"/>
    <w:rsid w:val="5126535E"/>
    <w:rsid w:val="512C2F2E"/>
    <w:rsid w:val="512C5B76"/>
    <w:rsid w:val="512E6316"/>
    <w:rsid w:val="5144471C"/>
    <w:rsid w:val="51453FF0"/>
    <w:rsid w:val="51580123"/>
    <w:rsid w:val="51595605"/>
    <w:rsid w:val="515A6CAD"/>
    <w:rsid w:val="516F72BF"/>
    <w:rsid w:val="51736DAF"/>
    <w:rsid w:val="51A92181"/>
    <w:rsid w:val="51AB26EB"/>
    <w:rsid w:val="51AC0513"/>
    <w:rsid w:val="51B94B06"/>
    <w:rsid w:val="51B94BFE"/>
    <w:rsid w:val="51BF0246"/>
    <w:rsid w:val="51C21AE4"/>
    <w:rsid w:val="51C273F1"/>
    <w:rsid w:val="51CE66DB"/>
    <w:rsid w:val="51D535C6"/>
    <w:rsid w:val="51ED6B61"/>
    <w:rsid w:val="51F70A9E"/>
    <w:rsid w:val="522F1EB7"/>
    <w:rsid w:val="523522B6"/>
    <w:rsid w:val="524B34AD"/>
    <w:rsid w:val="52505E26"/>
    <w:rsid w:val="52561F30"/>
    <w:rsid w:val="52661111"/>
    <w:rsid w:val="52707184"/>
    <w:rsid w:val="527B1EA7"/>
    <w:rsid w:val="527D328E"/>
    <w:rsid w:val="527F55F3"/>
    <w:rsid w:val="52855B8B"/>
    <w:rsid w:val="52867C97"/>
    <w:rsid w:val="5288688A"/>
    <w:rsid w:val="529A036B"/>
    <w:rsid w:val="52C758DD"/>
    <w:rsid w:val="52CF44B9"/>
    <w:rsid w:val="52CF4F39"/>
    <w:rsid w:val="52D21886"/>
    <w:rsid w:val="52FA20C8"/>
    <w:rsid w:val="52FD05AC"/>
    <w:rsid w:val="53114AD1"/>
    <w:rsid w:val="531B5950"/>
    <w:rsid w:val="53215A1F"/>
    <w:rsid w:val="53220EB4"/>
    <w:rsid w:val="53371501"/>
    <w:rsid w:val="53395DD6"/>
    <w:rsid w:val="533B7DA0"/>
    <w:rsid w:val="53423689"/>
    <w:rsid w:val="53486019"/>
    <w:rsid w:val="535E583D"/>
    <w:rsid w:val="537D5CC3"/>
    <w:rsid w:val="538E1256"/>
    <w:rsid w:val="53984ED9"/>
    <w:rsid w:val="53A07F5B"/>
    <w:rsid w:val="53AD57D8"/>
    <w:rsid w:val="53B10062"/>
    <w:rsid w:val="53C64E08"/>
    <w:rsid w:val="53C71634"/>
    <w:rsid w:val="53CB055B"/>
    <w:rsid w:val="53D02297"/>
    <w:rsid w:val="53D84333"/>
    <w:rsid w:val="53DD0E57"/>
    <w:rsid w:val="53E73A84"/>
    <w:rsid w:val="53EE1FC3"/>
    <w:rsid w:val="53F71F19"/>
    <w:rsid w:val="53F817ED"/>
    <w:rsid w:val="541F781D"/>
    <w:rsid w:val="542F2B75"/>
    <w:rsid w:val="544A3465"/>
    <w:rsid w:val="545253A1"/>
    <w:rsid w:val="54532EC8"/>
    <w:rsid w:val="5454111A"/>
    <w:rsid w:val="54707F61"/>
    <w:rsid w:val="548B08B3"/>
    <w:rsid w:val="54907C78"/>
    <w:rsid w:val="54B020C8"/>
    <w:rsid w:val="54B72315"/>
    <w:rsid w:val="54BF27E0"/>
    <w:rsid w:val="54C17E31"/>
    <w:rsid w:val="54C96822"/>
    <w:rsid w:val="54D77655"/>
    <w:rsid w:val="54E4075C"/>
    <w:rsid w:val="54E51D72"/>
    <w:rsid w:val="54F2448F"/>
    <w:rsid w:val="551F4009"/>
    <w:rsid w:val="5552317F"/>
    <w:rsid w:val="55540CA5"/>
    <w:rsid w:val="556462A2"/>
    <w:rsid w:val="556900AC"/>
    <w:rsid w:val="556B3E84"/>
    <w:rsid w:val="558414D6"/>
    <w:rsid w:val="558D0E68"/>
    <w:rsid w:val="55DB13C7"/>
    <w:rsid w:val="55DC7EDE"/>
    <w:rsid w:val="55DD35FF"/>
    <w:rsid w:val="55E33CE2"/>
    <w:rsid w:val="55F81F79"/>
    <w:rsid w:val="55FD758F"/>
    <w:rsid w:val="560501F2"/>
    <w:rsid w:val="5608547E"/>
    <w:rsid w:val="56332FB1"/>
    <w:rsid w:val="56513437"/>
    <w:rsid w:val="565D3B8A"/>
    <w:rsid w:val="565F3DA6"/>
    <w:rsid w:val="566A47B5"/>
    <w:rsid w:val="567333AD"/>
    <w:rsid w:val="56763C45"/>
    <w:rsid w:val="567710EF"/>
    <w:rsid w:val="567809C3"/>
    <w:rsid w:val="567D5FDA"/>
    <w:rsid w:val="56847368"/>
    <w:rsid w:val="56912CAD"/>
    <w:rsid w:val="56916F31"/>
    <w:rsid w:val="569A6425"/>
    <w:rsid w:val="56AD2D63"/>
    <w:rsid w:val="56AD68BF"/>
    <w:rsid w:val="56B011C6"/>
    <w:rsid w:val="56B57E6A"/>
    <w:rsid w:val="56BB037A"/>
    <w:rsid w:val="56BD0B4B"/>
    <w:rsid w:val="56D7393C"/>
    <w:rsid w:val="56D952A8"/>
    <w:rsid w:val="56DD185F"/>
    <w:rsid w:val="571F7091"/>
    <w:rsid w:val="5721638E"/>
    <w:rsid w:val="572648C3"/>
    <w:rsid w:val="5730129E"/>
    <w:rsid w:val="57364B06"/>
    <w:rsid w:val="57575742"/>
    <w:rsid w:val="57601CC1"/>
    <w:rsid w:val="576163A7"/>
    <w:rsid w:val="576C677A"/>
    <w:rsid w:val="576F7202"/>
    <w:rsid w:val="57715B3F"/>
    <w:rsid w:val="57744C6A"/>
    <w:rsid w:val="577B076B"/>
    <w:rsid w:val="57811AFA"/>
    <w:rsid w:val="579B6372"/>
    <w:rsid w:val="57A10A2A"/>
    <w:rsid w:val="57AD15AC"/>
    <w:rsid w:val="57B33959"/>
    <w:rsid w:val="57B41ECF"/>
    <w:rsid w:val="57B819BF"/>
    <w:rsid w:val="57C87729"/>
    <w:rsid w:val="57E74053"/>
    <w:rsid w:val="57E91811"/>
    <w:rsid w:val="580249E9"/>
    <w:rsid w:val="580746F5"/>
    <w:rsid w:val="5819149E"/>
    <w:rsid w:val="582157B7"/>
    <w:rsid w:val="583F3E8F"/>
    <w:rsid w:val="585316E8"/>
    <w:rsid w:val="58692CBA"/>
    <w:rsid w:val="587C516F"/>
    <w:rsid w:val="58895504"/>
    <w:rsid w:val="588E4EF2"/>
    <w:rsid w:val="58906498"/>
    <w:rsid w:val="589870FB"/>
    <w:rsid w:val="58996734"/>
    <w:rsid w:val="589C6BEB"/>
    <w:rsid w:val="58A23A9D"/>
    <w:rsid w:val="58A576D9"/>
    <w:rsid w:val="58B7441E"/>
    <w:rsid w:val="58B77EC9"/>
    <w:rsid w:val="58BE6234"/>
    <w:rsid w:val="58DB0841"/>
    <w:rsid w:val="58EB7B73"/>
    <w:rsid w:val="58F702C5"/>
    <w:rsid w:val="5915699E"/>
    <w:rsid w:val="59266203"/>
    <w:rsid w:val="592A5EBB"/>
    <w:rsid w:val="5934497A"/>
    <w:rsid w:val="594061B2"/>
    <w:rsid w:val="59461DD0"/>
    <w:rsid w:val="594F3C5E"/>
    <w:rsid w:val="5955323E"/>
    <w:rsid w:val="59710078"/>
    <w:rsid w:val="597620AC"/>
    <w:rsid w:val="597E2795"/>
    <w:rsid w:val="598A113A"/>
    <w:rsid w:val="59957628"/>
    <w:rsid w:val="59A52395"/>
    <w:rsid w:val="59C311DD"/>
    <w:rsid w:val="59CF1242"/>
    <w:rsid w:val="59E051FD"/>
    <w:rsid w:val="59E9479F"/>
    <w:rsid w:val="59EF2471"/>
    <w:rsid w:val="5A021334"/>
    <w:rsid w:val="5A047F49"/>
    <w:rsid w:val="5A0F0D7C"/>
    <w:rsid w:val="5A1074F0"/>
    <w:rsid w:val="5A20384C"/>
    <w:rsid w:val="5A2B5B8B"/>
    <w:rsid w:val="5A2C4C2E"/>
    <w:rsid w:val="5A443759"/>
    <w:rsid w:val="5A504131"/>
    <w:rsid w:val="5A53409C"/>
    <w:rsid w:val="5A5F6B23"/>
    <w:rsid w:val="5A751DEA"/>
    <w:rsid w:val="5A767846"/>
    <w:rsid w:val="5A796900"/>
    <w:rsid w:val="5A821E11"/>
    <w:rsid w:val="5A89142A"/>
    <w:rsid w:val="5A8E4C59"/>
    <w:rsid w:val="5A8E6A07"/>
    <w:rsid w:val="5A9D2038"/>
    <w:rsid w:val="5AA93841"/>
    <w:rsid w:val="5AB67D0C"/>
    <w:rsid w:val="5ABA15AB"/>
    <w:rsid w:val="5ABA5A4E"/>
    <w:rsid w:val="5ACC12DE"/>
    <w:rsid w:val="5ADA1C4D"/>
    <w:rsid w:val="5ADF7263"/>
    <w:rsid w:val="5AE825BC"/>
    <w:rsid w:val="5AF01470"/>
    <w:rsid w:val="5B013D9A"/>
    <w:rsid w:val="5B081706"/>
    <w:rsid w:val="5B0A163F"/>
    <w:rsid w:val="5B215ACE"/>
    <w:rsid w:val="5B2D6220"/>
    <w:rsid w:val="5B3A7026"/>
    <w:rsid w:val="5B5B2AF0"/>
    <w:rsid w:val="5B5E287E"/>
    <w:rsid w:val="5B5F2152"/>
    <w:rsid w:val="5B751975"/>
    <w:rsid w:val="5B7976B8"/>
    <w:rsid w:val="5B8F2A37"/>
    <w:rsid w:val="5BA11EA0"/>
    <w:rsid w:val="5BA67D81"/>
    <w:rsid w:val="5BAF6C35"/>
    <w:rsid w:val="5BB22BCA"/>
    <w:rsid w:val="5BB36316"/>
    <w:rsid w:val="5BB914B7"/>
    <w:rsid w:val="5BDB3ECE"/>
    <w:rsid w:val="5BF154A0"/>
    <w:rsid w:val="5BF84A80"/>
    <w:rsid w:val="5BFF1E2F"/>
    <w:rsid w:val="5C077606"/>
    <w:rsid w:val="5C1178F0"/>
    <w:rsid w:val="5C1361D5"/>
    <w:rsid w:val="5C1473E0"/>
    <w:rsid w:val="5C215E67"/>
    <w:rsid w:val="5C2313D1"/>
    <w:rsid w:val="5C277114"/>
    <w:rsid w:val="5C2E4226"/>
    <w:rsid w:val="5C3435DF"/>
    <w:rsid w:val="5C3D5B14"/>
    <w:rsid w:val="5C436AE6"/>
    <w:rsid w:val="5C4C26D6"/>
    <w:rsid w:val="5C50291B"/>
    <w:rsid w:val="5C52112B"/>
    <w:rsid w:val="5C693288"/>
    <w:rsid w:val="5C734107"/>
    <w:rsid w:val="5C761E49"/>
    <w:rsid w:val="5C8E0F41"/>
    <w:rsid w:val="5CA14A72"/>
    <w:rsid w:val="5CBA1D36"/>
    <w:rsid w:val="5CC15BA8"/>
    <w:rsid w:val="5CD35D81"/>
    <w:rsid w:val="5CEB1E33"/>
    <w:rsid w:val="5CF0370F"/>
    <w:rsid w:val="5CF74D38"/>
    <w:rsid w:val="5CF80AB0"/>
    <w:rsid w:val="5D047455"/>
    <w:rsid w:val="5D280130"/>
    <w:rsid w:val="5D2C6636"/>
    <w:rsid w:val="5D2D075A"/>
    <w:rsid w:val="5D375134"/>
    <w:rsid w:val="5D493C71"/>
    <w:rsid w:val="5D574E27"/>
    <w:rsid w:val="5D600B2F"/>
    <w:rsid w:val="5D620868"/>
    <w:rsid w:val="5D842D60"/>
    <w:rsid w:val="5D8440F2"/>
    <w:rsid w:val="5D861C18"/>
    <w:rsid w:val="5D8B5480"/>
    <w:rsid w:val="5D8F6D1E"/>
    <w:rsid w:val="5DAF75FB"/>
    <w:rsid w:val="5DB76275"/>
    <w:rsid w:val="5DBC1ADE"/>
    <w:rsid w:val="5DC032B6"/>
    <w:rsid w:val="5DC0337C"/>
    <w:rsid w:val="5DD07337"/>
    <w:rsid w:val="5DD2346A"/>
    <w:rsid w:val="5DDC3F2E"/>
    <w:rsid w:val="5DDC7A8A"/>
    <w:rsid w:val="5DE0528B"/>
    <w:rsid w:val="5DE3706A"/>
    <w:rsid w:val="5DE51034"/>
    <w:rsid w:val="5DE74B63"/>
    <w:rsid w:val="5DE828D3"/>
    <w:rsid w:val="5DEF5A0F"/>
    <w:rsid w:val="5E013039"/>
    <w:rsid w:val="5E1C257C"/>
    <w:rsid w:val="5E1C3507"/>
    <w:rsid w:val="5E345B18"/>
    <w:rsid w:val="5E362182"/>
    <w:rsid w:val="5E40270F"/>
    <w:rsid w:val="5E4A70E9"/>
    <w:rsid w:val="5E4C7C74"/>
    <w:rsid w:val="5E60182E"/>
    <w:rsid w:val="5E6B6AE0"/>
    <w:rsid w:val="5E6D2B75"/>
    <w:rsid w:val="5E7A7A56"/>
    <w:rsid w:val="5E80566A"/>
    <w:rsid w:val="5E89623A"/>
    <w:rsid w:val="5EB05989"/>
    <w:rsid w:val="5EB44459"/>
    <w:rsid w:val="5ECB1217"/>
    <w:rsid w:val="5ED46936"/>
    <w:rsid w:val="5F0000B3"/>
    <w:rsid w:val="5F061262"/>
    <w:rsid w:val="5F17797C"/>
    <w:rsid w:val="5F217E4A"/>
    <w:rsid w:val="5F3E6C4E"/>
    <w:rsid w:val="5F434264"/>
    <w:rsid w:val="5F4F2C57"/>
    <w:rsid w:val="5F597808"/>
    <w:rsid w:val="5F5D2E4C"/>
    <w:rsid w:val="5F622211"/>
    <w:rsid w:val="5F727C31"/>
    <w:rsid w:val="5F815A64"/>
    <w:rsid w:val="5F84662B"/>
    <w:rsid w:val="5F864151"/>
    <w:rsid w:val="5F8959EF"/>
    <w:rsid w:val="5FBC5DC5"/>
    <w:rsid w:val="5FC44C79"/>
    <w:rsid w:val="5FD90725"/>
    <w:rsid w:val="5FDB441B"/>
    <w:rsid w:val="5FDC68EE"/>
    <w:rsid w:val="5FE33352"/>
    <w:rsid w:val="5FE67A3B"/>
    <w:rsid w:val="5FEA2B00"/>
    <w:rsid w:val="5FFC6958"/>
    <w:rsid w:val="600A6F7B"/>
    <w:rsid w:val="60194FC5"/>
    <w:rsid w:val="601B0D3D"/>
    <w:rsid w:val="602A2D2E"/>
    <w:rsid w:val="6045400C"/>
    <w:rsid w:val="605B1F45"/>
    <w:rsid w:val="605B3830"/>
    <w:rsid w:val="605F714B"/>
    <w:rsid w:val="606F4BE5"/>
    <w:rsid w:val="60717F67"/>
    <w:rsid w:val="60765F74"/>
    <w:rsid w:val="60A019A8"/>
    <w:rsid w:val="60A204FC"/>
    <w:rsid w:val="60B21ED9"/>
    <w:rsid w:val="60B3629D"/>
    <w:rsid w:val="60B979BA"/>
    <w:rsid w:val="60BD394A"/>
    <w:rsid w:val="60C6064A"/>
    <w:rsid w:val="60CB5FAF"/>
    <w:rsid w:val="60CC028A"/>
    <w:rsid w:val="60EE0200"/>
    <w:rsid w:val="60EE6452"/>
    <w:rsid w:val="60FD3DA2"/>
    <w:rsid w:val="61023CAB"/>
    <w:rsid w:val="61037A48"/>
    <w:rsid w:val="610619ED"/>
    <w:rsid w:val="610F0176"/>
    <w:rsid w:val="61194124"/>
    <w:rsid w:val="612C2AD6"/>
    <w:rsid w:val="61390DAF"/>
    <w:rsid w:val="6151078F"/>
    <w:rsid w:val="61602D37"/>
    <w:rsid w:val="61627771"/>
    <w:rsid w:val="61792426"/>
    <w:rsid w:val="617D1584"/>
    <w:rsid w:val="617F354E"/>
    <w:rsid w:val="618C33C7"/>
    <w:rsid w:val="61930DA7"/>
    <w:rsid w:val="619B5D06"/>
    <w:rsid w:val="619C1A0A"/>
    <w:rsid w:val="619D39D4"/>
    <w:rsid w:val="619F774C"/>
    <w:rsid w:val="61AD00BB"/>
    <w:rsid w:val="61B2747F"/>
    <w:rsid w:val="61BA6334"/>
    <w:rsid w:val="61D07906"/>
    <w:rsid w:val="61E32DBB"/>
    <w:rsid w:val="61F24D3A"/>
    <w:rsid w:val="61F5214B"/>
    <w:rsid w:val="620B093E"/>
    <w:rsid w:val="621517BC"/>
    <w:rsid w:val="622639C9"/>
    <w:rsid w:val="622D4D58"/>
    <w:rsid w:val="622F0AD0"/>
    <w:rsid w:val="62344338"/>
    <w:rsid w:val="623460E6"/>
    <w:rsid w:val="62352BA5"/>
    <w:rsid w:val="62385584"/>
    <w:rsid w:val="624327CD"/>
    <w:rsid w:val="625A27F4"/>
    <w:rsid w:val="626369CC"/>
    <w:rsid w:val="627B5AC3"/>
    <w:rsid w:val="6280757E"/>
    <w:rsid w:val="62830E1C"/>
    <w:rsid w:val="628D3A49"/>
    <w:rsid w:val="62944DD7"/>
    <w:rsid w:val="62952802"/>
    <w:rsid w:val="62987560"/>
    <w:rsid w:val="62A47F47"/>
    <w:rsid w:val="62A866D0"/>
    <w:rsid w:val="62B334AF"/>
    <w:rsid w:val="62D2651B"/>
    <w:rsid w:val="62FD6D18"/>
    <w:rsid w:val="63247F09"/>
    <w:rsid w:val="63343EC4"/>
    <w:rsid w:val="633641A9"/>
    <w:rsid w:val="63497970"/>
    <w:rsid w:val="635F3637"/>
    <w:rsid w:val="63616E1F"/>
    <w:rsid w:val="63780255"/>
    <w:rsid w:val="637B32A0"/>
    <w:rsid w:val="638154BC"/>
    <w:rsid w:val="63862972"/>
    <w:rsid w:val="639E415F"/>
    <w:rsid w:val="63A252D2"/>
    <w:rsid w:val="63A728E8"/>
    <w:rsid w:val="63A92B04"/>
    <w:rsid w:val="63B514A9"/>
    <w:rsid w:val="63B87698"/>
    <w:rsid w:val="63C217BE"/>
    <w:rsid w:val="63C56DD7"/>
    <w:rsid w:val="63D21BA2"/>
    <w:rsid w:val="63DD7FB4"/>
    <w:rsid w:val="63EA73A4"/>
    <w:rsid w:val="63ED29F1"/>
    <w:rsid w:val="63EE5069"/>
    <w:rsid w:val="63EF0A7A"/>
    <w:rsid w:val="640146EE"/>
    <w:rsid w:val="640E2AC9"/>
    <w:rsid w:val="641A26A3"/>
    <w:rsid w:val="642433EE"/>
    <w:rsid w:val="642A77A1"/>
    <w:rsid w:val="642B52C7"/>
    <w:rsid w:val="64322AF9"/>
    <w:rsid w:val="643C1F10"/>
    <w:rsid w:val="64502F80"/>
    <w:rsid w:val="64556529"/>
    <w:rsid w:val="645C1924"/>
    <w:rsid w:val="64805613"/>
    <w:rsid w:val="6484465D"/>
    <w:rsid w:val="649F4010"/>
    <w:rsid w:val="64AD2180"/>
    <w:rsid w:val="64B17EC2"/>
    <w:rsid w:val="64B8612D"/>
    <w:rsid w:val="64C86FBA"/>
    <w:rsid w:val="64C9690B"/>
    <w:rsid w:val="64DE058B"/>
    <w:rsid w:val="64E02CD6"/>
    <w:rsid w:val="64E2007C"/>
    <w:rsid w:val="64ED58B2"/>
    <w:rsid w:val="64F25DE5"/>
    <w:rsid w:val="64FD3107"/>
    <w:rsid w:val="6502595C"/>
    <w:rsid w:val="651144BD"/>
    <w:rsid w:val="6511762F"/>
    <w:rsid w:val="651462E4"/>
    <w:rsid w:val="651B358E"/>
    <w:rsid w:val="652040E9"/>
    <w:rsid w:val="653C4434"/>
    <w:rsid w:val="65402FF4"/>
    <w:rsid w:val="654B34DE"/>
    <w:rsid w:val="656B0071"/>
    <w:rsid w:val="657607C4"/>
    <w:rsid w:val="658C6239"/>
    <w:rsid w:val="65907AD8"/>
    <w:rsid w:val="6598698C"/>
    <w:rsid w:val="659D21F5"/>
    <w:rsid w:val="65B35574"/>
    <w:rsid w:val="65C92FEA"/>
    <w:rsid w:val="65DC0F6F"/>
    <w:rsid w:val="65FB7EDE"/>
    <w:rsid w:val="66042274"/>
    <w:rsid w:val="660C45AF"/>
    <w:rsid w:val="6616366F"/>
    <w:rsid w:val="66187ACD"/>
    <w:rsid w:val="661C6631"/>
    <w:rsid w:val="6635067F"/>
    <w:rsid w:val="6646463A"/>
    <w:rsid w:val="66524D8D"/>
    <w:rsid w:val="666201E1"/>
    <w:rsid w:val="66690A2A"/>
    <w:rsid w:val="666A0329"/>
    <w:rsid w:val="666A6538"/>
    <w:rsid w:val="66855163"/>
    <w:rsid w:val="668A2779"/>
    <w:rsid w:val="668E3AB2"/>
    <w:rsid w:val="6692787F"/>
    <w:rsid w:val="66A3383B"/>
    <w:rsid w:val="66AF21DF"/>
    <w:rsid w:val="66B47C99"/>
    <w:rsid w:val="66C60364"/>
    <w:rsid w:val="66C72D3F"/>
    <w:rsid w:val="66D6776C"/>
    <w:rsid w:val="66F9345B"/>
    <w:rsid w:val="66FB3353"/>
    <w:rsid w:val="670F7122"/>
    <w:rsid w:val="671834D3"/>
    <w:rsid w:val="67234DD0"/>
    <w:rsid w:val="672648AB"/>
    <w:rsid w:val="6727621A"/>
    <w:rsid w:val="672A5D0A"/>
    <w:rsid w:val="673C6D62"/>
    <w:rsid w:val="674C5C80"/>
    <w:rsid w:val="674D3FDA"/>
    <w:rsid w:val="674F751F"/>
    <w:rsid w:val="675D015A"/>
    <w:rsid w:val="67650AF0"/>
    <w:rsid w:val="67656D42"/>
    <w:rsid w:val="676818C8"/>
    <w:rsid w:val="676C6322"/>
    <w:rsid w:val="67872BFA"/>
    <w:rsid w:val="678A09AE"/>
    <w:rsid w:val="678E0C51"/>
    <w:rsid w:val="67AE06E9"/>
    <w:rsid w:val="67AE693B"/>
    <w:rsid w:val="67B20F17"/>
    <w:rsid w:val="67C41E9D"/>
    <w:rsid w:val="67C5586F"/>
    <w:rsid w:val="67DA78C1"/>
    <w:rsid w:val="67DC5256"/>
    <w:rsid w:val="67DD2D7C"/>
    <w:rsid w:val="67E0175C"/>
    <w:rsid w:val="67EE31DB"/>
    <w:rsid w:val="67FC76A6"/>
    <w:rsid w:val="67FD341E"/>
    <w:rsid w:val="68040309"/>
    <w:rsid w:val="68064081"/>
    <w:rsid w:val="680C0F4D"/>
    <w:rsid w:val="68122D2C"/>
    <w:rsid w:val="681349F0"/>
    <w:rsid w:val="681D13CB"/>
    <w:rsid w:val="682E21BB"/>
    <w:rsid w:val="684D1CB0"/>
    <w:rsid w:val="686452FE"/>
    <w:rsid w:val="68684D3C"/>
    <w:rsid w:val="68751233"/>
    <w:rsid w:val="687731D1"/>
    <w:rsid w:val="6884144A"/>
    <w:rsid w:val="68BE7878"/>
    <w:rsid w:val="68D4417F"/>
    <w:rsid w:val="68E17CB6"/>
    <w:rsid w:val="68F264B9"/>
    <w:rsid w:val="690A7750"/>
    <w:rsid w:val="69163DEC"/>
    <w:rsid w:val="69203757"/>
    <w:rsid w:val="69456E2B"/>
    <w:rsid w:val="694A4441"/>
    <w:rsid w:val="69616496"/>
    <w:rsid w:val="696D5B26"/>
    <w:rsid w:val="69804622"/>
    <w:rsid w:val="69AB1384"/>
    <w:rsid w:val="69BD1BAC"/>
    <w:rsid w:val="69C75644"/>
    <w:rsid w:val="69DB357E"/>
    <w:rsid w:val="69E44896"/>
    <w:rsid w:val="69E81F11"/>
    <w:rsid w:val="69F858D1"/>
    <w:rsid w:val="69FA19C4"/>
    <w:rsid w:val="6A0060FB"/>
    <w:rsid w:val="6A127BEA"/>
    <w:rsid w:val="6A214BB1"/>
    <w:rsid w:val="6A266C5C"/>
    <w:rsid w:val="6A275BCC"/>
    <w:rsid w:val="6A2C2E12"/>
    <w:rsid w:val="6A2E78BF"/>
    <w:rsid w:val="6A5E5D8A"/>
    <w:rsid w:val="6A647785"/>
    <w:rsid w:val="6A890F99"/>
    <w:rsid w:val="6A8D2838"/>
    <w:rsid w:val="6A90057A"/>
    <w:rsid w:val="6A9E67F3"/>
    <w:rsid w:val="6AA1390F"/>
    <w:rsid w:val="6AA33E09"/>
    <w:rsid w:val="6ABA4652"/>
    <w:rsid w:val="6ADC37BF"/>
    <w:rsid w:val="6AE12B83"/>
    <w:rsid w:val="6B00125C"/>
    <w:rsid w:val="6B0074AE"/>
    <w:rsid w:val="6B1747F7"/>
    <w:rsid w:val="6B4E7B4D"/>
    <w:rsid w:val="6B594E10"/>
    <w:rsid w:val="6B79100E"/>
    <w:rsid w:val="6B7B1AB7"/>
    <w:rsid w:val="6B7E562D"/>
    <w:rsid w:val="6B966935"/>
    <w:rsid w:val="6B985938"/>
    <w:rsid w:val="6B9B2D32"/>
    <w:rsid w:val="6BBD4198"/>
    <w:rsid w:val="6BF1329A"/>
    <w:rsid w:val="6BF32B6E"/>
    <w:rsid w:val="6C046B2A"/>
    <w:rsid w:val="6C224DB0"/>
    <w:rsid w:val="6C402AD4"/>
    <w:rsid w:val="6C4433CA"/>
    <w:rsid w:val="6C567519"/>
    <w:rsid w:val="6C5A0E3F"/>
    <w:rsid w:val="6C603441"/>
    <w:rsid w:val="6C614ED9"/>
    <w:rsid w:val="6C755C79"/>
    <w:rsid w:val="6C8B724B"/>
    <w:rsid w:val="6CAE4CE7"/>
    <w:rsid w:val="6CD56718"/>
    <w:rsid w:val="6CED5810"/>
    <w:rsid w:val="6CEE3336"/>
    <w:rsid w:val="6D081D21"/>
    <w:rsid w:val="6D093E64"/>
    <w:rsid w:val="6D1669C9"/>
    <w:rsid w:val="6D396CA7"/>
    <w:rsid w:val="6D4A2C62"/>
    <w:rsid w:val="6D535020"/>
    <w:rsid w:val="6D5F26FE"/>
    <w:rsid w:val="6D72643A"/>
    <w:rsid w:val="6D743835"/>
    <w:rsid w:val="6D7E290C"/>
    <w:rsid w:val="6D866B34"/>
    <w:rsid w:val="6D8B6DD7"/>
    <w:rsid w:val="6D9E6B0A"/>
    <w:rsid w:val="6DA560EA"/>
    <w:rsid w:val="6DAD31F1"/>
    <w:rsid w:val="6DC91D55"/>
    <w:rsid w:val="6DE94229"/>
    <w:rsid w:val="6DF43D24"/>
    <w:rsid w:val="6DFD7CD4"/>
    <w:rsid w:val="6DFE57FA"/>
    <w:rsid w:val="6E0A02F8"/>
    <w:rsid w:val="6E0E1EE1"/>
    <w:rsid w:val="6E184B0E"/>
    <w:rsid w:val="6E2A65EF"/>
    <w:rsid w:val="6E2C2368"/>
    <w:rsid w:val="6E2D74A0"/>
    <w:rsid w:val="6E386F5E"/>
    <w:rsid w:val="6E3D33F0"/>
    <w:rsid w:val="6E62222D"/>
    <w:rsid w:val="6E677844"/>
    <w:rsid w:val="6E6C4E5A"/>
    <w:rsid w:val="6E8757F0"/>
    <w:rsid w:val="6E895A0C"/>
    <w:rsid w:val="6E906D9A"/>
    <w:rsid w:val="6E9248C1"/>
    <w:rsid w:val="6E9323E7"/>
    <w:rsid w:val="6E9711BB"/>
    <w:rsid w:val="6EA14B04"/>
    <w:rsid w:val="6EB66D7A"/>
    <w:rsid w:val="6EBA5CD6"/>
    <w:rsid w:val="6EDA5B74"/>
    <w:rsid w:val="6EDC41D0"/>
    <w:rsid w:val="6EE21EE5"/>
    <w:rsid w:val="6EF35205"/>
    <w:rsid w:val="6EFA4F61"/>
    <w:rsid w:val="6F06705D"/>
    <w:rsid w:val="6F110326"/>
    <w:rsid w:val="6F2B261F"/>
    <w:rsid w:val="6F305E87"/>
    <w:rsid w:val="6F413F9E"/>
    <w:rsid w:val="6F433E0D"/>
    <w:rsid w:val="6F623C15"/>
    <w:rsid w:val="6F65183F"/>
    <w:rsid w:val="6F6713A5"/>
    <w:rsid w:val="6F803E5F"/>
    <w:rsid w:val="6F9009F2"/>
    <w:rsid w:val="6F991AB0"/>
    <w:rsid w:val="6F992D6E"/>
    <w:rsid w:val="6F997ED1"/>
    <w:rsid w:val="6FA0300D"/>
    <w:rsid w:val="6FB70357"/>
    <w:rsid w:val="6FB77026"/>
    <w:rsid w:val="6FD437A3"/>
    <w:rsid w:val="6FE23626"/>
    <w:rsid w:val="6FF17897"/>
    <w:rsid w:val="700451CA"/>
    <w:rsid w:val="70093638"/>
    <w:rsid w:val="7023779A"/>
    <w:rsid w:val="70497DDE"/>
    <w:rsid w:val="705067E1"/>
    <w:rsid w:val="70541114"/>
    <w:rsid w:val="7058027F"/>
    <w:rsid w:val="705C2D71"/>
    <w:rsid w:val="705E5FAE"/>
    <w:rsid w:val="70657DB3"/>
    <w:rsid w:val="70662AEE"/>
    <w:rsid w:val="706F478E"/>
    <w:rsid w:val="70763D6E"/>
    <w:rsid w:val="70AB3A18"/>
    <w:rsid w:val="70AF20BB"/>
    <w:rsid w:val="70E60EF4"/>
    <w:rsid w:val="70EE65C3"/>
    <w:rsid w:val="70F27898"/>
    <w:rsid w:val="70FD2958"/>
    <w:rsid w:val="710B2708"/>
    <w:rsid w:val="71121CE9"/>
    <w:rsid w:val="711315BD"/>
    <w:rsid w:val="712F3296"/>
    <w:rsid w:val="71325523"/>
    <w:rsid w:val="7137174F"/>
    <w:rsid w:val="713734FD"/>
    <w:rsid w:val="71436346"/>
    <w:rsid w:val="714A1482"/>
    <w:rsid w:val="7169267E"/>
    <w:rsid w:val="71830ADA"/>
    <w:rsid w:val="71867FE1"/>
    <w:rsid w:val="71886C5B"/>
    <w:rsid w:val="719A54CD"/>
    <w:rsid w:val="71B669E9"/>
    <w:rsid w:val="71CC00E9"/>
    <w:rsid w:val="71D8554E"/>
    <w:rsid w:val="71ED1E3D"/>
    <w:rsid w:val="720535FB"/>
    <w:rsid w:val="72165809"/>
    <w:rsid w:val="72197896"/>
    <w:rsid w:val="721C21E3"/>
    <w:rsid w:val="72292A47"/>
    <w:rsid w:val="723712F3"/>
    <w:rsid w:val="723B0DCB"/>
    <w:rsid w:val="723F3094"/>
    <w:rsid w:val="7251239D"/>
    <w:rsid w:val="726263F7"/>
    <w:rsid w:val="726E117A"/>
    <w:rsid w:val="727D13E4"/>
    <w:rsid w:val="727F7D1F"/>
    <w:rsid w:val="72813FCE"/>
    <w:rsid w:val="72864979"/>
    <w:rsid w:val="729055BB"/>
    <w:rsid w:val="72907369"/>
    <w:rsid w:val="72947C6C"/>
    <w:rsid w:val="72966949"/>
    <w:rsid w:val="729A1F96"/>
    <w:rsid w:val="72AB5F51"/>
    <w:rsid w:val="72AD01E7"/>
    <w:rsid w:val="72BD3ED6"/>
    <w:rsid w:val="72C2329A"/>
    <w:rsid w:val="72D82ABE"/>
    <w:rsid w:val="72DD1E82"/>
    <w:rsid w:val="72E41781"/>
    <w:rsid w:val="72E72D01"/>
    <w:rsid w:val="72F9439B"/>
    <w:rsid w:val="73076EFF"/>
    <w:rsid w:val="73087A94"/>
    <w:rsid w:val="73090EC9"/>
    <w:rsid w:val="730C419D"/>
    <w:rsid w:val="73375A36"/>
    <w:rsid w:val="73560B09"/>
    <w:rsid w:val="736034A3"/>
    <w:rsid w:val="736765E1"/>
    <w:rsid w:val="736A58EB"/>
    <w:rsid w:val="73763B11"/>
    <w:rsid w:val="73774342"/>
    <w:rsid w:val="737A1DC7"/>
    <w:rsid w:val="737A3B75"/>
    <w:rsid w:val="73807BB1"/>
    <w:rsid w:val="7386076C"/>
    <w:rsid w:val="73931E95"/>
    <w:rsid w:val="73A45F33"/>
    <w:rsid w:val="73D2750D"/>
    <w:rsid w:val="73DB0AB8"/>
    <w:rsid w:val="73F70285"/>
    <w:rsid w:val="73F71F01"/>
    <w:rsid w:val="740C594F"/>
    <w:rsid w:val="740F250F"/>
    <w:rsid w:val="741B7106"/>
    <w:rsid w:val="74381A66"/>
    <w:rsid w:val="744021FE"/>
    <w:rsid w:val="74416441"/>
    <w:rsid w:val="744321B9"/>
    <w:rsid w:val="744A565E"/>
    <w:rsid w:val="745E5245"/>
    <w:rsid w:val="745F73BA"/>
    <w:rsid w:val="74661A33"/>
    <w:rsid w:val="74710F84"/>
    <w:rsid w:val="7476258E"/>
    <w:rsid w:val="74784559"/>
    <w:rsid w:val="749A7DB8"/>
    <w:rsid w:val="74A7406B"/>
    <w:rsid w:val="74BC07FE"/>
    <w:rsid w:val="74BF331C"/>
    <w:rsid w:val="74C02BBA"/>
    <w:rsid w:val="74CA2570"/>
    <w:rsid w:val="74CC6652"/>
    <w:rsid w:val="74D15A17"/>
    <w:rsid w:val="74D3353D"/>
    <w:rsid w:val="74DF1EE2"/>
    <w:rsid w:val="74E24DC3"/>
    <w:rsid w:val="750951B1"/>
    <w:rsid w:val="751C23A3"/>
    <w:rsid w:val="75276647"/>
    <w:rsid w:val="753164B5"/>
    <w:rsid w:val="75497CA3"/>
    <w:rsid w:val="75581C94"/>
    <w:rsid w:val="755F1275"/>
    <w:rsid w:val="756C079A"/>
    <w:rsid w:val="75794EF7"/>
    <w:rsid w:val="75840CDB"/>
    <w:rsid w:val="758B3E18"/>
    <w:rsid w:val="75CC24FC"/>
    <w:rsid w:val="75E35A02"/>
    <w:rsid w:val="7601193B"/>
    <w:rsid w:val="76124539"/>
    <w:rsid w:val="7629361F"/>
    <w:rsid w:val="762D4ECF"/>
    <w:rsid w:val="7634625D"/>
    <w:rsid w:val="764364A0"/>
    <w:rsid w:val="765E152C"/>
    <w:rsid w:val="766B456D"/>
    <w:rsid w:val="766F663D"/>
    <w:rsid w:val="7673727F"/>
    <w:rsid w:val="767841AD"/>
    <w:rsid w:val="767E1B7C"/>
    <w:rsid w:val="768F5B89"/>
    <w:rsid w:val="76966F18"/>
    <w:rsid w:val="76C57E47"/>
    <w:rsid w:val="76CD220E"/>
    <w:rsid w:val="76E22F47"/>
    <w:rsid w:val="76E539FB"/>
    <w:rsid w:val="76F37EC6"/>
    <w:rsid w:val="77054E89"/>
    <w:rsid w:val="77147E3D"/>
    <w:rsid w:val="771D38F3"/>
    <w:rsid w:val="772E0EFE"/>
    <w:rsid w:val="77305407"/>
    <w:rsid w:val="77356731"/>
    <w:rsid w:val="774510F2"/>
    <w:rsid w:val="774D18BF"/>
    <w:rsid w:val="77590890"/>
    <w:rsid w:val="775F730A"/>
    <w:rsid w:val="77732DB5"/>
    <w:rsid w:val="77792A80"/>
    <w:rsid w:val="779C05CF"/>
    <w:rsid w:val="77B238DE"/>
    <w:rsid w:val="77B64899"/>
    <w:rsid w:val="77B92EBE"/>
    <w:rsid w:val="77BF424C"/>
    <w:rsid w:val="77C51F09"/>
    <w:rsid w:val="77DC095A"/>
    <w:rsid w:val="77E027F0"/>
    <w:rsid w:val="77E85551"/>
    <w:rsid w:val="77F57C6E"/>
    <w:rsid w:val="77FA5285"/>
    <w:rsid w:val="780966DA"/>
    <w:rsid w:val="78191BAF"/>
    <w:rsid w:val="781B3425"/>
    <w:rsid w:val="78274E68"/>
    <w:rsid w:val="784B5AE0"/>
    <w:rsid w:val="784E3C31"/>
    <w:rsid w:val="785A70F2"/>
    <w:rsid w:val="78922417"/>
    <w:rsid w:val="78941235"/>
    <w:rsid w:val="78A21BA4"/>
    <w:rsid w:val="78A51694"/>
    <w:rsid w:val="78AB5563"/>
    <w:rsid w:val="78BC253A"/>
    <w:rsid w:val="78BE62B2"/>
    <w:rsid w:val="78BF7A4D"/>
    <w:rsid w:val="78CE5A4F"/>
    <w:rsid w:val="78D15FE5"/>
    <w:rsid w:val="78D855C6"/>
    <w:rsid w:val="78D87374"/>
    <w:rsid w:val="78DE0D2F"/>
    <w:rsid w:val="78E06709"/>
    <w:rsid w:val="78E6363D"/>
    <w:rsid w:val="78EF1BCC"/>
    <w:rsid w:val="78F42911"/>
    <w:rsid w:val="78F817C4"/>
    <w:rsid w:val="790068CB"/>
    <w:rsid w:val="79017BCF"/>
    <w:rsid w:val="7904460D"/>
    <w:rsid w:val="790F6B0E"/>
    <w:rsid w:val="79166B2C"/>
    <w:rsid w:val="792C61C2"/>
    <w:rsid w:val="792F0F5E"/>
    <w:rsid w:val="79314CD6"/>
    <w:rsid w:val="79441DE4"/>
    <w:rsid w:val="794E3ADA"/>
    <w:rsid w:val="7956298E"/>
    <w:rsid w:val="79576E32"/>
    <w:rsid w:val="79690914"/>
    <w:rsid w:val="797F0137"/>
    <w:rsid w:val="79894B12"/>
    <w:rsid w:val="79954710"/>
    <w:rsid w:val="799A4134"/>
    <w:rsid w:val="79A251FB"/>
    <w:rsid w:val="79C85792"/>
    <w:rsid w:val="79CB0C87"/>
    <w:rsid w:val="79DA711C"/>
    <w:rsid w:val="79DE480C"/>
    <w:rsid w:val="79DF0BD6"/>
    <w:rsid w:val="79F669F5"/>
    <w:rsid w:val="79FA5A10"/>
    <w:rsid w:val="79FE123F"/>
    <w:rsid w:val="7A156FB2"/>
    <w:rsid w:val="7A170370"/>
    <w:rsid w:val="7A1C63BE"/>
    <w:rsid w:val="7A1E48C1"/>
    <w:rsid w:val="7A406B09"/>
    <w:rsid w:val="7A5944E4"/>
    <w:rsid w:val="7A734C22"/>
    <w:rsid w:val="7A822495"/>
    <w:rsid w:val="7A88448E"/>
    <w:rsid w:val="7A884DCA"/>
    <w:rsid w:val="7AA339B1"/>
    <w:rsid w:val="7AB826F4"/>
    <w:rsid w:val="7AC1208A"/>
    <w:rsid w:val="7AC73B44"/>
    <w:rsid w:val="7AD43BFC"/>
    <w:rsid w:val="7AD95625"/>
    <w:rsid w:val="7ADF4422"/>
    <w:rsid w:val="7ADF6716"/>
    <w:rsid w:val="7AE042C0"/>
    <w:rsid w:val="7AE11955"/>
    <w:rsid w:val="7AE446F6"/>
    <w:rsid w:val="7AE55D78"/>
    <w:rsid w:val="7B0D52CF"/>
    <w:rsid w:val="7B0F3CC0"/>
    <w:rsid w:val="7B1C246A"/>
    <w:rsid w:val="7B1E064E"/>
    <w:rsid w:val="7B1E128A"/>
    <w:rsid w:val="7B22521E"/>
    <w:rsid w:val="7B2F5245"/>
    <w:rsid w:val="7B3A1BF7"/>
    <w:rsid w:val="7B4B6523"/>
    <w:rsid w:val="7B5E5DF8"/>
    <w:rsid w:val="7B6C700A"/>
    <w:rsid w:val="7B705F89"/>
    <w:rsid w:val="7B7517F2"/>
    <w:rsid w:val="7B7535A0"/>
    <w:rsid w:val="7B9376C0"/>
    <w:rsid w:val="7B9675C0"/>
    <w:rsid w:val="7BB73BB8"/>
    <w:rsid w:val="7BBD45EC"/>
    <w:rsid w:val="7BC10593"/>
    <w:rsid w:val="7BC13DBD"/>
    <w:rsid w:val="7BC55225"/>
    <w:rsid w:val="7BCE4F83"/>
    <w:rsid w:val="7BD06A28"/>
    <w:rsid w:val="7BD32074"/>
    <w:rsid w:val="7BF81C55"/>
    <w:rsid w:val="7BFA5343"/>
    <w:rsid w:val="7BFF730D"/>
    <w:rsid w:val="7C014E34"/>
    <w:rsid w:val="7C030BAC"/>
    <w:rsid w:val="7C084414"/>
    <w:rsid w:val="7C122B9D"/>
    <w:rsid w:val="7C134D02"/>
    <w:rsid w:val="7C183F2B"/>
    <w:rsid w:val="7C215C3C"/>
    <w:rsid w:val="7C2D5C29"/>
    <w:rsid w:val="7C321491"/>
    <w:rsid w:val="7C3A20F4"/>
    <w:rsid w:val="7C4B5B5A"/>
    <w:rsid w:val="7C4C3713"/>
    <w:rsid w:val="7C4D0079"/>
    <w:rsid w:val="7C646086"/>
    <w:rsid w:val="7C686C61"/>
    <w:rsid w:val="7C7046C6"/>
    <w:rsid w:val="7C765821"/>
    <w:rsid w:val="7C766567"/>
    <w:rsid w:val="7C885DE0"/>
    <w:rsid w:val="7C97072D"/>
    <w:rsid w:val="7C9E0399"/>
    <w:rsid w:val="7CA659DB"/>
    <w:rsid w:val="7CAD2A9A"/>
    <w:rsid w:val="7CCE0051"/>
    <w:rsid w:val="7CED7166"/>
    <w:rsid w:val="7CF64420"/>
    <w:rsid w:val="7CF73522"/>
    <w:rsid w:val="7CFF1F04"/>
    <w:rsid w:val="7D1C3324"/>
    <w:rsid w:val="7D1F2B13"/>
    <w:rsid w:val="7D230DDA"/>
    <w:rsid w:val="7D262725"/>
    <w:rsid w:val="7D31799A"/>
    <w:rsid w:val="7D380D29"/>
    <w:rsid w:val="7D427F86"/>
    <w:rsid w:val="7D4551F4"/>
    <w:rsid w:val="7D5947FB"/>
    <w:rsid w:val="7D5F6DCD"/>
    <w:rsid w:val="7D666613"/>
    <w:rsid w:val="7D6B7FE8"/>
    <w:rsid w:val="7D717D97"/>
    <w:rsid w:val="7D7F0706"/>
    <w:rsid w:val="7DAB14FB"/>
    <w:rsid w:val="7DC83A93"/>
    <w:rsid w:val="7DC9372F"/>
    <w:rsid w:val="7DDF73F6"/>
    <w:rsid w:val="7DEA3C35"/>
    <w:rsid w:val="7DED3BB9"/>
    <w:rsid w:val="7E275317"/>
    <w:rsid w:val="7E357016"/>
    <w:rsid w:val="7E3A287F"/>
    <w:rsid w:val="7E3A63DB"/>
    <w:rsid w:val="7E486D4A"/>
    <w:rsid w:val="7E490D14"/>
    <w:rsid w:val="7E624D1E"/>
    <w:rsid w:val="7E7E276B"/>
    <w:rsid w:val="7E7F0292"/>
    <w:rsid w:val="7E9975A5"/>
    <w:rsid w:val="7E9A331D"/>
    <w:rsid w:val="7EA61CC2"/>
    <w:rsid w:val="7EB92052"/>
    <w:rsid w:val="7EBF4B32"/>
    <w:rsid w:val="7EC34622"/>
    <w:rsid w:val="7EC87E8B"/>
    <w:rsid w:val="7EE45E1C"/>
    <w:rsid w:val="7EEC61D9"/>
    <w:rsid w:val="7EF0118F"/>
    <w:rsid w:val="7F084409"/>
    <w:rsid w:val="7F17671C"/>
    <w:rsid w:val="7F182BC0"/>
    <w:rsid w:val="7F313279"/>
    <w:rsid w:val="7F32420E"/>
    <w:rsid w:val="7F4C0ABC"/>
    <w:rsid w:val="7F4E4F03"/>
    <w:rsid w:val="7F5663C0"/>
    <w:rsid w:val="7F5665E4"/>
    <w:rsid w:val="7F6D278B"/>
    <w:rsid w:val="7F746331"/>
    <w:rsid w:val="7F842003"/>
    <w:rsid w:val="7F8433F6"/>
    <w:rsid w:val="7F8E2E82"/>
    <w:rsid w:val="7F8E6902"/>
    <w:rsid w:val="7F8F09A8"/>
    <w:rsid w:val="7FB24B6A"/>
    <w:rsid w:val="7FB623D9"/>
    <w:rsid w:val="7FB90F14"/>
    <w:rsid w:val="7FBB69DF"/>
    <w:rsid w:val="7FD840FD"/>
    <w:rsid w:val="7FE02FB2"/>
    <w:rsid w:val="7FE74449"/>
    <w:rsid w:val="7FFB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Calibri" w:cs="Times New Roman"/>
      <w:kern w:val="2"/>
      <w:sz w:val="21"/>
      <w:szCs w:val="24"/>
      <w:lang w:val="en-US" w:eastAsia="zh-CN" w:bidi="ar-SA"/>
    </w:rPr>
  </w:style>
  <w:style w:type="paragraph" w:styleId="2">
    <w:name w:val="heading 1"/>
    <w:basedOn w:val="1"/>
    <w:next w:val="1"/>
    <w:link w:val="39"/>
    <w:autoRedefine/>
    <w:qFormat/>
    <w:uiPriority w:val="0"/>
    <w:pPr>
      <w:keepNext/>
      <w:keepLines/>
      <w:spacing w:before="240" w:after="240" w:line="360" w:lineRule="auto"/>
      <w:jc w:val="center"/>
      <w:outlineLvl w:val="0"/>
    </w:pPr>
    <w:rPr>
      <w:b/>
      <w:bCs/>
      <w:kern w:val="44"/>
      <w:sz w:val="32"/>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0"/>
    <w:autoRedefine/>
    <w:qFormat/>
    <w:uiPriority w:val="0"/>
    <w:pPr>
      <w:keepNext/>
      <w:keepLines/>
      <w:spacing w:line="360" w:lineRule="auto"/>
      <w:outlineLvl w:val="2"/>
    </w:pPr>
    <w:rPr>
      <w:rFonts w:eastAsia="宋体"/>
      <w:b/>
      <w:bCs/>
      <w:sz w:val="24"/>
      <w:szCs w:val="32"/>
    </w:rPr>
  </w:style>
  <w:style w:type="paragraph" w:styleId="5">
    <w:name w:val="heading 4"/>
    <w:basedOn w:val="1"/>
    <w:next w:val="1"/>
    <w:autoRedefine/>
    <w:qFormat/>
    <w:uiPriority w:val="1"/>
    <w:pPr>
      <w:ind w:left="936"/>
      <w:outlineLvl w:val="3"/>
    </w:pPr>
    <w:rPr>
      <w:rFonts w:ascii="宋体" w:hAnsi="宋体" w:eastAsia="宋体" w:cs="宋体"/>
      <w:b/>
      <w:bCs/>
      <w:sz w:val="24"/>
      <w:lang w:val="zh-CN" w:bidi="zh-CN"/>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7"/>
    <w:basedOn w:val="1"/>
    <w:next w:val="1"/>
    <w:autoRedefine/>
    <w:qFormat/>
    <w:uiPriority w:val="1"/>
    <w:pPr>
      <w:spacing w:line="269" w:lineRule="exact"/>
      <w:ind w:left="231"/>
      <w:outlineLvl w:val="6"/>
    </w:pPr>
    <w:rPr>
      <w:rFonts w:ascii="宋体" w:hAnsi="宋体" w:eastAsia="宋体" w:cs="宋体"/>
      <w:b/>
      <w:bCs/>
      <w:szCs w:val="21"/>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next w:val="1"/>
    <w:autoRedefine/>
    <w:qFormat/>
    <w:uiPriority w:val="0"/>
    <w:pPr>
      <w:ind w:firstLine="420" w:firstLineChars="200"/>
    </w:pPr>
    <w:rPr>
      <w:szCs w:val="20"/>
    </w:rPr>
  </w:style>
  <w:style w:type="paragraph" w:styleId="9">
    <w:name w:val="toa heading"/>
    <w:basedOn w:val="1"/>
    <w:next w:val="1"/>
    <w:autoRedefine/>
    <w:qFormat/>
    <w:uiPriority w:val="0"/>
    <w:pPr>
      <w:spacing w:before="120"/>
    </w:pPr>
    <w:rPr>
      <w:rFonts w:ascii="Arial" w:hAnsi="Arial"/>
      <w:sz w:val="24"/>
      <w:szCs w:val="20"/>
    </w:rPr>
  </w:style>
  <w:style w:type="paragraph" w:styleId="10">
    <w:name w:val="annotation text"/>
    <w:basedOn w:val="1"/>
    <w:autoRedefine/>
    <w:qFormat/>
    <w:uiPriority w:val="0"/>
    <w:pPr>
      <w:jc w:val="left"/>
    </w:pPr>
  </w:style>
  <w:style w:type="paragraph" w:styleId="11">
    <w:name w:val="Body Text"/>
    <w:basedOn w:val="1"/>
    <w:next w:val="1"/>
    <w:autoRedefine/>
    <w:qFormat/>
    <w:uiPriority w:val="0"/>
    <w:pPr>
      <w:spacing w:after="120"/>
    </w:pPr>
  </w:style>
  <w:style w:type="paragraph" w:styleId="12">
    <w:name w:val="Body Text Indent"/>
    <w:basedOn w:val="1"/>
    <w:next w:val="13"/>
    <w:autoRedefine/>
    <w:qFormat/>
    <w:uiPriority w:val="0"/>
    <w:pPr>
      <w:spacing w:after="120"/>
      <w:ind w:left="420" w:leftChars="200"/>
    </w:pPr>
  </w:style>
  <w:style w:type="paragraph" w:customStyle="1" w:styleId="13">
    <w:name w:val="目录 61"/>
    <w:next w:val="1"/>
    <w:autoRedefine/>
    <w:qFormat/>
    <w:uiPriority w:val="0"/>
    <w:pPr>
      <w:wordWrap w:val="0"/>
      <w:ind w:left="2125"/>
      <w:jc w:val="both"/>
    </w:pPr>
    <w:rPr>
      <w:rFonts w:ascii="Calibri" w:hAnsi="Calibri" w:eastAsia="宋体" w:cs="Times New Roman"/>
      <w:sz w:val="21"/>
      <w:lang w:val="en-US" w:eastAsia="zh-CN" w:bidi="ar-SA"/>
    </w:rPr>
  </w:style>
  <w:style w:type="paragraph" w:styleId="14">
    <w:name w:val="List 2"/>
    <w:basedOn w:val="1"/>
    <w:autoRedefine/>
    <w:unhideWhenUsed/>
    <w:qFormat/>
    <w:uiPriority w:val="99"/>
    <w:pPr>
      <w:ind w:left="100" w:leftChars="200" w:hanging="200" w:hangingChars="200"/>
      <w:contextualSpacing/>
    </w:pPr>
  </w:style>
  <w:style w:type="paragraph" w:styleId="15">
    <w:name w:val="index 4"/>
    <w:basedOn w:val="1"/>
    <w:next w:val="1"/>
    <w:autoRedefine/>
    <w:qFormat/>
    <w:uiPriority w:val="0"/>
    <w:pPr>
      <w:ind w:left="600" w:leftChars="600"/>
    </w:p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0"/>
    <w:pPr>
      <w:ind w:left="840" w:leftChars="400"/>
    </w:pPr>
  </w:style>
  <w:style w:type="paragraph" w:styleId="18">
    <w:name w:val="Plain Text"/>
    <w:basedOn w:val="1"/>
    <w:autoRedefine/>
    <w:qFormat/>
    <w:uiPriority w:val="0"/>
    <w:rPr>
      <w:rFonts w:ascii="宋体" w:hAnsi="Courier New" w:eastAsia="宋体"/>
      <w:szCs w:val="22"/>
    </w:rPr>
  </w:style>
  <w:style w:type="paragraph" w:styleId="19">
    <w:name w:val="Body Text Indent 2"/>
    <w:basedOn w:val="1"/>
    <w:autoRedefine/>
    <w:qFormat/>
    <w:uiPriority w:val="0"/>
    <w:pPr>
      <w:spacing w:after="120" w:line="480" w:lineRule="auto"/>
      <w:ind w:left="420" w:leftChars="200"/>
    </w:pPr>
  </w:style>
  <w:style w:type="paragraph" w:styleId="20">
    <w:name w:val="endnote text"/>
    <w:basedOn w:val="1"/>
    <w:autoRedefine/>
    <w:qFormat/>
    <w:uiPriority w:val="0"/>
    <w:pPr>
      <w:snapToGrid w:val="0"/>
      <w:jc w:val="left"/>
    </w:pPr>
  </w:style>
  <w:style w:type="paragraph" w:styleId="21">
    <w:name w:val="footer"/>
    <w:basedOn w:val="1"/>
    <w:next w:val="1"/>
    <w:autoRedefine/>
    <w:qFormat/>
    <w:uiPriority w:val="0"/>
    <w:pPr>
      <w:tabs>
        <w:tab w:val="center" w:pos="4153"/>
        <w:tab w:val="right" w:pos="8306"/>
      </w:tabs>
      <w:snapToGrid w:val="0"/>
      <w:jc w:val="left"/>
    </w:pPr>
    <w:rPr>
      <w:sz w:val="18"/>
      <w:szCs w:val="18"/>
    </w:rPr>
  </w:style>
  <w:style w:type="paragraph" w:styleId="22">
    <w:name w:val="envelope return"/>
    <w:basedOn w:val="1"/>
    <w:autoRedefine/>
    <w:qFormat/>
    <w:uiPriority w:val="0"/>
    <w:pPr>
      <w:snapToGrid w:val="0"/>
    </w:pPr>
    <w:rPr>
      <w:rFonts w:ascii="Arial" w:hAnsi="Arial" w:cs="Arial"/>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tabs>
        <w:tab w:val="right" w:leader="dot" w:pos="9628"/>
      </w:tabs>
      <w:spacing w:line="360" w:lineRule="auto"/>
      <w:jc w:val="center"/>
    </w:pPr>
  </w:style>
  <w:style w:type="paragraph" w:styleId="25">
    <w:name w:val="toc 2"/>
    <w:basedOn w:val="1"/>
    <w:next w:val="1"/>
    <w:autoRedefine/>
    <w:unhideWhenUsed/>
    <w:qFormat/>
    <w:uiPriority w:val="39"/>
    <w:pPr>
      <w:widowControl/>
      <w:spacing w:after="100" w:line="276" w:lineRule="auto"/>
      <w:ind w:left="220"/>
      <w:jc w:val="left"/>
    </w:pPr>
    <w:rPr>
      <w:rFonts w:eastAsia="宋体"/>
      <w:kern w:val="0"/>
      <w:sz w:val="22"/>
      <w:szCs w:val="22"/>
    </w:rPr>
  </w:style>
  <w:style w:type="paragraph" w:styleId="26">
    <w:name w:val="Body Text 2"/>
    <w:basedOn w:val="1"/>
    <w:autoRedefine/>
    <w:qFormat/>
    <w:uiPriority w:val="0"/>
    <w:pPr>
      <w:adjustRightInd w:val="0"/>
      <w:snapToGrid w:val="0"/>
      <w:spacing w:line="480" w:lineRule="atLeast"/>
    </w:pPr>
    <w:rPr>
      <w:rFonts w:ascii="宋体" w:hAnsi="宋体"/>
      <w:sz w:val="28"/>
    </w:rPr>
  </w:style>
  <w:style w:type="paragraph" w:styleId="27">
    <w:name w:val="Normal (Web)"/>
    <w:basedOn w:val="1"/>
    <w:autoRedefine/>
    <w:qFormat/>
    <w:uiPriority w:val="0"/>
    <w:pPr>
      <w:spacing w:before="100" w:beforeAutospacing="1" w:after="100" w:afterAutospacing="1"/>
      <w:jc w:val="left"/>
    </w:pPr>
    <w:rPr>
      <w:kern w:val="0"/>
      <w:sz w:val="24"/>
    </w:rPr>
  </w:style>
  <w:style w:type="paragraph" w:styleId="28">
    <w:name w:val="Title"/>
    <w:basedOn w:val="1"/>
    <w:next w:val="18"/>
    <w:autoRedefine/>
    <w:qFormat/>
    <w:uiPriority w:val="0"/>
    <w:pPr>
      <w:spacing w:before="240" w:after="60"/>
      <w:jc w:val="center"/>
      <w:outlineLvl w:val="0"/>
    </w:pPr>
    <w:rPr>
      <w:rFonts w:ascii="Cambria" w:hAnsi="Cambria"/>
      <w:b/>
      <w:bCs/>
      <w:sz w:val="32"/>
      <w:szCs w:val="32"/>
    </w:rPr>
  </w:style>
  <w:style w:type="paragraph" w:styleId="29">
    <w:name w:val="Body Text First Indent"/>
    <w:basedOn w:val="11"/>
    <w:next w:val="1"/>
    <w:autoRedefine/>
    <w:qFormat/>
    <w:uiPriority w:val="0"/>
    <w:pPr>
      <w:ind w:firstLine="420" w:firstLineChars="100"/>
    </w:pPr>
  </w:style>
  <w:style w:type="paragraph" w:styleId="30">
    <w:name w:val="Body Text First Indent 2"/>
    <w:basedOn w:val="12"/>
    <w:next w:val="1"/>
    <w:autoRedefine/>
    <w:qFormat/>
    <w:uiPriority w:val="0"/>
    <w:pPr>
      <w:ind w:firstLine="420" w:firstLineChars="200"/>
    </w:pPr>
  </w:style>
  <w:style w:type="table" w:styleId="32">
    <w:name w:val="Table Grid"/>
    <w:basedOn w:val="31"/>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0"/>
    <w:rPr>
      <w:b/>
      <w:szCs w:val="24"/>
    </w:rPr>
  </w:style>
  <w:style w:type="character" w:styleId="35">
    <w:name w:val="page number"/>
    <w:basedOn w:val="33"/>
    <w:autoRedefine/>
    <w:qFormat/>
    <w:uiPriority w:val="0"/>
  </w:style>
  <w:style w:type="character" w:styleId="36">
    <w:name w:val="FollowedHyperlink"/>
    <w:basedOn w:val="33"/>
    <w:autoRedefine/>
    <w:qFormat/>
    <w:uiPriority w:val="0"/>
    <w:rPr>
      <w:color w:val="800080"/>
      <w:u w:val="none"/>
    </w:rPr>
  </w:style>
  <w:style w:type="character" w:styleId="37">
    <w:name w:val="Hyperlink"/>
    <w:basedOn w:val="33"/>
    <w:autoRedefine/>
    <w:qFormat/>
    <w:uiPriority w:val="99"/>
    <w:rPr>
      <w:color w:val="0000FF"/>
      <w:szCs w:val="24"/>
      <w:u w:val="single"/>
    </w:rPr>
  </w:style>
  <w:style w:type="paragraph" w:customStyle="1" w:styleId="38">
    <w:name w:val="Default"/>
    <w:autoRedefine/>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39">
    <w:name w:val="标题 1 字符"/>
    <w:link w:val="2"/>
    <w:autoRedefine/>
    <w:qFormat/>
    <w:uiPriority w:val="0"/>
    <w:rPr>
      <w:rFonts w:ascii="Calibri" w:hAnsi="Calibri" w:eastAsia="Calibri"/>
      <w:b/>
      <w:bCs/>
      <w:kern w:val="44"/>
      <w:sz w:val="32"/>
      <w:szCs w:val="44"/>
    </w:rPr>
  </w:style>
  <w:style w:type="character" w:customStyle="1" w:styleId="40">
    <w:name w:val="标题 3 字符"/>
    <w:link w:val="4"/>
    <w:autoRedefine/>
    <w:qFormat/>
    <w:uiPriority w:val="0"/>
    <w:rPr>
      <w:rFonts w:eastAsia="宋体"/>
      <w:b/>
      <w:bCs/>
      <w:kern w:val="2"/>
      <w:sz w:val="24"/>
      <w:szCs w:val="32"/>
      <w:lang w:val="en-US" w:eastAsia="zh-CN" w:bidi="ar-SA"/>
    </w:rPr>
  </w:style>
  <w:style w:type="character" w:customStyle="1" w:styleId="41">
    <w:name w:val="not([class*=suffix])"/>
    <w:basedOn w:val="33"/>
    <w:autoRedefine/>
    <w:qFormat/>
    <w:uiPriority w:val="0"/>
    <w:rPr>
      <w:sz w:val="19"/>
      <w:szCs w:val="19"/>
    </w:rPr>
  </w:style>
  <w:style w:type="character" w:customStyle="1" w:styleId="42">
    <w:name w:val="not([class*=suffix])1"/>
    <w:basedOn w:val="33"/>
    <w:autoRedefine/>
    <w:qFormat/>
    <w:uiPriority w:val="0"/>
  </w:style>
  <w:style w:type="character" w:customStyle="1" w:styleId="43">
    <w:name w:val="font01"/>
    <w:basedOn w:val="33"/>
    <w:autoRedefine/>
    <w:qFormat/>
    <w:uiPriority w:val="0"/>
    <w:rPr>
      <w:rFonts w:hint="eastAsia" w:ascii="宋体" w:hAnsi="宋体" w:eastAsia="宋体" w:cs="宋体"/>
      <w:color w:val="000000"/>
      <w:sz w:val="22"/>
      <w:szCs w:val="22"/>
      <w:u w:val="none"/>
      <w:vertAlign w:val="superscript"/>
    </w:rPr>
  </w:style>
  <w:style w:type="character" w:customStyle="1" w:styleId="44">
    <w:name w:val="font21"/>
    <w:basedOn w:val="33"/>
    <w:autoRedefine/>
    <w:qFormat/>
    <w:uiPriority w:val="0"/>
    <w:rPr>
      <w:rFonts w:hint="eastAsia" w:ascii="宋体" w:hAnsi="宋体" w:eastAsia="宋体" w:cs="宋体"/>
      <w:color w:val="000000"/>
      <w:sz w:val="24"/>
      <w:szCs w:val="24"/>
      <w:u w:val="none"/>
    </w:rPr>
  </w:style>
  <w:style w:type="character" w:customStyle="1" w:styleId="45">
    <w:name w:val="hover"/>
    <w:basedOn w:val="33"/>
    <w:autoRedefine/>
    <w:qFormat/>
    <w:uiPriority w:val="0"/>
    <w:rPr>
      <w:color w:val="FFFFFF"/>
      <w:shd w:val="clear" w:color="auto" w:fill="52B4E1"/>
    </w:rPr>
  </w:style>
  <w:style w:type="character" w:customStyle="1" w:styleId="46">
    <w:name w:val="font11"/>
    <w:basedOn w:val="33"/>
    <w:autoRedefine/>
    <w:qFormat/>
    <w:uiPriority w:val="0"/>
    <w:rPr>
      <w:rFonts w:hint="eastAsia" w:ascii="宋体" w:hAnsi="宋体" w:eastAsia="宋体" w:cs="宋体"/>
      <w:color w:val="000000"/>
      <w:sz w:val="22"/>
      <w:szCs w:val="22"/>
      <w:u w:val="none"/>
    </w:rPr>
  </w:style>
  <w:style w:type="paragraph" w:customStyle="1" w:styleId="47">
    <w:name w:val="TOC 标题1"/>
    <w:basedOn w:val="2"/>
    <w:next w:val="1"/>
    <w:autoRedefine/>
    <w:unhideWhenUsed/>
    <w:qFormat/>
    <w:uiPriority w:val="39"/>
    <w:pPr>
      <w:widowControl/>
      <w:spacing w:before="480" w:line="276" w:lineRule="auto"/>
      <w:jc w:val="left"/>
      <w:outlineLvl w:val="9"/>
    </w:pPr>
    <w:rPr>
      <w:rFonts w:ascii="Calibri Light" w:hAnsi="Calibri Light" w:eastAsia="宋体"/>
      <w:color w:val="2E75B5"/>
      <w:kern w:val="0"/>
      <w:sz w:val="28"/>
      <w:szCs w:val="28"/>
    </w:rPr>
  </w:style>
  <w:style w:type="paragraph" w:customStyle="1" w:styleId="48">
    <w:name w:val="BodyTextIndent"/>
    <w:basedOn w:val="1"/>
    <w:autoRedefine/>
    <w:qFormat/>
    <w:locked/>
    <w:uiPriority w:val="0"/>
    <w:pPr>
      <w:spacing w:line="600" w:lineRule="exact"/>
      <w:ind w:firstLine="480" w:firstLineChars="200"/>
    </w:pPr>
    <w:rPr>
      <w:rFonts w:ascii="宋体"/>
      <w:sz w:val="28"/>
      <w:szCs w:val="28"/>
      <w:lang w:val="zh-CN"/>
    </w:rPr>
  </w:style>
  <w:style w:type="paragraph" w:customStyle="1" w:styleId="49">
    <w:name w:val="Blockquote"/>
    <w:basedOn w:val="1"/>
    <w:autoRedefine/>
    <w:qFormat/>
    <w:uiPriority w:val="0"/>
    <w:pPr>
      <w:autoSpaceDE w:val="0"/>
      <w:autoSpaceDN w:val="0"/>
      <w:adjustRightInd w:val="0"/>
      <w:ind w:left="360" w:right="360"/>
      <w:jc w:val="left"/>
    </w:pPr>
    <w:rPr>
      <w:kern w:val="0"/>
      <w:sz w:val="24"/>
      <w:szCs w:val="20"/>
    </w:rPr>
  </w:style>
  <w:style w:type="paragraph" w:styleId="50">
    <w:name w:val="List Paragraph"/>
    <w:basedOn w:val="1"/>
    <w:autoRedefine/>
    <w:qFormat/>
    <w:uiPriority w:val="34"/>
    <w:pPr>
      <w:ind w:firstLine="420" w:firstLineChars="200"/>
    </w:pPr>
    <w:rPr>
      <w:szCs w:val="20"/>
    </w:rPr>
  </w:style>
  <w:style w:type="paragraph" w:customStyle="1" w:styleId="51">
    <w:name w:val="Other|1"/>
    <w:basedOn w:val="1"/>
    <w:autoRedefine/>
    <w:qFormat/>
    <w:uiPriority w:val="0"/>
    <w:rPr>
      <w:rFonts w:ascii="宋体" w:hAnsi="宋体" w:eastAsia="宋体" w:cs="宋体"/>
      <w:sz w:val="16"/>
      <w:szCs w:val="16"/>
      <w:lang w:val="zh-CN" w:bidi="zh-CN"/>
    </w:rPr>
  </w:style>
  <w:style w:type="paragraph" w:customStyle="1" w:styleId="52">
    <w:name w:val="BodyText1I2"/>
    <w:basedOn w:val="48"/>
    <w:next w:val="1"/>
    <w:autoRedefine/>
    <w:qFormat/>
    <w:locked/>
    <w:uiPriority w:val="0"/>
    <w:pPr>
      <w:spacing w:after="120" w:line="240" w:lineRule="auto"/>
      <w:ind w:left="420" w:leftChars="200" w:firstLine="420"/>
    </w:pPr>
    <w:rPr>
      <w:rFonts w:ascii="Times New Roman"/>
      <w:sz w:val="24"/>
      <w:szCs w:val="24"/>
    </w:rPr>
  </w:style>
  <w:style w:type="paragraph" w:customStyle="1" w:styleId="53">
    <w:name w:val="Char Char 字元 字元 字元 Char Char Char Char"/>
    <w:basedOn w:val="1"/>
    <w:autoRedefine/>
    <w:qFormat/>
    <w:uiPriority w:val="0"/>
    <w:pPr>
      <w:adjustRightInd w:val="0"/>
      <w:spacing w:line="360" w:lineRule="auto"/>
    </w:pPr>
  </w:style>
  <w:style w:type="paragraph" w:customStyle="1" w:styleId="54">
    <w:name w:val="Table caption|1"/>
    <w:basedOn w:val="1"/>
    <w:autoRedefine/>
    <w:qFormat/>
    <w:uiPriority w:val="0"/>
    <w:pPr>
      <w:ind w:firstLine="220"/>
    </w:pPr>
    <w:rPr>
      <w:rFonts w:ascii="宋体" w:hAnsi="宋体" w:eastAsia="宋体" w:cs="宋体"/>
      <w:sz w:val="19"/>
      <w:szCs w:val="19"/>
      <w:lang w:val="zh-CN" w:bidi="zh-CN"/>
    </w:rPr>
  </w:style>
  <w:style w:type="paragraph" w:customStyle="1" w:styleId="55">
    <w:name w:val="WPSOffice手动目录 1"/>
    <w:autoRedefine/>
    <w:qFormat/>
    <w:uiPriority w:val="0"/>
    <w:rPr>
      <w:rFonts w:ascii="Calibri" w:hAnsi="Calibri" w:eastAsia="宋体" w:cs="Times New Roman"/>
      <w:lang w:val="en-US" w:eastAsia="zh-CN" w:bidi="ar-SA"/>
    </w:rPr>
  </w:style>
  <w:style w:type="paragraph" w:customStyle="1" w:styleId="56">
    <w:name w:val="Body text|1"/>
    <w:basedOn w:val="1"/>
    <w:autoRedefine/>
    <w:qFormat/>
    <w:uiPriority w:val="0"/>
    <w:pPr>
      <w:ind w:firstLine="360"/>
    </w:pPr>
    <w:rPr>
      <w:rFonts w:ascii="宋体" w:hAnsi="宋体" w:eastAsia="宋体" w:cs="宋体"/>
      <w:sz w:val="19"/>
      <w:szCs w:val="19"/>
      <w:lang w:val="zh-CN" w:bidi="zh-CN"/>
    </w:rPr>
  </w:style>
  <w:style w:type="paragraph" w:customStyle="1" w:styleId="57">
    <w:name w:val="Table Paragraph"/>
    <w:basedOn w:val="1"/>
    <w:autoRedefine/>
    <w:qFormat/>
    <w:uiPriority w:val="1"/>
    <w:rPr>
      <w:rFonts w:ascii="宋体" w:hAnsi="宋体" w:eastAsia="宋体" w:cs="宋体"/>
      <w:lang w:val="zh-CN" w:bidi="zh-CN"/>
    </w:rPr>
  </w:style>
  <w:style w:type="paragraph" w:customStyle="1" w:styleId="58">
    <w:name w:val="首行缩进"/>
    <w:basedOn w:val="1"/>
    <w:next w:val="1"/>
    <w:autoRedefine/>
    <w:qFormat/>
    <w:uiPriority w:val="0"/>
    <w:pPr>
      <w:spacing w:line="360" w:lineRule="auto"/>
      <w:ind w:firstLine="480" w:firstLineChars="200"/>
    </w:pPr>
    <w:rPr>
      <w:rFonts w:ascii="宋体" w:hAnsi="宋体" w:cs="宋体"/>
      <w:kern w:val="0"/>
      <w:sz w:val="24"/>
    </w:rPr>
  </w:style>
  <w:style w:type="paragraph" w:customStyle="1" w:styleId="59">
    <w:name w:val="列出段落1"/>
    <w:basedOn w:val="1"/>
    <w:autoRedefine/>
    <w:qFormat/>
    <w:uiPriority w:val="34"/>
    <w:pPr>
      <w:ind w:firstLine="420" w:firstLineChars="200"/>
    </w:pPr>
  </w:style>
  <w:style w:type="paragraph" w:customStyle="1" w:styleId="60">
    <w:name w:val="p0"/>
    <w:basedOn w:val="1"/>
    <w:autoRedefine/>
    <w:qFormat/>
    <w:uiPriority w:val="0"/>
    <w:pPr>
      <w:widowControl/>
    </w:pPr>
    <w:rPr>
      <w:rFonts w:cs="宋体"/>
      <w:kern w:val="0"/>
      <w:szCs w:val="21"/>
    </w:rPr>
  </w:style>
  <w:style w:type="table" w:customStyle="1" w:styleId="61">
    <w:name w:val="Table Normal"/>
    <w:autoRedefine/>
    <w:unhideWhenUsed/>
    <w:qFormat/>
    <w:uiPriority w:val="0"/>
    <w:tblPr>
      <w:tblCellMar>
        <w:top w:w="0" w:type="dxa"/>
        <w:left w:w="0" w:type="dxa"/>
        <w:bottom w:w="0" w:type="dxa"/>
        <w:right w:w="0" w:type="dxa"/>
      </w:tblCellMar>
    </w:tblPr>
  </w:style>
  <w:style w:type="paragraph" w:customStyle="1" w:styleId="62">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64</Pages>
  <Words>28253</Words>
  <Characters>30005</Characters>
  <Lines>207</Lines>
  <Paragraphs>58</Paragraphs>
  <TotalTime>192</TotalTime>
  <ScaleCrop>false</ScaleCrop>
  <LinksUpToDate>false</LinksUpToDate>
  <CharactersWithSpaces>30688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2024-01-29T06:49:00Z</dcterms:created>
  <dc:creator>Lenovo</dc:creator>
  <cp:lastModifiedBy>朱红江</cp:lastModifiedBy>
  <cp:lastPrinted>2021-10-26T00:34:00Z</cp:lastPrinted>
  <dcterms:modified xsi:type="dcterms:W3CDTF">2025-02-07T04:42:56Z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6D083670A4604C2FA22D747A25375632_13</vt:lpwstr>
  </property>
  <property fmtid="{D5CDD505-2E9C-101B-9397-08002B2CF9AE}" pid="4" name="KSOTemplateDocerSaveRecord">
    <vt:lpwstr>eyJoZGlkIjoiZTQ0M2U1NTc5ZDMxOGFiNzczMjc3YTA4NzljY2IwYjkiLCJ1c2VySWQiOiIyNjI2NTk4MjMifQ==</vt:lpwstr>
  </property>
</Properties>
</file>