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0" w:firstLineChars="200"/>
        <w:jc w:val="left"/>
        <w:rPr>
          <w:rFonts w:eastAsia="仿宋_GB2312"/>
          <w:sz w:val="28"/>
          <w:szCs w:val="28"/>
        </w:rPr>
      </w:pPr>
    </w:p>
    <w:p>
      <w:pPr>
        <w:spacing w:line="820" w:lineRule="exact"/>
        <w:jc w:val="center"/>
        <w:rPr>
          <w:rFonts w:ascii="宋体" w:hAnsi="宋体"/>
          <w:b/>
          <w:sz w:val="44"/>
          <w:szCs w:val="44"/>
        </w:rPr>
      </w:pPr>
    </w:p>
    <w:p>
      <w:pPr>
        <w:spacing w:line="820" w:lineRule="exact"/>
        <w:jc w:val="center"/>
        <w:rPr>
          <w:rFonts w:ascii="宋体" w:hAnsi="宋体"/>
          <w:b/>
          <w:sz w:val="44"/>
          <w:szCs w:val="44"/>
        </w:rPr>
      </w:pPr>
      <w:r>
        <w:rPr>
          <w:rFonts w:hint="eastAsia" w:ascii="宋体" w:hAnsi="宋体"/>
          <w:b/>
          <w:sz w:val="44"/>
          <w:szCs w:val="44"/>
        </w:rPr>
        <w:t>山东中烟工业有限责任公司青州卷烟厂</w:t>
      </w:r>
    </w:p>
    <w:p>
      <w:pPr>
        <w:spacing w:line="820" w:lineRule="exact"/>
        <w:jc w:val="center"/>
        <w:rPr>
          <w:rFonts w:ascii="宋体" w:hAnsi="宋体"/>
          <w:b/>
          <w:sz w:val="44"/>
          <w:szCs w:val="44"/>
        </w:rPr>
      </w:pPr>
      <w:r>
        <w:rPr>
          <w:rFonts w:hint="eastAsia" w:ascii="宋体" w:hAnsi="宋体"/>
          <w:b/>
          <w:sz w:val="44"/>
          <w:szCs w:val="44"/>
        </w:rPr>
        <w:t>滤棒搭口胶集中制冷装置维修项目（</w:t>
      </w:r>
      <w:r>
        <w:rPr>
          <w:rFonts w:hint="eastAsia" w:ascii="宋体" w:hAnsi="宋体"/>
          <w:b/>
          <w:sz w:val="44"/>
          <w:szCs w:val="44"/>
          <w:lang w:eastAsia="zh-CN"/>
        </w:rPr>
        <w:t>三次</w:t>
      </w:r>
      <w:r>
        <w:rPr>
          <w:rFonts w:hint="eastAsia" w:ascii="宋体" w:hAnsi="宋体"/>
          <w:b/>
          <w:sz w:val="44"/>
          <w:szCs w:val="44"/>
        </w:rPr>
        <w:t>）</w:t>
      </w:r>
    </w:p>
    <w:p>
      <w:pPr>
        <w:spacing w:line="820" w:lineRule="exact"/>
        <w:jc w:val="center"/>
        <w:rPr>
          <w:rFonts w:ascii="宋体" w:hAnsi="宋体"/>
          <w:b/>
          <w:sz w:val="44"/>
          <w:szCs w:val="44"/>
        </w:rPr>
      </w:pPr>
    </w:p>
    <w:p>
      <w:pPr>
        <w:tabs>
          <w:tab w:val="left" w:pos="1330"/>
          <w:tab w:val="left" w:pos="1470"/>
        </w:tabs>
        <w:ind w:right="1560"/>
        <w:rPr>
          <w:rFonts w:ascii="宋体" w:hAnsi="宋体"/>
          <w:b/>
          <w:sz w:val="44"/>
          <w:szCs w:val="44"/>
        </w:rPr>
      </w:pPr>
    </w:p>
    <w:p>
      <w:pPr>
        <w:tabs>
          <w:tab w:val="left" w:pos="1330"/>
          <w:tab w:val="left" w:pos="1470"/>
        </w:tabs>
        <w:ind w:right="1560"/>
        <w:jc w:val="center"/>
        <w:rPr>
          <w:rFonts w:ascii="宋体" w:hAnsi="宋体"/>
          <w:b/>
          <w:sz w:val="84"/>
          <w:szCs w:val="84"/>
        </w:rPr>
      </w:pPr>
      <w:r>
        <w:rPr>
          <w:rFonts w:hint="eastAsia" w:ascii="宋体" w:hAnsi="宋体"/>
          <w:b/>
          <w:sz w:val="84"/>
          <w:szCs w:val="84"/>
        </w:rPr>
        <w:t xml:space="preserve">    招 标 文 件</w:t>
      </w:r>
    </w:p>
    <w:p>
      <w:pPr>
        <w:spacing w:line="300" w:lineRule="auto"/>
        <w:ind w:firstLine="2080" w:firstLineChars="650"/>
        <w:rPr>
          <w:rFonts w:ascii="宋体" w:hAnsi="宋体"/>
          <w:sz w:val="32"/>
        </w:rPr>
      </w:pPr>
    </w:p>
    <w:p>
      <w:pPr>
        <w:spacing w:line="300" w:lineRule="auto"/>
        <w:ind w:firstLine="1280" w:firstLineChars="400"/>
        <w:rPr>
          <w:rFonts w:ascii="宋体" w:hAnsi="宋体"/>
          <w:sz w:val="32"/>
          <w:highlight w:val="yellow"/>
          <w:u w:val="single"/>
        </w:rPr>
      </w:pPr>
      <w:r>
        <w:rPr>
          <w:rFonts w:hint="eastAsia" w:ascii="宋体" w:hAnsi="宋体"/>
          <w:sz w:val="32"/>
        </w:rPr>
        <w:t>招标人编号：</w:t>
      </w:r>
      <w:r>
        <w:rPr>
          <w:rFonts w:ascii="宋体" w:hAnsi="宋体"/>
          <w:sz w:val="32"/>
        </w:rPr>
        <w:t>QZGKZB-2023-013</w:t>
      </w:r>
    </w:p>
    <w:p>
      <w:pPr>
        <w:spacing w:line="300" w:lineRule="auto"/>
        <w:jc w:val="center"/>
        <w:rPr>
          <w:rFonts w:ascii="宋体" w:hAnsi="宋体"/>
          <w:sz w:val="32"/>
        </w:rPr>
      </w:pPr>
      <w:r>
        <w:rPr>
          <w:rFonts w:hint="eastAsia" w:ascii="宋体" w:hAnsi="宋体"/>
          <w:sz w:val="32"/>
        </w:rPr>
        <w:t>招标代理机构编号：FZJTJN20230504-061</w:t>
      </w:r>
    </w:p>
    <w:p>
      <w:pPr>
        <w:spacing w:line="820" w:lineRule="exact"/>
        <w:jc w:val="center"/>
        <w:rPr>
          <w:rFonts w:ascii="宋体" w:hAnsi="宋体"/>
          <w:b/>
          <w:sz w:val="44"/>
          <w:szCs w:val="44"/>
        </w:rPr>
      </w:pPr>
    </w:p>
    <w:p>
      <w:pPr>
        <w:spacing w:line="820" w:lineRule="exact"/>
        <w:jc w:val="center"/>
        <w:rPr>
          <w:rFonts w:ascii="宋体" w:hAnsi="宋体"/>
          <w:b/>
          <w:sz w:val="44"/>
          <w:szCs w:val="44"/>
        </w:rPr>
      </w:pPr>
    </w:p>
    <w:p>
      <w:pPr>
        <w:spacing w:line="820" w:lineRule="exact"/>
        <w:jc w:val="center"/>
        <w:rPr>
          <w:rFonts w:ascii="宋体" w:hAnsi="宋体"/>
          <w:b/>
          <w:sz w:val="44"/>
          <w:szCs w:val="44"/>
        </w:rPr>
      </w:pPr>
    </w:p>
    <w:p>
      <w:pPr>
        <w:spacing w:line="300" w:lineRule="auto"/>
        <w:ind w:firstLine="1120" w:firstLineChars="350"/>
        <w:rPr>
          <w:rFonts w:ascii="宋体" w:hAnsi="宋体"/>
          <w:sz w:val="32"/>
        </w:rPr>
      </w:pPr>
      <w:r>
        <w:rPr>
          <w:rFonts w:hint="eastAsia" w:ascii="宋体" w:hAnsi="宋体"/>
          <w:sz w:val="32"/>
        </w:rPr>
        <w:t>招标人：山东中烟工业有限责任公司青州卷烟厂</w:t>
      </w:r>
    </w:p>
    <w:p>
      <w:pPr>
        <w:spacing w:line="300" w:lineRule="auto"/>
        <w:jc w:val="center"/>
        <w:rPr>
          <w:rFonts w:ascii="宋体" w:hAnsi="宋体"/>
          <w:sz w:val="32"/>
          <w:u w:val="single"/>
        </w:rPr>
      </w:pPr>
      <w:r>
        <w:rPr>
          <w:rFonts w:hint="eastAsia" w:ascii="宋体" w:hAnsi="宋体"/>
          <w:sz w:val="32"/>
        </w:rPr>
        <w:t>招标代理机构：法正项目管理集团有限公司</w:t>
      </w:r>
    </w:p>
    <w:p>
      <w:pPr>
        <w:spacing w:line="300" w:lineRule="auto"/>
        <w:ind w:firstLine="1600" w:firstLineChars="500"/>
        <w:jc w:val="left"/>
        <w:rPr>
          <w:rFonts w:ascii="宋体" w:hAnsi="宋体"/>
          <w:sz w:val="32"/>
          <w:u w:val="single"/>
        </w:rPr>
      </w:pPr>
    </w:p>
    <w:p>
      <w:pPr>
        <w:spacing w:line="300" w:lineRule="auto"/>
        <w:jc w:val="center"/>
        <w:rPr>
          <w:rFonts w:ascii="宋体" w:hAnsi="宋体"/>
          <w:sz w:val="32"/>
        </w:rPr>
      </w:pPr>
      <w:r>
        <w:rPr>
          <w:rFonts w:hint="eastAsia" w:ascii="宋体" w:hAnsi="宋体"/>
          <w:bCs/>
          <w:sz w:val="32"/>
        </w:rPr>
        <w:t>二〇二三年六月</w:t>
      </w:r>
    </w:p>
    <w:p>
      <w:pPr>
        <w:spacing w:line="300" w:lineRule="auto"/>
        <w:jc w:val="center"/>
        <w:rPr>
          <w:rFonts w:ascii="黑体" w:eastAsia="黑体"/>
          <w:sz w:val="32"/>
          <w:szCs w:val="32"/>
        </w:rPr>
      </w:pPr>
      <w:r>
        <w:rPr>
          <w:sz w:val="44"/>
          <w:szCs w:val="44"/>
          <w:lang w:val="zh-CN"/>
        </w:rPr>
        <w:br w:type="page"/>
      </w:r>
      <w:r>
        <w:rPr>
          <w:rFonts w:hint="eastAsia" w:ascii="黑体" w:eastAsia="黑体"/>
          <w:sz w:val="32"/>
          <w:szCs w:val="32"/>
          <w:lang w:val="zh-CN"/>
        </w:rPr>
        <w:t>目  录</w:t>
      </w:r>
    </w:p>
    <w:p>
      <w:pPr>
        <w:pStyle w:val="20"/>
        <w:tabs>
          <w:tab w:val="right" w:leader="dot" w:pos="830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"_Toc12859" </w:instrText>
      </w:r>
      <w:r>
        <w:fldChar w:fldCharType="separate"/>
      </w:r>
      <w:r>
        <w:rPr>
          <w:rFonts w:hint="eastAsia"/>
        </w:rPr>
        <w:t>第一部分招标公告</w:t>
      </w:r>
      <w:r>
        <w:tab/>
      </w:r>
      <w:r>
        <w:fldChar w:fldCharType="begin"/>
      </w:r>
      <w:r>
        <w:instrText xml:space="preserve"> PAGEREF _Toc12859 \h </w:instrText>
      </w:r>
      <w:r>
        <w:fldChar w:fldCharType="separate"/>
      </w:r>
      <w:r>
        <w:t>- 3 -</w:t>
      </w:r>
      <w:r>
        <w:fldChar w:fldCharType="end"/>
      </w:r>
      <w:r>
        <w:fldChar w:fldCharType="end"/>
      </w:r>
    </w:p>
    <w:p>
      <w:pPr>
        <w:pStyle w:val="20"/>
        <w:tabs>
          <w:tab w:val="right" w:leader="dot" w:pos="8306"/>
        </w:tabs>
      </w:pPr>
      <w:r>
        <w:fldChar w:fldCharType="begin"/>
      </w:r>
      <w:r>
        <w:instrText xml:space="preserve"> HYPERLINK \l "_Toc22644" </w:instrText>
      </w:r>
      <w:r>
        <w:fldChar w:fldCharType="separate"/>
      </w:r>
      <w:r>
        <w:rPr>
          <w:rFonts w:hint="eastAsia"/>
        </w:rPr>
        <w:t>第二部分投标人须知及前附表</w:t>
      </w:r>
      <w:r>
        <w:tab/>
      </w:r>
      <w:r>
        <w:fldChar w:fldCharType="begin"/>
      </w:r>
      <w:r>
        <w:instrText xml:space="preserve"> PAGEREF _Toc22644 \h </w:instrText>
      </w:r>
      <w:r>
        <w:fldChar w:fldCharType="separate"/>
      </w:r>
      <w:r>
        <w:t>- 6 -</w:t>
      </w:r>
      <w:r>
        <w:fldChar w:fldCharType="end"/>
      </w:r>
      <w:r>
        <w:fldChar w:fldCharType="end"/>
      </w:r>
    </w:p>
    <w:p>
      <w:pPr>
        <w:pStyle w:val="21"/>
        <w:tabs>
          <w:tab w:val="right" w:leader="dot" w:pos="8306"/>
          <w:tab w:val="clear" w:pos="8302"/>
        </w:tabs>
      </w:pPr>
      <w:r>
        <w:fldChar w:fldCharType="begin"/>
      </w:r>
      <w:r>
        <w:instrText xml:space="preserve"> HYPERLINK \l "_Toc22510" </w:instrText>
      </w:r>
      <w:r>
        <w:fldChar w:fldCharType="separate"/>
      </w:r>
      <w:r>
        <w:rPr>
          <w:rFonts w:hint="eastAsia"/>
        </w:rPr>
        <w:t>第一章投标人须知前附表</w:t>
      </w:r>
      <w:r>
        <w:tab/>
      </w:r>
      <w:r>
        <w:fldChar w:fldCharType="begin"/>
      </w:r>
      <w:r>
        <w:instrText xml:space="preserve"> PAGEREF _Toc22510 \h </w:instrText>
      </w:r>
      <w:r>
        <w:fldChar w:fldCharType="separate"/>
      </w:r>
      <w:r>
        <w:t>- 6 -</w:t>
      </w:r>
      <w:r>
        <w:fldChar w:fldCharType="end"/>
      </w:r>
      <w:r>
        <w:fldChar w:fldCharType="end"/>
      </w:r>
    </w:p>
    <w:p>
      <w:pPr>
        <w:pStyle w:val="21"/>
        <w:tabs>
          <w:tab w:val="right" w:leader="dot" w:pos="8306"/>
          <w:tab w:val="clear" w:pos="8302"/>
        </w:tabs>
      </w:pPr>
      <w:r>
        <w:fldChar w:fldCharType="begin"/>
      </w:r>
      <w:r>
        <w:instrText xml:space="preserve"> HYPERLINK \l "_Toc28291" </w:instrText>
      </w:r>
      <w:r>
        <w:fldChar w:fldCharType="separate"/>
      </w:r>
      <w:r>
        <w:rPr>
          <w:rFonts w:hint="eastAsia"/>
        </w:rPr>
        <w:t>第二章投标人须知</w:t>
      </w:r>
      <w:r>
        <w:tab/>
      </w:r>
      <w:r>
        <w:fldChar w:fldCharType="begin"/>
      </w:r>
      <w:r>
        <w:instrText xml:space="preserve"> PAGEREF _Toc28291 \h </w:instrText>
      </w:r>
      <w:r>
        <w:fldChar w:fldCharType="separate"/>
      </w:r>
      <w:r>
        <w:t>- 8 -</w:t>
      </w:r>
      <w:r>
        <w:fldChar w:fldCharType="end"/>
      </w:r>
      <w:r>
        <w:fldChar w:fldCharType="end"/>
      </w:r>
    </w:p>
    <w:p>
      <w:pPr>
        <w:pStyle w:val="14"/>
        <w:tabs>
          <w:tab w:val="right" w:leader="dot" w:pos="8306"/>
        </w:tabs>
      </w:pPr>
      <w:r>
        <w:fldChar w:fldCharType="begin"/>
      </w:r>
      <w:r>
        <w:instrText xml:space="preserve"> HYPERLINK \l "_Toc26985" </w:instrText>
      </w:r>
      <w:r>
        <w:fldChar w:fldCharType="separate"/>
      </w:r>
      <w:r>
        <w:rPr>
          <w:rFonts w:hint="eastAsia"/>
        </w:rPr>
        <w:t>一、总则</w:t>
      </w:r>
      <w:r>
        <w:tab/>
      </w:r>
      <w:r>
        <w:fldChar w:fldCharType="begin"/>
      </w:r>
      <w:r>
        <w:instrText xml:space="preserve"> PAGEREF _Toc26985 \h </w:instrText>
      </w:r>
      <w:r>
        <w:fldChar w:fldCharType="separate"/>
      </w:r>
      <w:r>
        <w:t>- 8 -</w:t>
      </w:r>
      <w:r>
        <w:fldChar w:fldCharType="end"/>
      </w:r>
      <w:r>
        <w:fldChar w:fldCharType="end"/>
      </w:r>
    </w:p>
    <w:p>
      <w:pPr>
        <w:pStyle w:val="14"/>
        <w:tabs>
          <w:tab w:val="right" w:leader="dot" w:pos="8306"/>
        </w:tabs>
      </w:pPr>
      <w:r>
        <w:fldChar w:fldCharType="begin"/>
      </w:r>
      <w:r>
        <w:instrText xml:space="preserve"> HYPERLINK \l "_Toc952" </w:instrText>
      </w:r>
      <w:r>
        <w:fldChar w:fldCharType="separate"/>
      </w:r>
      <w:r>
        <w:rPr>
          <w:rFonts w:hint="eastAsia"/>
        </w:rPr>
        <w:t>二、招标文件</w:t>
      </w:r>
      <w:r>
        <w:tab/>
      </w:r>
      <w:r>
        <w:fldChar w:fldCharType="begin"/>
      </w:r>
      <w:r>
        <w:instrText xml:space="preserve"> PAGEREF _Toc952 \h </w:instrText>
      </w:r>
      <w:r>
        <w:fldChar w:fldCharType="separate"/>
      </w:r>
      <w:r>
        <w:t>- 9 -</w:t>
      </w:r>
      <w:r>
        <w:fldChar w:fldCharType="end"/>
      </w:r>
      <w:r>
        <w:fldChar w:fldCharType="end"/>
      </w:r>
    </w:p>
    <w:p>
      <w:pPr>
        <w:pStyle w:val="14"/>
        <w:tabs>
          <w:tab w:val="right" w:leader="dot" w:pos="8306"/>
        </w:tabs>
      </w:pPr>
      <w:r>
        <w:fldChar w:fldCharType="begin"/>
      </w:r>
      <w:r>
        <w:instrText xml:space="preserve"> HYPERLINK \l "_Toc32503" </w:instrText>
      </w:r>
      <w:r>
        <w:fldChar w:fldCharType="separate"/>
      </w:r>
      <w:r>
        <w:rPr>
          <w:rFonts w:hint="eastAsia"/>
        </w:rPr>
        <w:t>三、投标文件</w:t>
      </w:r>
      <w:r>
        <w:tab/>
      </w:r>
      <w:r>
        <w:fldChar w:fldCharType="begin"/>
      </w:r>
      <w:r>
        <w:instrText xml:space="preserve"> PAGEREF _Toc32503 \h </w:instrText>
      </w:r>
      <w:r>
        <w:fldChar w:fldCharType="separate"/>
      </w:r>
      <w:r>
        <w:t>- 10 -</w:t>
      </w:r>
      <w:r>
        <w:fldChar w:fldCharType="end"/>
      </w:r>
      <w:r>
        <w:fldChar w:fldCharType="end"/>
      </w:r>
    </w:p>
    <w:p>
      <w:pPr>
        <w:pStyle w:val="14"/>
        <w:tabs>
          <w:tab w:val="right" w:leader="dot" w:pos="8306"/>
        </w:tabs>
      </w:pPr>
      <w:r>
        <w:fldChar w:fldCharType="begin"/>
      </w:r>
      <w:r>
        <w:instrText xml:space="preserve"> HYPERLINK \l "_Toc11557" </w:instrText>
      </w:r>
      <w:r>
        <w:fldChar w:fldCharType="separate"/>
      </w:r>
      <w:r>
        <w:rPr>
          <w:rFonts w:hint="eastAsia"/>
        </w:rPr>
        <w:t>四、投标文件的递交</w:t>
      </w:r>
      <w:r>
        <w:tab/>
      </w:r>
      <w:r>
        <w:fldChar w:fldCharType="begin"/>
      </w:r>
      <w:r>
        <w:instrText xml:space="preserve"> PAGEREF _Toc11557 \h </w:instrText>
      </w:r>
      <w:r>
        <w:fldChar w:fldCharType="separate"/>
      </w:r>
      <w:r>
        <w:t>- 12 -</w:t>
      </w:r>
      <w:r>
        <w:fldChar w:fldCharType="end"/>
      </w:r>
      <w:r>
        <w:fldChar w:fldCharType="end"/>
      </w:r>
    </w:p>
    <w:p>
      <w:pPr>
        <w:pStyle w:val="14"/>
        <w:tabs>
          <w:tab w:val="right" w:leader="dot" w:pos="8306"/>
        </w:tabs>
      </w:pPr>
      <w:r>
        <w:fldChar w:fldCharType="begin"/>
      </w:r>
      <w:r>
        <w:instrText xml:space="preserve"> HYPERLINK \l "_Toc1933" </w:instrText>
      </w:r>
      <w:r>
        <w:fldChar w:fldCharType="separate"/>
      </w:r>
      <w:r>
        <w:rPr>
          <w:rFonts w:hint="eastAsia"/>
        </w:rPr>
        <w:t>五、开标</w:t>
      </w:r>
      <w:r>
        <w:tab/>
      </w:r>
      <w:r>
        <w:fldChar w:fldCharType="begin"/>
      </w:r>
      <w:r>
        <w:instrText xml:space="preserve"> PAGEREF _Toc1933 \h </w:instrText>
      </w:r>
      <w:r>
        <w:fldChar w:fldCharType="separate"/>
      </w:r>
      <w:r>
        <w:t>- 13 -</w:t>
      </w:r>
      <w:r>
        <w:fldChar w:fldCharType="end"/>
      </w:r>
      <w:r>
        <w:fldChar w:fldCharType="end"/>
      </w:r>
    </w:p>
    <w:p>
      <w:pPr>
        <w:pStyle w:val="14"/>
        <w:tabs>
          <w:tab w:val="right" w:leader="dot" w:pos="8306"/>
        </w:tabs>
      </w:pPr>
      <w:r>
        <w:fldChar w:fldCharType="begin"/>
      </w:r>
      <w:r>
        <w:instrText xml:space="preserve"> HYPERLINK \l "_Toc15212" </w:instrText>
      </w:r>
      <w:r>
        <w:fldChar w:fldCharType="separate"/>
      </w:r>
      <w:r>
        <w:rPr>
          <w:rFonts w:hint="eastAsia"/>
        </w:rPr>
        <w:t>六、评标</w:t>
      </w:r>
      <w:r>
        <w:tab/>
      </w:r>
      <w:r>
        <w:fldChar w:fldCharType="begin"/>
      </w:r>
      <w:r>
        <w:instrText xml:space="preserve"> PAGEREF _Toc15212 \h </w:instrText>
      </w:r>
      <w:r>
        <w:fldChar w:fldCharType="separate"/>
      </w:r>
      <w:r>
        <w:t>- 14 -</w:t>
      </w:r>
      <w:r>
        <w:fldChar w:fldCharType="end"/>
      </w:r>
      <w:r>
        <w:fldChar w:fldCharType="end"/>
      </w:r>
    </w:p>
    <w:p>
      <w:pPr>
        <w:pStyle w:val="14"/>
        <w:tabs>
          <w:tab w:val="right" w:leader="dot" w:pos="8306"/>
        </w:tabs>
      </w:pPr>
      <w:r>
        <w:fldChar w:fldCharType="begin"/>
      </w:r>
      <w:r>
        <w:instrText xml:space="preserve"> HYPERLINK \l "_Toc16576" </w:instrText>
      </w:r>
      <w:r>
        <w:fldChar w:fldCharType="separate"/>
      </w:r>
      <w:r>
        <w:rPr>
          <w:rFonts w:hint="eastAsia"/>
        </w:rPr>
        <w:t>七、合同授予</w:t>
      </w:r>
      <w:r>
        <w:tab/>
      </w:r>
      <w:r>
        <w:fldChar w:fldCharType="begin"/>
      </w:r>
      <w:r>
        <w:instrText xml:space="preserve"> PAGEREF _Toc16576 \h </w:instrText>
      </w:r>
      <w:r>
        <w:fldChar w:fldCharType="separate"/>
      </w:r>
      <w:r>
        <w:t>- 15 -</w:t>
      </w:r>
      <w:r>
        <w:fldChar w:fldCharType="end"/>
      </w:r>
      <w:r>
        <w:fldChar w:fldCharType="end"/>
      </w:r>
    </w:p>
    <w:p>
      <w:pPr>
        <w:pStyle w:val="20"/>
        <w:tabs>
          <w:tab w:val="right" w:leader="dot" w:pos="8306"/>
        </w:tabs>
      </w:pPr>
      <w:r>
        <w:fldChar w:fldCharType="begin"/>
      </w:r>
      <w:r>
        <w:instrText xml:space="preserve"> HYPERLINK \l "_Toc20317" </w:instrText>
      </w:r>
      <w:r>
        <w:fldChar w:fldCharType="separate"/>
      </w:r>
      <w:r>
        <w:rPr>
          <w:rFonts w:hint="eastAsia"/>
        </w:rPr>
        <w:t>第三部分评标办法</w:t>
      </w:r>
      <w:r>
        <w:tab/>
      </w:r>
      <w:r>
        <w:fldChar w:fldCharType="begin"/>
      </w:r>
      <w:r>
        <w:instrText xml:space="preserve"> PAGEREF _Toc20317 \h </w:instrText>
      </w:r>
      <w:r>
        <w:fldChar w:fldCharType="separate"/>
      </w:r>
      <w:r>
        <w:t>- 16 -</w:t>
      </w:r>
      <w:r>
        <w:fldChar w:fldCharType="end"/>
      </w:r>
      <w:r>
        <w:fldChar w:fldCharType="end"/>
      </w:r>
    </w:p>
    <w:p>
      <w:pPr>
        <w:pStyle w:val="14"/>
        <w:tabs>
          <w:tab w:val="right" w:leader="dot" w:pos="8306"/>
        </w:tabs>
      </w:pPr>
      <w:r>
        <w:fldChar w:fldCharType="begin"/>
      </w:r>
      <w:r>
        <w:instrText xml:space="preserve"> HYPERLINK \l "_Toc869" </w:instrText>
      </w:r>
      <w:r>
        <w:fldChar w:fldCharType="separate"/>
      </w:r>
      <w:r>
        <w:rPr>
          <w:rFonts w:hint="eastAsia"/>
        </w:rPr>
        <w:t>一、评标方法</w:t>
      </w:r>
      <w:r>
        <w:tab/>
      </w:r>
      <w:r>
        <w:fldChar w:fldCharType="begin"/>
      </w:r>
      <w:r>
        <w:instrText xml:space="preserve"> PAGEREF _Toc869 \h </w:instrText>
      </w:r>
      <w:r>
        <w:fldChar w:fldCharType="separate"/>
      </w:r>
      <w:r>
        <w:t>- 16 -</w:t>
      </w:r>
      <w:r>
        <w:fldChar w:fldCharType="end"/>
      </w:r>
      <w:r>
        <w:fldChar w:fldCharType="end"/>
      </w:r>
    </w:p>
    <w:p>
      <w:pPr>
        <w:pStyle w:val="14"/>
        <w:tabs>
          <w:tab w:val="right" w:leader="dot" w:pos="8306"/>
        </w:tabs>
      </w:pPr>
      <w:r>
        <w:fldChar w:fldCharType="begin"/>
      </w:r>
      <w:r>
        <w:instrText xml:space="preserve"> HYPERLINK \l "_Toc21667" </w:instrText>
      </w:r>
      <w:r>
        <w:fldChar w:fldCharType="separate"/>
      </w:r>
      <w:r>
        <w:rPr>
          <w:rFonts w:hint="eastAsia"/>
        </w:rPr>
        <w:t>二、评审标准</w:t>
      </w:r>
      <w:r>
        <w:tab/>
      </w:r>
      <w:r>
        <w:fldChar w:fldCharType="begin"/>
      </w:r>
      <w:r>
        <w:instrText xml:space="preserve"> PAGEREF _Toc21667 \h </w:instrText>
      </w:r>
      <w:r>
        <w:fldChar w:fldCharType="separate"/>
      </w:r>
      <w:r>
        <w:t>- 16 -</w:t>
      </w:r>
      <w:r>
        <w:fldChar w:fldCharType="end"/>
      </w:r>
      <w:r>
        <w:fldChar w:fldCharType="end"/>
      </w:r>
    </w:p>
    <w:p>
      <w:pPr>
        <w:pStyle w:val="14"/>
        <w:tabs>
          <w:tab w:val="right" w:leader="dot" w:pos="8306"/>
        </w:tabs>
      </w:pPr>
      <w:r>
        <w:fldChar w:fldCharType="begin"/>
      </w:r>
      <w:r>
        <w:instrText xml:space="preserve"> HYPERLINK \l "_Toc12826" </w:instrText>
      </w:r>
      <w:r>
        <w:fldChar w:fldCharType="separate"/>
      </w:r>
      <w:r>
        <w:rPr>
          <w:rFonts w:hint="eastAsia"/>
        </w:rPr>
        <w:t>三、评标程序</w:t>
      </w:r>
      <w:r>
        <w:tab/>
      </w:r>
      <w:r>
        <w:fldChar w:fldCharType="begin"/>
      </w:r>
      <w:r>
        <w:instrText xml:space="preserve"> PAGEREF _Toc12826 \h </w:instrText>
      </w:r>
      <w:r>
        <w:fldChar w:fldCharType="separate"/>
      </w:r>
      <w:r>
        <w:t>- 18 -</w:t>
      </w:r>
      <w:r>
        <w:fldChar w:fldCharType="end"/>
      </w:r>
      <w:r>
        <w:fldChar w:fldCharType="end"/>
      </w:r>
    </w:p>
    <w:p>
      <w:pPr>
        <w:pStyle w:val="20"/>
        <w:tabs>
          <w:tab w:val="right" w:leader="dot" w:pos="8306"/>
        </w:tabs>
      </w:pPr>
      <w:r>
        <w:fldChar w:fldCharType="begin"/>
      </w:r>
      <w:r>
        <w:instrText xml:space="preserve"> HYPERLINK \l "_Toc6799" </w:instrText>
      </w:r>
      <w:r>
        <w:fldChar w:fldCharType="separate"/>
      </w:r>
      <w:r>
        <w:rPr>
          <w:rFonts w:hint="eastAsia"/>
        </w:rPr>
        <w:t>第四部分合同主要条款</w:t>
      </w:r>
      <w:r>
        <w:tab/>
      </w:r>
      <w:r>
        <w:fldChar w:fldCharType="begin"/>
      </w:r>
      <w:r>
        <w:instrText xml:space="preserve"> PAGEREF _Toc6799 \h </w:instrText>
      </w:r>
      <w:r>
        <w:fldChar w:fldCharType="separate"/>
      </w:r>
      <w:r>
        <w:t>- 21 -</w:t>
      </w:r>
      <w:r>
        <w:fldChar w:fldCharType="end"/>
      </w:r>
      <w:r>
        <w:fldChar w:fldCharType="end"/>
      </w:r>
    </w:p>
    <w:p>
      <w:pPr>
        <w:pStyle w:val="20"/>
        <w:tabs>
          <w:tab w:val="right" w:leader="dot" w:pos="8306"/>
        </w:tabs>
      </w:pPr>
      <w:r>
        <w:fldChar w:fldCharType="begin"/>
      </w:r>
      <w:r>
        <w:instrText xml:space="preserve"> HYPERLINK \l "_Toc16725" </w:instrText>
      </w:r>
      <w:r>
        <w:fldChar w:fldCharType="separate"/>
      </w:r>
      <w:r>
        <w:rPr>
          <w:rFonts w:hint="eastAsia"/>
        </w:rPr>
        <w:t>第五部分项目需求及技术要求</w:t>
      </w:r>
      <w:r>
        <w:tab/>
      </w:r>
      <w:r>
        <w:fldChar w:fldCharType="begin"/>
      </w:r>
      <w:r>
        <w:instrText xml:space="preserve"> PAGEREF _Toc16725 \h </w:instrText>
      </w:r>
      <w:r>
        <w:fldChar w:fldCharType="separate"/>
      </w:r>
      <w:r>
        <w:t>- 30 -</w:t>
      </w:r>
      <w:r>
        <w:fldChar w:fldCharType="end"/>
      </w:r>
      <w:r>
        <w:fldChar w:fldCharType="end"/>
      </w:r>
    </w:p>
    <w:p>
      <w:pPr>
        <w:pStyle w:val="20"/>
        <w:tabs>
          <w:tab w:val="right" w:leader="dot" w:pos="8306"/>
        </w:tabs>
      </w:pPr>
      <w:r>
        <w:fldChar w:fldCharType="begin"/>
      </w:r>
      <w:r>
        <w:instrText xml:space="preserve"> HYPERLINK \l "_Toc17538" </w:instrText>
      </w:r>
      <w:r>
        <w:fldChar w:fldCharType="separate"/>
      </w:r>
      <w:r>
        <w:rPr>
          <w:rFonts w:hint="eastAsia"/>
        </w:rPr>
        <w:t>第六部分投标文件格式</w:t>
      </w:r>
      <w:r>
        <w:tab/>
      </w:r>
      <w:r>
        <w:fldChar w:fldCharType="begin"/>
      </w:r>
      <w:r>
        <w:instrText xml:space="preserve"> PAGEREF _Toc17538 \h </w:instrText>
      </w:r>
      <w:r>
        <w:fldChar w:fldCharType="separate"/>
      </w:r>
      <w:r>
        <w:t>- 35 -</w:t>
      </w:r>
      <w:r>
        <w:fldChar w:fldCharType="end"/>
      </w:r>
      <w:r>
        <w:fldChar w:fldCharType="end"/>
      </w:r>
    </w:p>
    <w:p>
      <w:pPr>
        <w:pStyle w:val="14"/>
        <w:tabs>
          <w:tab w:val="right" w:leader="dot" w:pos="8306"/>
        </w:tabs>
      </w:pPr>
      <w:r>
        <w:fldChar w:fldCharType="begin"/>
      </w:r>
      <w:r>
        <w:instrText xml:space="preserve"> HYPERLINK \l "_Toc19626" </w:instrText>
      </w:r>
      <w:r>
        <w:fldChar w:fldCharType="separate"/>
      </w:r>
      <w:r>
        <w:rPr>
          <w:rFonts w:hint="eastAsia"/>
        </w:rPr>
        <w:t>一、封面格式</w:t>
      </w:r>
      <w:r>
        <w:tab/>
      </w:r>
      <w:r>
        <w:fldChar w:fldCharType="begin"/>
      </w:r>
      <w:r>
        <w:instrText xml:space="preserve"> PAGEREF _Toc19626 \h </w:instrText>
      </w:r>
      <w:r>
        <w:fldChar w:fldCharType="separate"/>
      </w:r>
      <w:r>
        <w:t>- 35 -</w:t>
      </w:r>
      <w:r>
        <w:fldChar w:fldCharType="end"/>
      </w:r>
      <w:r>
        <w:fldChar w:fldCharType="end"/>
      </w:r>
    </w:p>
    <w:p>
      <w:pPr>
        <w:pStyle w:val="14"/>
        <w:tabs>
          <w:tab w:val="right" w:leader="dot" w:pos="8306"/>
        </w:tabs>
      </w:pPr>
      <w:r>
        <w:fldChar w:fldCharType="begin"/>
      </w:r>
      <w:r>
        <w:instrText xml:space="preserve"> HYPERLINK \l "_Toc22165" </w:instrText>
      </w:r>
      <w:r>
        <w:fldChar w:fldCharType="separate"/>
      </w:r>
      <w:r>
        <w:rPr>
          <w:rFonts w:hint="eastAsia"/>
        </w:rPr>
        <w:t>二、目录格式</w:t>
      </w:r>
      <w:r>
        <w:tab/>
      </w:r>
      <w:r>
        <w:fldChar w:fldCharType="begin"/>
      </w:r>
      <w:r>
        <w:instrText xml:space="preserve"> PAGEREF _Toc22165 \h </w:instrText>
      </w:r>
      <w:r>
        <w:fldChar w:fldCharType="separate"/>
      </w:r>
      <w:r>
        <w:t>- 36 -</w:t>
      </w:r>
      <w:r>
        <w:fldChar w:fldCharType="end"/>
      </w:r>
      <w:r>
        <w:fldChar w:fldCharType="end"/>
      </w:r>
    </w:p>
    <w:p>
      <w:pPr>
        <w:pStyle w:val="14"/>
        <w:tabs>
          <w:tab w:val="right" w:leader="dot" w:pos="8306"/>
        </w:tabs>
      </w:pPr>
      <w:r>
        <w:fldChar w:fldCharType="begin"/>
      </w:r>
      <w:r>
        <w:instrText xml:space="preserve"> HYPERLINK \l "_Toc2909" </w:instrText>
      </w:r>
      <w:r>
        <w:fldChar w:fldCharType="separate"/>
      </w:r>
      <w:r>
        <w:rPr>
          <w:rFonts w:hint="eastAsia"/>
        </w:rPr>
        <w:t>三、投标函格式</w:t>
      </w:r>
      <w:r>
        <w:tab/>
      </w:r>
      <w:r>
        <w:fldChar w:fldCharType="begin"/>
      </w:r>
      <w:r>
        <w:instrText xml:space="preserve"> PAGEREF _Toc2909 \h </w:instrText>
      </w:r>
      <w:r>
        <w:fldChar w:fldCharType="separate"/>
      </w:r>
      <w:r>
        <w:t>- 37 -</w:t>
      </w:r>
      <w:r>
        <w:fldChar w:fldCharType="end"/>
      </w:r>
      <w:r>
        <w:fldChar w:fldCharType="end"/>
      </w:r>
    </w:p>
    <w:p>
      <w:pPr>
        <w:pStyle w:val="14"/>
        <w:tabs>
          <w:tab w:val="right" w:leader="dot" w:pos="8306"/>
        </w:tabs>
      </w:pPr>
      <w:r>
        <w:fldChar w:fldCharType="begin"/>
      </w:r>
      <w:r>
        <w:instrText xml:space="preserve"> HYPERLINK \l "_Toc2141" </w:instrText>
      </w:r>
      <w:r>
        <w:fldChar w:fldCharType="separate"/>
      </w:r>
      <w:r>
        <w:rPr>
          <w:rFonts w:hint="eastAsia"/>
        </w:rPr>
        <w:t>四、开标一览表格式</w:t>
      </w:r>
      <w:r>
        <w:tab/>
      </w:r>
      <w:r>
        <w:fldChar w:fldCharType="begin"/>
      </w:r>
      <w:r>
        <w:instrText xml:space="preserve"> PAGEREF _Toc2141 \h </w:instrText>
      </w:r>
      <w:r>
        <w:fldChar w:fldCharType="separate"/>
      </w:r>
      <w:r>
        <w:t>- 38 -</w:t>
      </w:r>
      <w:r>
        <w:fldChar w:fldCharType="end"/>
      </w:r>
      <w:r>
        <w:fldChar w:fldCharType="end"/>
      </w:r>
    </w:p>
    <w:p>
      <w:pPr>
        <w:pStyle w:val="14"/>
        <w:tabs>
          <w:tab w:val="right" w:leader="dot" w:pos="8306"/>
        </w:tabs>
      </w:pPr>
      <w:r>
        <w:fldChar w:fldCharType="begin"/>
      </w:r>
      <w:r>
        <w:instrText xml:space="preserve"> HYPERLINK \l "_Toc18053" </w:instrText>
      </w:r>
      <w:r>
        <w:fldChar w:fldCharType="separate"/>
      </w:r>
      <w:r>
        <w:rPr>
          <w:rFonts w:hint="eastAsia"/>
        </w:rPr>
        <w:t>五、投标报价明细表格式</w:t>
      </w:r>
      <w:r>
        <w:tab/>
      </w:r>
      <w:r>
        <w:fldChar w:fldCharType="begin"/>
      </w:r>
      <w:r>
        <w:instrText xml:space="preserve"> PAGEREF _Toc18053 \h </w:instrText>
      </w:r>
      <w:r>
        <w:fldChar w:fldCharType="separate"/>
      </w:r>
      <w:r>
        <w:t>- 39 -</w:t>
      </w:r>
      <w:r>
        <w:fldChar w:fldCharType="end"/>
      </w:r>
      <w:r>
        <w:fldChar w:fldCharType="end"/>
      </w:r>
    </w:p>
    <w:p>
      <w:pPr>
        <w:pStyle w:val="14"/>
        <w:tabs>
          <w:tab w:val="right" w:leader="dot" w:pos="8306"/>
        </w:tabs>
      </w:pPr>
      <w:r>
        <w:fldChar w:fldCharType="begin"/>
      </w:r>
      <w:r>
        <w:instrText xml:space="preserve"> HYPERLINK \l "_Toc5894" </w:instrText>
      </w:r>
      <w:r>
        <w:fldChar w:fldCharType="separate"/>
      </w:r>
      <w:r>
        <w:rPr>
          <w:rFonts w:hint="eastAsia"/>
        </w:rPr>
        <w:t>六、商务偏离表格式</w:t>
      </w:r>
      <w:r>
        <w:tab/>
      </w:r>
      <w:r>
        <w:fldChar w:fldCharType="begin"/>
      </w:r>
      <w:r>
        <w:instrText xml:space="preserve"> PAGEREF _Toc5894 \h </w:instrText>
      </w:r>
      <w:r>
        <w:fldChar w:fldCharType="separate"/>
      </w:r>
      <w:r>
        <w:t>- 42 -</w:t>
      </w:r>
      <w:r>
        <w:fldChar w:fldCharType="end"/>
      </w:r>
      <w:r>
        <w:fldChar w:fldCharType="end"/>
      </w:r>
    </w:p>
    <w:p>
      <w:pPr>
        <w:pStyle w:val="14"/>
        <w:tabs>
          <w:tab w:val="right" w:leader="dot" w:pos="8306"/>
        </w:tabs>
      </w:pPr>
      <w:r>
        <w:fldChar w:fldCharType="begin"/>
      </w:r>
      <w:r>
        <w:instrText xml:space="preserve"> HYPERLINK \l "_Toc17737" </w:instrText>
      </w:r>
      <w:r>
        <w:fldChar w:fldCharType="separate"/>
      </w:r>
      <w:r>
        <w:rPr>
          <w:rFonts w:hint="eastAsia"/>
        </w:rPr>
        <w:t>七、技术偏离表格式</w:t>
      </w:r>
      <w:r>
        <w:tab/>
      </w:r>
      <w:r>
        <w:fldChar w:fldCharType="begin"/>
      </w:r>
      <w:r>
        <w:instrText xml:space="preserve"> PAGEREF _Toc17737 \h </w:instrText>
      </w:r>
      <w:r>
        <w:fldChar w:fldCharType="separate"/>
      </w:r>
      <w:r>
        <w:t>- 43 -</w:t>
      </w:r>
      <w:r>
        <w:fldChar w:fldCharType="end"/>
      </w:r>
      <w:r>
        <w:fldChar w:fldCharType="end"/>
      </w:r>
    </w:p>
    <w:p>
      <w:pPr>
        <w:pStyle w:val="14"/>
        <w:tabs>
          <w:tab w:val="right" w:leader="dot" w:pos="8306"/>
        </w:tabs>
      </w:pPr>
      <w:r>
        <w:fldChar w:fldCharType="begin"/>
      </w:r>
      <w:r>
        <w:instrText xml:space="preserve"> HYPERLINK \l "_Toc22813" </w:instrText>
      </w:r>
      <w:r>
        <w:fldChar w:fldCharType="separate"/>
      </w:r>
      <w:r>
        <w:rPr>
          <w:rFonts w:hint="eastAsia"/>
        </w:rPr>
        <w:t>八、</w:t>
      </w:r>
      <w:r>
        <w:rPr>
          <w:rFonts w:hint="eastAsia" w:ascii="黑体" w:hAnsi="黑体"/>
        </w:rPr>
        <w:t>实施方案的详细描述格式</w:t>
      </w:r>
      <w:r>
        <w:tab/>
      </w:r>
      <w:r>
        <w:fldChar w:fldCharType="begin"/>
      </w:r>
      <w:r>
        <w:instrText xml:space="preserve"> PAGEREF _Toc22813 \h </w:instrText>
      </w:r>
      <w:r>
        <w:fldChar w:fldCharType="separate"/>
      </w:r>
      <w:r>
        <w:t>- 44 -</w:t>
      </w:r>
      <w:r>
        <w:fldChar w:fldCharType="end"/>
      </w:r>
      <w:r>
        <w:fldChar w:fldCharType="end"/>
      </w:r>
    </w:p>
    <w:p>
      <w:pPr>
        <w:pStyle w:val="14"/>
        <w:tabs>
          <w:tab w:val="right" w:leader="dot" w:pos="8306"/>
        </w:tabs>
      </w:pPr>
      <w:r>
        <w:fldChar w:fldCharType="begin"/>
      </w:r>
      <w:r>
        <w:instrText xml:space="preserve"> HYPERLINK \l "_Toc2045" </w:instrText>
      </w:r>
      <w:r>
        <w:fldChar w:fldCharType="separate"/>
      </w:r>
      <w:r>
        <w:rPr>
          <w:rFonts w:hint="eastAsia"/>
        </w:rPr>
        <w:t>九、法定代表人身份证明格式</w:t>
      </w:r>
      <w:r>
        <w:tab/>
      </w:r>
      <w:r>
        <w:fldChar w:fldCharType="begin"/>
      </w:r>
      <w:r>
        <w:instrText xml:space="preserve"> PAGEREF _Toc2045 \h </w:instrText>
      </w:r>
      <w:r>
        <w:fldChar w:fldCharType="separate"/>
      </w:r>
      <w:r>
        <w:t>- 45 -</w:t>
      </w:r>
      <w:r>
        <w:fldChar w:fldCharType="end"/>
      </w:r>
      <w:r>
        <w:fldChar w:fldCharType="end"/>
      </w:r>
    </w:p>
    <w:p>
      <w:pPr>
        <w:pStyle w:val="14"/>
        <w:tabs>
          <w:tab w:val="right" w:leader="dot" w:pos="8306"/>
        </w:tabs>
      </w:pPr>
      <w:r>
        <w:fldChar w:fldCharType="begin"/>
      </w:r>
      <w:r>
        <w:instrText xml:space="preserve"> HYPERLINK \l "_Toc10680" </w:instrText>
      </w:r>
      <w:r>
        <w:fldChar w:fldCharType="separate"/>
      </w:r>
      <w:r>
        <w:rPr>
          <w:rFonts w:hint="eastAsia"/>
        </w:rPr>
        <w:t>十、授权委托书格式</w:t>
      </w:r>
      <w:r>
        <w:tab/>
      </w:r>
      <w:r>
        <w:fldChar w:fldCharType="begin"/>
      </w:r>
      <w:r>
        <w:instrText xml:space="preserve"> PAGEREF _Toc10680 \h </w:instrText>
      </w:r>
      <w:r>
        <w:fldChar w:fldCharType="separate"/>
      </w:r>
      <w:r>
        <w:t>- 46 -</w:t>
      </w:r>
      <w:r>
        <w:fldChar w:fldCharType="end"/>
      </w:r>
      <w:r>
        <w:fldChar w:fldCharType="end"/>
      </w:r>
    </w:p>
    <w:p>
      <w:pPr>
        <w:pStyle w:val="14"/>
        <w:tabs>
          <w:tab w:val="right" w:leader="dot" w:pos="8306"/>
        </w:tabs>
      </w:pPr>
      <w:r>
        <w:fldChar w:fldCharType="begin"/>
      </w:r>
      <w:r>
        <w:instrText xml:space="preserve"> HYPERLINK \l "_Toc12583" </w:instrText>
      </w:r>
      <w:r>
        <w:fldChar w:fldCharType="separate"/>
      </w:r>
      <w:r>
        <w:rPr>
          <w:rFonts w:hint="eastAsia" w:cs="黑体"/>
        </w:rPr>
        <w:t>十一、资格证明文件</w:t>
      </w:r>
      <w:r>
        <w:tab/>
      </w:r>
      <w:r>
        <w:fldChar w:fldCharType="begin"/>
      </w:r>
      <w:r>
        <w:instrText xml:space="preserve"> PAGEREF _Toc12583 \h </w:instrText>
      </w:r>
      <w:r>
        <w:fldChar w:fldCharType="separate"/>
      </w:r>
      <w:r>
        <w:t>- 47 -</w:t>
      </w:r>
      <w:r>
        <w:fldChar w:fldCharType="end"/>
      </w:r>
      <w:r>
        <w:fldChar w:fldCharType="end"/>
      </w:r>
    </w:p>
    <w:p>
      <w:pPr>
        <w:pStyle w:val="14"/>
        <w:tabs>
          <w:tab w:val="right" w:leader="dot" w:pos="8306"/>
        </w:tabs>
      </w:pPr>
      <w:r>
        <w:fldChar w:fldCharType="begin"/>
      </w:r>
      <w:r>
        <w:instrText xml:space="preserve"> HYPERLINK \l "_Toc11749" </w:instrText>
      </w:r>
      <w:r>
        <w:fldChar w:fldCharType="separate"/>
      </w:r>
      <w:r>
        <w:rPr>
          <w:rFonts w:cs="黑体"/>
        </w:rPr>
        <w:t>十</w:t>
      </w:r>
      <w:r>
        <w:rPr>
          <w:rFonts w:hint="eastAsia" w:cs="黑体"/>
        </w:rPr>
        <w:t>二、招标文件要求的其他内容</w:t>
      </w:r>
      <w:r>
        <w:tab/>
      </w:r>
      <w:r>
        <w:fldChar w:fldCharType="begin"/>
      </w:r>
      <w:r>
        <w:instrText xml:space="preserve"> PAGEREF _Toc11749 \h </w:instrText>
      </w:r>
      <w:r>
        <w:fldChar w:fldCharType="separate"/>
      </w:r>
      <w:r>
        <w:t>- 48 -</w:t>
      </w:r>
      <w:r>
        <w:fldChar w:fldCharType="end"/>
      </w:r>
      <w:r>
        <w:fldChar w:fldCharType="end"/>
      </w:r>
    </w:p>
    <w:p>
      <w:pPr>
        <w:pStyle w:val="14"/>
        <w:tabs>
          <w:tab w:val="right" w:leader="dot" w:pos="8306"/>
        </w:tabs>
      </w:pPr>
      <w:r>
        <w:fldChar w:fldCharType="begin"/>
      </w:r>
      <w:r>
        <w:instrText xml:space="preserve"> HYPERLINK \l "_Toc13242" </w:instrText>
      </w:r>
      <w:r>
        <w:fldChar w:fldCharType="separate"/>
      </w:r>
      <w:r>
        <w:rPr>
          <w:rFonts w:hint="eastAsia"/>
          <w:kern w:val="0"/>
        </w:rPr>
        <w:t>十三、投标保证金退款及开票信息表</w:t>
      </w:r>
      <w:r>
        <w:tab/>
      </w:r>
      <w:r>
        <w:fldChar w:fldCharType="begin"/>
      </w:r>
      <w:r>
        <w:instrText xml:space="preserve"> PAGEREF _Toc13242 \h </w:instrText>
      </w:r>
      <w:r>
        <w:fldChar w:fldCharType="separate"/>
      </w:r>
      <w:r>
        <w:t>- 49 -</w:t>
      </w:r>
      <w:r>
        <w:fldChar w:fldCharType="end"/>
      </w:r>
      <w:r>
        <w:fldChar w:fldCharType="end"/>
      </w:r>
    </w:p>
    <w:p>
      <w:pPr>
        <w:pStyle w:val="14"/>
        <w:tabs>
          <w:tab w:val="right" w:leader="dot" w:pos="8306"/>
        </w:tabs>
      </w:pPr>
      <w:r>
        <w:fldChar w:fldCharType="begin"/>
      </w:r>
      <w:r>
        <w:instrText xml:space="preserve"> HYPERLINK \l "_Toc20099" </w:instrText>
      </w:r>
      <w:r>
        <w:fldChar w:fldCharType="separate"/>
      </w:r>
      <w:r>
        <w:rPr>
          <w:rFonts w:hint="eastAsia"/>
        </w:rPr>
        <w:t>十四、投标人承诺书格式</w:t>
      </w:r>
      <w:r>
        <w:tab/>
      </w:r>
      <w:r>
        <w:fldChar w:fldCharType="begin"/>
      </w:r>
      <w:r>
        <w:instrText xml:space="preserve"> PAGEREF _Toc20099 \h </w:instrText>
      </w:r>
      <w:r>
        <w:fldChar w:fldCharType="separate"/>
      </w:r>
      <w:r>
        <w:t>- 50 -</w:t>
      </w:r>
      <w:r>
        <w:fldChar w:fldCharType="end"/>
      </w:r>
      <w:r>
        <w:fldChar w:fldCharType="end"/>
      </w:r>
    </w:p>
    <w:p>
      <w:pPr>
        <w:pStyle w:val="40"/>
        <w:snapToGrid w:val="0"/>
        <w:spacing w:before="0" w:after="0" w:line="360" w:lineRule="exact"/>
      </w:pPr>
      <w:r>
        <w:rPr>
          <w:bCs w:val="0"/>
          <w:lang w:val="zh-CN"/>
        </w:rPr>
        <w:fldChar w:fldCharType="end"/>
      </w:r>
      <w:bookmarkStart w:id="0" w:name="_Toc356932941"/>
      <w:bookmarkStart w:id="1" w:name="_Toc320688698"/>
      <w:bookmarkStart w:id="2" w:name="_Toc362246736"/>
      <w:bookmarkStart w:id="3" w:name="_Toc12859"/>
      <w:bookmarkStart w:id="4" w:name="_Toc320187428"/>
      <w:bookmarkStart w:id="5" w:name="_Toc356932942"/>
      <w:bookmarkStart w:id="6" w:name="_Toc362246737"/>
      <w:r>
        <w:rPr>
          <w:b/>
          <w:bCs w:val="0"/>
          <w:sz w:val="24"/>
          <w:lang w:val="zh-CN"/>
        </w:rPr>
        <w:br w:type="page"/>
      </w:r>
      <w:r>
        <w:rPr>
          <w:rFonts w:hint="eastAsia"/>
        </w:rPr>
        <w:t>第一部分招标公告</w:t>
      </w:r>
      <w:bookmarkEnd w:id="0"/>
      <w:bookmarkEnd w:id="1"/>
      <w:bookmarkEnd w:id="2"/>
      <w:bookmarkEnd w:id="3"/>
    </w:p>
    <w:p>
      <w:pPr>
        <w:spacing w:line="360" w:lineRule="auto"/>
        <w:ind w:right="25" w:rightChars="12"/>
        <w:jc w:val="center"/>
        <w:rPr>
          <w:rFonts w:ascii="黑体" w:hAnsi="黑体" w:eastAsia="黑体"/>
          <w:sz w:val="28"/>
          <w:szCs w:val="28"/>
        </w:rPr>
      </w:pPr>
      <w:bookmarkStart w:id="7" w:name="OLE_LINK1"/>
    </w:p>
    <w:p>
      <w:pPr>
        <w:spacing w:line="360" w:lineRule="auto"/>
        <w:ind w:right="25" w:rightChars="12"/>
        <w:jc w:val="center"/>
        <w:rPr>
          <w:rFonts w:ascii="黑体" w:hAnsi="黑体" w:eastAsia="黑体"/>
          <w:sz w:val="28"/>
          <w:szCs w:val="28"/>
        </w:rPr>
      </w:pPr>
      <w:r>
        <w:rPr>
          <w:rFonts w:hint="eastAsia" w:ascii="黑体" w:hAnsi="黑体" w:eastAsia="黑体"/>
          <w:sz w:val="28"/>
          <w:szCs w:val="28"/>
        </w:rPr>
        <w:t>山东中烟工业有限责任公司青州卷烟厂滤棒搭口胶集中制冷装置维修项目（</w:t>
      </w:r>
      <w:r>
        <w:rPr>
          <w:rFonts w:hint="eastAsia" w:ascii="黑体" w:hAnsi="黑体" w:eastAsia="黑体"/>
          <w:sz w:val="28"/>
          <w:szCs w:val="28"/>
          <w:lang w:eastAsia="zh-CN"/>
        </w:rPr>
        <w:t>三次</w:t>
      </w:r>
      <w:r>
        <w:rPr>
          <w:rFonts w:hint="eastAsia" w:ascii="黑体" w:hAnsi="黑体" w:eastAsia="黑体"/>
          <w:sz w:val="28"/>
          <w:szCs w:val="28"/>
        </w:rPr>
        <w:t>）招标公告</w:t>
      </w:r>
    </w:p>
    <w:p>
      <w:pPr>
        <w:spacing w:line="360" w:lineRule="auto"/>
        <w:ind w:right="25" w:rightChars="12" w:firstLine="420" w:firstLineChars="200"/>
        <w:rPr>
          <w:szCs w:val="21"/>
        </w:rPr>
      </w:pPr>
      <w:r>
        <w:rPr>
          <w:rFonts w:hint="eastAsia"/>
          <w:szCs w:val="21"/>
        </w:rPr>
        <w:t>山东中烟工业有限责任公司青州卷烟厂滤棒搭口胶集中制冷装置维修项目（</w:t>
      </w:r>
      <w:r>
        <w:rPr>
          <w:rFonts w:hint="eastAsia"/>
          <w:szCs w:val="21"/>
          <w:lang w:eastAsia="zh-CN"/>
        </w:rPr>
        <w:t>三次</w:t>
      </w:r>
      <w:r>
        <w:rPr>
          <w:rFonts w:hint="eastAsia"/>
          <w:szCs w:val="21"/>
        </w:rPr>
        <w:t>）已具备招标条件，招标方式为公开招标。</w:t>
      </w:r>
    </w:p>
    <w:p>
      <w:pPr>
        <w:spacing w:line="360" w:lineRule="auto"/>
        <w:ind w:firstLine="422" w:firstLineChars="200"/>
        <w:rPr>
          <w:rFonts w:ascii="宋体" w:hAnsi="宋体" w:cs="SimSun,Bold"/>
          <w:b/>
          <w:bCs/>
        </w:rPr>
      </w:pPr>
      <w:r>
        <w:rPr>
          <w:rFonts w:hint="eastAsia" w:ascii="宋体" w:hAnsi="宋体" w:cs="SimSun,Bold"/>
          <w:b/>
          <w:bCs/>
        </w:rPr>
        <w:t>一、项目概况和招标范围</w:t>
      </w:r>
    </w:p>
    <w:p>
      <w:pPr>
        <w:spacing w:line="360" w:lineRule="auto"/>
        <w:ind w:right="25" w:rightChars="12" w:firstLine="420" w:firstLineChars="200"/>
        <w:rPr>
          <w:rFonts w:ascii="宋体" w:hAnsi="宋体" w:cs="宋体"/>
          <w:szCs w:val="21"/>
        </w:rPr>
      </w:pPr>
      <w:bookmarkStart w:id="8" w:name="_Hlk51166750"/>
      <w:r>
        <w:rPr>
          <w:rFonts w:hint="eastAsia" w:ascii="宋体" w:hAnsi="宋体" w:cs="宋体"/>
          <w:szCs w:val="21"/>
        </w:rPr>
        <w:t>1.招标人编号：</w:t>
      </w:r>
      <w:r>
        <w:rPr>
          <w:rFonts w:ascii="宋体" w:hAnsi="宋体" w:cs="宋体"/>
          <w:szCs w:val="21"/>
        </w:rPr>
        <w:t>QZGKZB-2023-013</w:t>
      </w:r>
      <w:r>
        <w:rPr>
          <w:rFonts w:hint="eastAsia" w:ascii="宋体" w:hAnsi="宋体" w:cs="宋体"/>
          <w:szCs w:val="21"/>
        </w:rPr>
        <w:t>；招标代理机构编号：FZJTJN20230504-061。</w:t>
      </w:r>
    </w:p>
    <w:p>
      <w:pPr>
        <w:spacing w:line="360" w:lineRule="auto"/>
        <w:ind w:right="25" w:rightChars="12"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项目名称：山东中烟工业有限责任公司青州卷烟厂滤棒搭口胶集中制冷装置维修项目（</w:t>
      </w:r>
      <w:r>
        <w:rPr>
          <w:rFonts w:hint="eastAsia" w:ascii="宋体" w:hAnsi="宋体" w:cs="宋体"/>
          <w:szCs w:val="21"/>
          <w:lang w:eastAsia="zh-CN"/>
        </w:rPr>
        <w:t>三次</w:t>
      </w:r>
      <w:r>
        <w:rPr>
          <w:rFonts w:hint="eastAsia" w:ascii="宋体" w:hAnsi="宋体" w:cs="宋体"/>
          <w:szCs w:val="21"/>
        </w:rPr>
        <w:t>）。</w:t>
      </w:r>
    </w:p>
    <w:p>
      <w:pPr>
        <w:spacing w:line="360" w:lineRule="auto"/>
        <w:ind w:right="25" w:rightChars="12" w:firstLine="420" w:firstLineChars="200"/>
        <w:rPr>
          <w:rFonts w:ascii="宋体" w:hAnsi="宋体" w:cs="宋体"/>
          <w:szCs w:val="21"/>
        </w:rPr>
      </w:pPr>
      <w:r>
        <w:rPr>
          <w:rFonts w:ascii="宋体" w:hAnsi="宋体" w:cs="宋体"/>
          <w:szCs w:val="21"/>
        </w:rPr>
        <w:t>3</w:t>
      </w:r>
      <w:r>
        <w:rPr>
          <w:rFonts w:hint="eastAsia" w:ascii="宋体" w:hAnsi="宋体" w:cs="宋体"/>
          <w:szCs w:val="21"/>
        </w:rPr>
        <w:t>.实施周期：自合同生效之日起90天内具备项目施工条件，具体施工日期由招标人根据实际排产情况确定并提前3天通知投标人，采用现场维修方式，施工总时间不超过15天。</w:t>
      </w:r>
    </w:p>
    <w:p>
      <w:pPr>
        <w:spacing w:line="360" w:lineRule="auto"/>
        <w:ind w:right="25" w:rightChars="12" w:firstLine="420" w:firstLineChars="200"/>
        <w:rPr>
          <w:rFonts w:ascii="宋体" w:hAnsi="宋体" w:cs="宋体"/>
          <w:szCs w:val="21"/>
        </w:rPr>
      </w:pPr>
      <w:r>
        <w:rPr>
          <w:rFonts w:ascii="宋体" w:hAnsi="宋体" w:cs="宋体"/>
          <w:szCs w:val="21"/>
        </w:rPr>
        <w:t>4</w:t>
      </w:r>
      <w:r>
        <w:rPr>
          <w:rFonts w:hint="eastAsia" w:ascii="宋体" w:hAnsi="宋体" w:cs="宋体"/>
          <w:szCs w:val="21"/>
        </w:rPr>
        <w:t>.实施地点：招标人厂区（山东省青州市玲珑山北路1818号）。</w:t>
      </w:r>
    </w:p>
    <w:p>
      <w:pPr>
        <w:spacing w:line="360" w:lineRule="auto"/>
        <w:ind w:right="25" w:rightChars="12" w:firstLine="420" w:firstLineChars="200"/>
        <w:rPr>
          <w:rFonts w:ascii="宋体" w:hAnsi="宋体" w:cs="宋体"/>
          <w:szCs w:val="21"/>
        </w:rPr>
      </w:pPr>
      <w:r>
        <w:rPr>
          <w:rFonts w:ascii="宋体" w:hAnsi="宋体" w:cs="宋体"/>
          <w:szCs w:val="21"/>
        </w:rPr>
        <w:t>5</w:t>
      </w:r>
      <w:r>
        <w:rPr>
          <w:rFonts w:hint="eastAsia" w:ascii="宋体" w:hAnsi="宋体" w:cs="宋体"/>
          <w:szCs w:val="21"/>
        </w:rPr>
        <w:t>.项目内容：滤棒搭口胶集中制冷装置维修，更换压缩机、压机冷冻油、油液分离器、膨胀系统、循环水泵、水压传感器、温度传感器等零部件，维修电控系统，恢复设备性能。具体要求详见招标文件第五部分。</w:t>
      </w:r>
    </w:p>
    <w:p>
      <w:pPr>
        <w:spacing w:line="360" w:lineRule="auto"/>
        <w:ind w:right="25" w:rightChars="12" w:firstLine="420" w:firstLineChars="200"/>
        <w:rPr>
          <w:rFonts w:ascii="宋体" w:hAnsi="宋体"/>
          <w:bCs/>
          <w:szCs w:val="21"/>
          <w:u w:val="single"/>
        </w:rPr>
      </w:pPr>
      <w:r>
        <w:rPr>
          <w:rFonts w:ascii="宋体" w:hAnsi="宋体"/>
          <w:bCs/>
          <w:szCs w:val="21"/>
        </w:rPr>
        <w:t>6</w:t>
      </w:r>
      <w:r>
        <w:rPr>
          <w:rFonts w:hint="eastAsia" w:ascii="宋体" w:hAnsi="宋体"/>
          <w:bCs/>
          <w:szCs w:val="21"/>
        </w:rPr>
        <w:t>.最高投标限价（含税、人民币</w:t>
      </w:r>
      <w:r>
        <w:rPr>
          <w:rFonts w:hint="eastAsia" w:ascii="宋体" w:hAnsi="宋体" w:cs="宋体"/>
          <w:bCs/>
          <w:szCs w:val="21"/>
        </w:rPr>
        <w:t>）：</w:t>
      </w:r>
      <w:r>
        <w:rPr>
          <w:rFonts w:hint="eastAsia" w:ascii="宋体" w:hAnsi="宋体" w:cs="宋体"/>
          <w:color w:val="000000"/>
          <w:szCs w:val="21"/>
          <w:shd w:val="clear" w:color="auto" w:fill="FFFFFF"/>
        </w:rPr>
        <w:t>65</w:t>
      </w:r>
      <w:r>
        <w:rPr>
          <w:rFonts w:hint="eastAsia" w:ascii="宋体" w:hAnsi="宋体" w:cs="宋体"/>
          <w:szCs w:val="21"/>
        </w:rPr>
        <w:t>万</w:t>
      </w:r>
      <w:r>
        <w:rPr>
          <w:rFonts w:hint="eastAsia" w:ascii="宋体" w:hAnsi="宋体"/>
          <w:szCs w:val="21"/>
        </w:rPr>
        <w:t>元，</w:t>
      </w:r>
      <w:r>
        <w:rPr>
          <w:rFonts w:hint="eastAsia" w:ascii="宋体" w:hAnsi="宋体"/>
          <w:bCs/>
          <w:szCs w:val="21"/>
        </w:rPr>
        <w:t>超过最高投标限价的按照无效投标处理。</w:t>
      </w:r>
    </w:p>
    <w:bookmarkEnd w:id="8"/>
    <w:p>
      <w:pPr>
        <w:spacing w:line="360" w:lineRule="auto"/>
        <w:ind w:right="25" w:rightChars="12" w:firstLine="422" w:firstLineChars="200"/>
        <w:rPr>
          <w:rFonts w:ascii="宋体" w:hAnsi="宋体" w:cs="SimSun,Bold"/>
          <w:b/>
          <w:bCs/>
        </w:rPr>
      </w:pPr>
      <w:r>
        <w:rPr>
          <w:rFonts w:hint="eastAsia" w:ascii="宋体" w:hAnsi="宋体" w:cs="SimSun,Bold"/>
          <w:b/>
          <w:bCs/>
        </w:rPr>
        <w:t>二、投标人资格要求</w:t>
      </w:r>
    </w:p>
    <w:p>
      <w:pPr>
        <w:spacing w:line="360" w:lineRule="auto"/>
        <w:ind w:firstLine="420" w:firstLineChars="200"/>
        <w:rPr>
          <w:rFonts w:ascii="宋体" w:hAnsi="宋体" w:cs="宋体"/>
        </w:rPr>
      </w:pPr>
      <w:r>
        <w:rPr>
          <w:rFonts w:ascii="宋体" w:hAnsi="宋体" w:cs="宋体"/>
        </w:rPr>
        <w:t>1.</w:t>
      </w:r>
      <w:r>
        <w:rPr>
          <w:rFonts w:hint="eastAsia" w:ascii="宋体" w:hAnsi="宋体" w:cs="宋体"/>
        </w:rPr>
        <w:t>投标人必须是在中华人民共和国境内注册并合法运作的法人或其他组织，具有良好的商业信誉和健全的财务会计制度。</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投标人具有履行合同所必需的</w:t>
      </w:r>
      <w:r>
        <w:rPr>
          <w:rFonts w:hint="eastAsia" w:ascii="宋体" w:hAnsi="宋体" w:cs="宋体"/>
        </w:rPr>
        <w:t>设备和</w:t>
      </w:r>
      <w:r>
        <w:rPr>
          <w:rFonts w:ascii="宋体" w:hAnsi="宋体" w:cs="宋体"/>
        </w:rPr>
        <w:t>专业技术能力，经营范围须涵盖所投标内容</w:t>
      </w:r>
      <w:r>
        <w:rPr>
          <w:rFonts w:hint="eastAsia" w:ascii="宋体" w:hAnsi="宋体" w:cs="宋体"/>
        </w:rPr>
        <w:t>，有依法缴纳税收和社会保障资金的良好记录，具备开具增值税专用发票的能力。</w:t>
      </w:r>
      <w:r>
        <w:rPr>
          <w:rFonts w:hint="eastAsia" w:ascii="宋体" w:hAnsi="宋体" w:cs="宋体"/>
        </w:rPr>
        <w:tab/>
      </w:r>
    </w:p>
    <w:p>
      <w:pPr>
        <w:adjustRightInd w:val="0"/>
        <w:snapToGrid w:val="0"/>
        <w:spacing w:line="360" w:lineRule="auto"/>
        <w:ind w:firstLine="420" w:firstLineChars="200"/>
        <w:rPr>
          <w:rFonts w:ascii="宋体" w:hAnsi="宋体" w:cs="宋体"/>
        </w:rPr>
      </w:pPr>
      <w:r>
        <w:rPr>
          <w:rFonts w:ascii="宋体" w:hAnsi="宋体" w:cs="宋体"/>
        </w:rPr>
        <w:t>3.</w:t>
      </w:r>
      <w:r>
        <w:rPr>
          <w:rFonts w:hint="eastAsia" w:ascii="宋体" w:hAnsi="宋体" w:cs="宋体"/>
        </w:rPr>
        <w:t xml:space="preserve"> 单位负责人为同一人或者存在控股、管理关系的不同单位，不得同时参加本项目投标，否则由最先报名单位取得投标资格，以“国家企业信用信息公示系统和天眼查”的查询结果为准。</w:t>
      </w:r>
    </w:p>
    <w:p>
      <w:pPr>
        <w:spacing w:line="360" w:lineRule="auto"/>
        <w:ind w:firstLine="420" w:firstLineChars="200"/>
        <w:rPr>
          <w:rFonts w:ascii="宋体" w:hAnsi="宋体" w:cs="宋体"/>
        </w:rPr>
      </w:pPr>
      <w:r>
        <w:rPr>
          <w:rFonts w:ascii="宋体" w:hAnsi="宋体" w:cs="宋体"/>
        </w:rPr>
        <w:t>4.投标人无违反有关的国家法律、法规和条例及违反商业道德的劣迹及其他不良记录(列入黑名单、经营异常或严重违法失信行为信息记录的)，供应商自行查询，招标代理公司查询验证，以在“国家企业信用信息公示系统、天眼查、中国政府采购网和信用中国”近三年(自2020年</w:t>
      </w:r>
      <w:r>
        <w:rPr>
          <w:rFonts w:hint="eastAsia" w:ascii="宋体" w:hAnsi="宋体" w:cs="宋体"/>
        </w:rPr>
        <w:t>5</w:t>
      </w:r>
      <w:r>
        <w:rPr>
          <w:rFonts w:ascii="宋体" w:hAnsi="宋体" w:cs="宋体"/>
        </w:rPr>
        <w:t>月1日起)的查询结果为准。</w:t>
      </w:r>
    </w:p>
    <w:p>
      <w:pPr>
        <w:wordWrap w:val="0"/>
        <w:spacing w:line="360" w:lineRule="auto"/>
        <w:ind w:firstLine="420" w:firstLineChars="200"/>
        <w:rPr>
          <w:rFonts w:ascii="宋体" w:hAnsi="宋体" w:cs="宋体"/>
        </w:rPr>
      </w:pPr>
      <w:r>
        <w:rPr>
          <w:rFonts w:ascii="宋体" w:hAnsi="宋体" w:cs="宋体"/>
        </w:rPr>
        <w:t>5.</w:t>
      </w:r>
      <w:r>
        <w:rPr>
          <w:rFonts w:hint="eastAsia" w:ascii="宋体" w:hAnsi="宋体" w:cs="宋体"/>
        </w:rPr>
        <w:t>投标人自</w:t>
      </w:r>
      <w:r>
        <w:rPr>
          <w:rFonts w:ascii="宋体" w:hAnsi="宋体" w:cs="宋体"/>
        </w:rPr>
        <w:t>2020年</w:t>
      </w:r>
      <w:r>
        <w:rPr>
          <w:rFonts w:hint="eastAsia" w:ascii="宋体" w:hAnsi="宋体" w:cs="宋体"/>
        </w:rPr>
        <w:t>5</w:t>
      </w:r>
      <w:r>
        <w:rPr>
          <w:rFonts w:ascii="宋体" w:hAnsi="宋体" w:cs="宋体"/>
        </w:rPr>
        <w:t>月1日</w:t>
      </w:r>
      <w:r>
        <w:rPr>
          <w:rFonts w:hint="eastAsia" w:ascii="宋体" w:hAnsi="宋体" w:cs="宋体"/>
        </w:rPr>
        <w:t>（近三年）至今无行贿犯罪行为记录（以中国裁判文书网的查询结果为准）。</w:t>
      </w:r>
    </w:p>
    <w:p>
      <w:pPr>
        <w:wordWrap w:val="0"/>
        <w:spacing w:line="360" w:lineRule="auto"/>
        <w:ind w:firstLine="420" w:firstLineChars="200"/>
        <w:rPr>
          <w:rFonts w:ascii="宋体" w:hAnsi="宋体" w:cs="宋体"/>
        </w:rPr>
      </w:pPr>
      <w:r>
        <w:rPr>
          <w:rFonts w:hint="eastAsia" w:ascii="宋体" w:hAnsi="宋体" w:cs="宋体"/>
        </w:rPr>
        <w:t>6</w:t>
      </w:r>
      <w:r>
        <w:rPr>
          <w:rFonts w:ascii="宋体" w:hAnsi="宋体" w:cs="宋体"/>
        </w:rPr>
        <w:t>.</w:t>
      </w:r>
      <w:r>
        <w:rPr>
          <w:rFonts w:hint="eastAsia" w:ascii="宋体" w:hAnsi="宋体" w:cs="宋体"/>
        </w:rPr>
        <w:t>投标人未被列入烟草行业及所属单位行贿行为供应商名单范围（还包括行贿行为供应商名单中的人员担任法定代表人、主要负责人或实际控制人的其他企业）。</w:t>
      </w:r>
    </w:p>
    <w:p>
      <w:pPr>
        <w:wordWrap w:val="0"/>
        <w:spacing w:line="360" w:lineRule="auto"/>
        <w:ind w:firstLine="420" w:firstLineChars="200"/>
        <w:rPr>
          <w:rFonts w:ascii="宋体" w:hAnsi="宋体" w:cs="宋体"/>
        </w:rPr>
      </w:pPr>
      <w:r>
        <w:rPr>
          <w:rFonts w:hint="eastAsia" w:ascii="宋体" w:hAnsi="宋体" w:cs="宋体"/>
        </w:rPr>
        <w:t>7.投标人未被列入山东中烟不良行为记录名单。</w:t>
      </w:r>
    </w:p>
    <w:p>
      <w:pPr>
        <w:spacing w:line="360" w:lineRule="auto"/>
        <w:ind w:right="18" w:firstLine="457" w:firstLineChars="218"/>
        <w:rPr>
          <w:rFonts w:ascii="宋体" w:hAnsi="宋体"/>
          <w:bCs/>
          <w:szCs w:val="21"/>
        </w:rPr>
      </w:pPr>
      <w:r>
        <w:rPr>
          <w:rFonts w:hint="eastAsia" w:ascii="宋体" w:hAnsi="宋体"/>
          <w:bCs/>
          <w:szCs w:val="21"/>
        </w:rPr>
        <w:t>8</w:t>
      </w:r>
      <w:r>
        <w:rPr>
          <w:rFonts w:ascii="宋体" w:hAnsi="宋体"/>
          <w:bCs/>
          <w:szCs w:val="21"/>
        </w:rPr>
        <w:t>.</w:t>
      </w:r>
      <w:r>
        <w:rPr>
          <w:rFonts w:hint="eastAsia" w:ascii="宋体" w:hAnsi="宋体"/>
          <w:bCs/>
          <w:szCs w:val="21"/>
        </w:rPr>
        <w:t>本项目不接受联合体投标，中标后不得分包与转包。</w:t>
      </w:r>
    </w:p>
    <w:p>
      <w:pPr>
        <w:spacing w:line="360" w:lineRule="auto"/>
        <w:ind w:right="25" w:rightChars="12" w:firstLine="422" w:firstLineChars="200"/>
        <w:rPr>
          <w:rFonts w:ascii="黑体" w:hAnsi="黑体" w:eastAsia="黑体"/>
          <w:sz w:val="28"/>
          <w:szCs w:val="28"/>
        </w:rPr>
      </w:pPr>
      <w:r>
        <w:rPr>
          <w:rFonts w:hint="eastAsia" w:ascii="宋体" w:hAnsi="宋体" w:cs="SimSun,Bold"/>
          <w:b/>
          <w:bCs/>
        </w:rPr>
        <w:t>三、资格审查方式：</w:t>
      </w:r>
      <w:r>
        <w:rPr>
          <w:rFonts w:hint="eastAsia" w:ascii="宋体" w:hAnsi="宋体"/>
          <w:bCs/>
          <w:szCs w:val="21"/>
        </w:rPr>
        <w:t>资格后审。</w:t>
      </w:r>
    </w:p>
    <w:p>
      <w:pPr>
        <w:spacing w:line="360" w:lineRule="auto"/>
        <w:ind w:right="25" w:rightChars="12" w:firstLine="422" w:firstLineChars="200"/>
        <w:rPr>
          <w:b/>
          <w:bCs/>
          <w:szCs w:val="21"/>
        </w:rPr>
      </w:pPr>
      <w:r>
        <w:rPr>
          <w:rFonts w:hint="eastAsia"/>
          <w:b/>
          <w:bCs/>
          <w:szCs w:val="21"/>
        </w:rPr>
        <w:t>四、投标报名</w:t>
      </w:r>
    </w:p>
    <w:p>
      <w:pPr>
        <w:spacing w:line="360" w:lineRule="auto"/>
        <w:ind w:right="25" w:rightChars="12" w:firstLine="420" w:firstLineChars="200"/>
        <w:rPr>
          <w:rFonts w:ascii="宋体" w:hAnsi="宋体"/>
          <w:bCs/>
          <w:szCs w:val="21"/>
        </w:rPr>
      </w:pPr>
      <w:r>
        <w:rPr>
          <w:rFonts w:hint="eastAsia" w:ascii="宋体" w:hAnsi="宋体"/>
          <w:bCs/>
          <w:szCs w:val="21"/>
        </w:rPr>
        <w:t>本项目可采用现场报名或电子邮件形式两种报名方式。</w:t>
      </w:r>
    </w:p>
    <w:p>
      <w:pPr>
        <w:spacing w:line="360" w:lineRule="auto"/>
        <w:ind w:right="25" w:rightChars="12" w:firstLine="420" w:firstLineChars="200"/>
        <w:rPr>
          <w:rFonts w:ascii="宋体" w:hAnsi="宋体"/>
          <w:bCs/>
          <w:szCs w:val="21"/>
        </w:rPr>
      </w:pPr>
      <w:r>
        <w:rPr>
          <w:rFonts w:ascii="宋体" w:hAnsi="宋体"/>
          <w:bCs/>
          <w:szCs w:val="21"/>
        </w:rPr>
        <w:t>1.</w:t>
      </w:r>
      <w:r>
        <w:rPr>
          <w:rFonts w:hint="eastAsia" w:ascii="宋体" w:hAnsi="宋体"/>
          <w:bCs/>
          <w:szCs w:val="21"/>
        </w:rPr>
        <w:t>现场报名需提供加载统一社会信用代码的营业执照副本复印件、法定代表人身份证明或法定代表人授权书（粘附法定代表人身份证及被授权人身份证复印件），上述文件均需加盖公章。</w:t>
      </w:r>
    </w:p>
    <w:p>
      <w:pPr>
        <w:spacing w:line="360" w:lineRule="auto"/>
        <w:ind w:right="25" w:rightChars="12" w:firstLine="420" w:firstLineChars="200"/>
        <w:rPr>
          <w:rFonts w:ascii="宋体" w:hAnsi="宋体"/>
          <w:bCs/>
          <w:szCs w:val="21"/>
        </w:rPr>
      </w:pPr>
      <w:r>
        <w:rPr>
          <w:rFonts w:hint="eastAsia" w:ascii="宋体" w:hAnsi="宋体"/>
          <w:bCs/>
          <w:szCs w:val="21"/>
        </w:rPr>
        <w:t>2.采用电子邮件形式报名的，须将现场报名提供的文件，经彩色扫描后发送报名邮件至报名邮箱fzjtjinan@163.com，</w:t>
      </w:r>
      <w:r>
        <w:rPr>
          <w:rFonts w:hint="eastAsia" w:ascii="宋体" w:hAnsi="宋体"/>
          <w:b/>
          <w:bCs/>
          <w:szCs w:val="21"/>
        </w:rPr>
        <w:t>同时在邮件正文中列明报名单位名称、授权代表姓名、联系电话、邮箱等信息</w:t>
      </w:r>
      <w:r>
        <w:rPr>
          <w:rFonts w:hint="eastAsia" w:ascii="宋体" w:hAnsi="宋体"/>
          <w:bCs/>
          <w:szCs w:val="21"/>
        </w:rPr>
        <w:t>。</w:t>
      </w:r>
    </w:p>
    <w:p>
      <w:pPr>
        <w:adjustRightInd w:val="0"/>
        <w:snapToGrid w:val="0"/>
        <w:spacing w:line="360" w:lineRule="auto"/>
        <w:ind w:right="25" w:rightChars="12" w:firstLine="420" w:firstLineChars="200"/>
        <w:rPr>
          <w:rFonts w:ascii="宋体" w:hAnsi="宋体"/>
          <w:bCs/>
          <w:szCs w:val="21"/>
        </w:rPr>
      </w:pPr>
      <w:r>
        <w:rPr>
          <w:rFonts w:hint="eastAsia" w:ascii="宋体" w:hAnsi="宋体"/>
          <w:bCs/>
          <w:szCs w:val="21"/>
        </w:rPr>
        <w:t>3.报名时间：</w:t>
      </w:r>
      <w:r>
        <w:rPr>
          <w:rFonts w:ascii="宋体" w:hAnsi="宋体"/>
          <w:bCs/>
          <w:szCs w:val="21"/>
        </w:rPr>
        <w:t>202</w:t>
      </w:r>
      <w:r>
        <w:rPr>
          <w:rFonts w:hint="eastAsia" w:ascii="宋体" w:hAnsi="宋体"/>
          <w:bCs/>
          <w:szCs w:val="21"/>
        </w:rPr>
        <w:t>3年</w:t>
      </w:r>
      <w:r>
        <w:rPr>
          <w:rFonts w:hint="eastAsia" w:ascii="宋体" w:hAnsi="宋体"/>
          <w:bCs/>
          <w:szCs w:val="21"/>
          <w:lang w:val="en-US" w:eastAsia="zh-CN"/>
        </w:rPr>
        <w:t>09</w:t>
      </w:r>
      <w:r>
        <w:rPr>
          <w:rFonts w:hint="eastAsia" w:ascii="宋体" w:hAnsi="宋体"/>
          <w:bCs/>
          <w:szCs w:val="21"/>
        </w:rPr>
        <w:t>月</w:t>
      </w:r>
      <w:r>
        <w:rPr>
          <w:rFonts w:hint="eastAsia" w:ascii="宋体" w:hAnsi="宋体"/>
          <w:bCs/>
          <w:szCs w:val="21"/>
          <w:lang w:val="en-US" w:eastAsia="zh-CN"/>
        </w:rPr>
        <w:t>27</w:t>
      </w:r>
      <w:r>
        <w:rPr>
          <w:rFonts w:hint="eastAsia" w:ascii="宋体" w:hAnsi="宋体"/>
          <w:bCs/>
          <w:szCs w:val="21"/>
        </w:rPr>
        <w:t>日-</w:t>
      </w:r>
      <w:r>
        <w:rPr>
          <w:rFonts w:ascii="宋体" w:hAnsi="宋体"/>
          <w:bCs/>
          <w:szCs w:val="21"/>
        </w:rPr>
        <w:t>202</w:t>
      </w:r>
      <w:r>
        <w:rPr>
          <w:rFonts w:hint="eastAsia" w:ascii="宋体" w:hAnsi="宋体"/>
          <w:bCs/>
          <w:szCs w:val="21"/>
        </w:rPr>
        <w:t>3年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09</w:t>
      </w:r>
      <w:r>
        <w:rPr>
          <w:rFonts w:hint="eastAsia" w:ascii="宋体" w:hAnsi="宋体"/>
          <w:bCs/>
          <w:szCs w:val="21"/>
        </w:rPr>
        <w:t>日（法定公休日、法定节假日除外），每日上午</w:t>
      </w:r>
      <w:r>
        <w:rPr>
          <w:rFonts w:ascii="宋体" w:hAnsi="宋体"/>
          <w:bCs/>
          <w:szCs w:val="21"/>
        </w:rPr>
        <w:t>08</w:t>
      </w:r>
      <w:r>
        <w:rPr>
          <w:rFonts w:hint="eastAsia" w:ascii="宋体" w:hAnsi="宋体"/>
          <w:bCs/>
          <w:szCs w:val="21"/>
        </w:rPr>
        <w:t>时0</w:t>
      </w:r>
      <w:r>
        <w:rPr>
          <w:rFonts w:ascii="宋体" w:hAnsi="宋体"/>
          <w:bCs/>
          <w:szCs w:val="21"/>
        </w:rPr>
        <w:t>0分</w:t>
      </w:r>
      <w:r>
        <w:rPr>
          <w:rFonts w:hint="eastAsia" w:ascii="宋体" w:hAnsi="宋体"/>
          <w:bCs/>
          <w:szCs w:val="21"/>
        </w:rPr>
        <w:t>至11时30分，下午13时3</w:t>
      </w:r>
      <w:r>
        <w:rPr>
          <w:rFonts w:ascii="宋体" w:hAnsi="宋体"/>
          <w:bCs/>
          <w:szCs w:val="21"/>
        </w:rPr>
        <w:t>0分</w:t>
      </w:r>
      <w:r>
        <w:rPr>
          <w:rFonts w:hint="eastAsia" w:ascii="宋体" w:hAnsi="宋体"/>
          <w:bCs/>
          <w:szCs w:val="21"/>
        </w:rPr>
        <w:t>至1</w:t>
      </w:r>
      <w:r>
        <w:rPr>
          <w:rFonts w:ascii="宋体" w:hAnsi="宋体"/>
          <w:bCs/>
          <w:szCs w:val="21"/>
        </w:rPr>
        <w:t>7</w:t>
      </w:r>
      <w:r>
        <w:rPr>
          <w:rFonts w:hint="eastAsia" w:ascii="宋体" w:hAnsi="宋体"/>
          <w:bCs/>
          <w:szCs w:val="21"/>
        </w:rPr>
        <w:t>时0</w:t>
      </w:r>
      <w:r>
        <w:rPr>
          <w:rFonts w:ascii="宋体" w:hAnsi="宋体"/>
          <w:bCs/>
          <w:szCs w:val="21"/>
        </w:rPr>
        <w:t>0分</w:t>
      </w:r>
      <w:r>
        <w:rPr>
          <w:rFonts w:hint="eastAsia" w:ascii="宋体" w:hAnsi="宋体"/>
          <w:bCs/>
          <w:szCs w:val="21"/>
        </w:rPr>
        <w:t>。逾期报名者不予受理，未办理报名手续者不受理其投标。</w:t>
      </w:r>
    </w:p>
    <w:p>
      <w:pPr>
        <w:adjustRightInd w:val="0"/>
        <w:snapToGrid w:val="0"/>
        <w:spacing w:line="360" w:lineRule="auto"/>
        <w:ind w:right="25" w:rightChars="12" w:firstLine="420" w:firstLineChars="200"/>
        <w:rPr>
          <w:rFonts w:ascii="宋体" w:hAnsi="宋体"/>
          <w:bCs/>
          <w:szCs w:val="21"/>
        </w:rPr>
      </w:pPr>
      <w:r>
        <w:rPr>
          <w:rFonts w:hint="eastAsia" w:ascii="宋体" w:hAnsi="宋体"/>
          <w:bCs/>
          <w:szCs w:val="21"/>
        </w:rPr>
        <w:t>4.报名地点：法正项目管理集团有限公司，济南市历下区龙奥西路1号银丰财富广场B座1202室。</w:t>
      </w:r>
    </w:p>
    <w:p>
      <w:pPr>
        <w:adjustRightInd w:val="0"/>
        <w:snapToGrid w:val="0"/>
        <w:spacing w:line="360" w:lineRule="auto"/>
        <w:ind w:right="25" w:rightChars="12" w:firstLine="420" w:firstLineChars="200"/>
        <w:rPr>
          <w:rFonts w:ascii="宋体" w:hAnsi="宋体"/>
          <w:bCs/>
          <w:szCs w:val="21"/>
          <w:u w:val="single"/>
        </w:rPr>
      </w:pPr>
      <w:r>
        <w:rPr>
          <w:rFonts w:hint="eastAsia" w:ascii="宋体" w:hAnsi="宋体"/>
          <w:bCs/>
          <w:szCs w:val="21"/>
        </w:rPr>
        <w:t xml:space="preserve">5.投标报名时的资料查验，不代表资格审查的最终通过或合格，投标人最终资格的确认以评标委员会组织的资格后审为准。 </w:t>
      </w:r>
    </w:p>
    <w:p>
      <w:pPr>
        <w:spacing w:line="360" w:lineRule="auto"/>
        <w:ind w:right="25" w:rightChars="12" w:firstLine="422" w:firstLineChars="200"/>
        <w:rPr>
          <w:b/>
          <w:bCs/>
          <w:szCs w:val="21"/>
        </w:rPr>
      </w:pPr>
      <w:r>
        <w:rPr>
          <w:rFonts w:hint="eastAsia"/>
          <w:b/>
          <w:bCs/>
          <w:szCs w:val="21"/>
        </w:rPr>
        <w:t>五、招标文件的获取</w:t>
      </w:r>
    </w:p>
    <w:p>
      <w:pPr>
        <w:adjustRightInd w:val="0"/>
        <w:snapToGrid w:val="0"/>
        <w:spacing w:line="360" w:lineRule="auto"/>
        <w:ind w:right="25" w:rightChars="12" w:firstLine="420" w:firstLineChars="200"/>
        <w:rPr>
          <w:rFonts w:ascii="宋体" w:hAnsi="宋体"/>
          <w:bCs/>
          <w:szCs w:val="21"/>
        </w:rPr>
      </w:pPr>
      <w:r>
        <w:rPr>
          <w:rFonts w:hint="eastAsia" w:ascii="宋体" w:hAnsi="宋体"/>
          <w:bCs/>
          <w:szCs w:val="21"/>
        </w:rPr>
        <w:t>1.招标文件150元/份，售后不退。</w:t>
      </w:r>
    </w:p>
    <w:p>
      <w:pPr>
        <w:adjustRightInd w:val="0"/>
        <w:snapToGrid w:val="0"/>
        <w:spacing w:line="360" w:lineRule="auto"/>
        <w:ind w:right="25" w:rightChars="12" w:firstLine="420" w:firstLineChars="200"/>
        <w:rPr>
          <w:rFonts w:ascii="宋体" w:hAnsi="宋体"/>
          <w:bCs/>
          <w:szCs w:val="21"/>
        </w:rPr>
      </w:pPr>
      <w:r>
        <w:rPr>
          <w:rFonts w:hint="eastAsia" w:ascii="宋体" w:hAnsi="宋体"/>
          <w:bCs/>
          <w:szCs w:val="21"/>
        </w:rPr>
        <w:t>2.投标人报名合格并交纳招标文件费后，由招标代理发放给投标人。</w:t>
      </w:r>
    </w:p>
    <w:p>
      <w:pPr>
        <w:adjustRightInd w:val="0"/>
        <w:snapToGrid w:val="0"/>
        <w:spacing w:line="360" w:lineRule="auto"/>
        <w:ind w:right="25" w:rightChars="12" w:firstLine="420" w:firstLineChars="200"/>
        <w:rPr>
          <w:rFonts w:ascii="宋体" w:hAnsi="宋体"/>
          <w:bCs/>
          <w:szCs w:val="21"/>
        </w:rPr>
      </w:pPr>
      <w:r>
        <w:rPr>
          <w:rFonts w:hint="eastAsia" w:ascii="宋体" w:hAnsi="宋体"/>
          <w:bCs/>
          <w:szCs w:val="21"/>
        </w:rPr>
        <w:t>3.投标人用于本项目招投标过程中的准确有效的联系电话、电子信箱和联系人不得随意更换。本项目招投标过程中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pPr>
        <w:spacing w:line="360" w:lineRule="auto"/>
        <w:ind w:right="25" w:rightChars="12"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六、投标文件递交</w:t>
      </w:r>
    </w:p>
    <w:p>
      <w:pPr>
        <w:adjustRightInd w:val="0"/>
        <w:snapToGrid w:val="0"/>
        <w:spacing w:line="360" w:lineRule="auto"/>
        <w:ind w:right="25" w:rightChars="12" w:firstLine="420" w:firstLineChars="200"/>
        <w:jc w:val="left"/>
        <w:rPr>
          <w:rFonts w:ascii="宋体" w:hAnsi="宋体"/>
          <w:szCs w:val="21"/>
        </w:rPr>
      </w:pPr>
      <w:r>
        <w:rPr>
          <w:rFonts w:hint="eastAsia" w:ascii="宋体" w:hAnsi="宋体"/>
          <w:szCs w:val="21"/>
        </w:rPr>
        <w:t>1.投标文件递交的截止时间（投标截止时间）：</w:t>
      </w:r>
      <w:r>
        <w:rPr>
          <w:rFonts w:ascii="宋体" w:hAnsi="宋体"/>
          <w:szCs w:val="21"/>
        </w:rPr>
        <w:t>202</w:t>
      </w:r>
      <w:r>
        <w:rPr>
          <w:rFonts w:hint="eastAsia" w:ascii="宋体" w:hAnsi="宋体"/>
          <w:szCs w:val="21"/>
        </w:rPr>
        <w:t>3年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日1</w:t>
      </w:r>
      <w:r>
        <w:rPr>
          <w:rFonts w:hint="eastAsia" w:ascii="宋体" w:hAnsi="宋体"/>
          <w:szCs w:val="21"/>
          <w:lang w:val="en-US" w:eastAsia="zh-CN"/>
        </w:rPr>
        <w:t>3</w:t>
      </w:r>
      <w:r>
        <w:rPr>
          <w:rFonts w:hint="eastAsia" w:ascii="宋体" w:hAnsi="宋体"/>
          <w:szCs w:val="21"/>
        </w:rPr>
        <w:t>时</w:t>
      </w:r>
      <w:r>
        <w:rPr>
          <w:rFonts w:hint="eastAsia" w:ascii="宋体" w:hAnsi="宋体"/>
          <w:szCs w:val="21"/>
          <w:lang w:val="en-US" w:eastAsia="zh-CN"/>
        </w:rPr>
        <w:t>3</w:t>
      </w:r>
      <w:bookmarkStart w:id="91" w:name="_GoBack"/>
      <w:bookmarkEnd w:id="91"/>
      <w:r>
        <w:rPr>
          <w:rFonts w:hint="eastAsia" w:ascii="宋体" w:hAnsi="宋体"/>
          <w:szCs w:val="21"/>
        </w:rPr>
        <w:t>0分，地点：济南市历下区龙奥西路1号银丰财富广场B座12层法正集团会议室。</w:t>
      </w:r>
    </w:p>
    <w:p>
      <w:pPr>
        <w:adjustRightInd w:val="0"/>
        <w:snapToGrid w:val="0"/>
        <w:spacing w:line="360" w:lineRule="auto"/>
        <w:ind w:right="25" w:rightChars="12" w:firstLine="420" w:firstLineChars="200"/>
        <w:jc w:val="left"/>
        <w:rPr>
          <w:rFonts w:ascii="宋体" w:hAnsi="宋体"/>
          <w:szCs w:val="21"/>
        </w:rPr>
      </w:pPr>
      <w:r>
        <w:rPr>
          <w:rFonts w:hint="eastAsia" w:ascii="宋体" w:hAnsi="宋体"/>
          <w:szCs w:val="21"/>
        </w:rPr>
        <w:t>2.逾期送达的或者未送达指定地点的投标文件不予受理。</w:t>
      </w:r>
    </w:p>
    <w:p>
      <w:pPr>
        <w:spacing w:line="360" w:lineRule="auto"/>
        <w:ind w:right="25" w:rightChars="12" w:firstLine="422" w:firstLineChars="200"/>
        <w:rPr>
          <w:rFonts w:ascii="黑体" w:hAnsi="黑体" w:eastAsia="黑体"/>
          <w:sz w:val="28"/>
          <w:szCs w:val="28"/>
        </w:rPr>
      </w:pPr>
      <w:r>
        <w:rPr>
          <w:rFonts w:hint="eastAsia" w:asciiTheme="minorEastAsia" w:hAnsiTheme="minorEastAsia" w:eastAsiaTheme="minorEastAsia"/>
          <w:b/>
          <w:szCs w:val="21"/>
        </w:rPr>
        <w:t>七、发布公告的媒介</w:t>
      </w:r>
    </w:p>
    <w:p>
      <w:pPr>
        <w:spacing w:line="360" w:lineRule="auto"/>
        <w:ind w:right="25" w:rightChars="12" w:firstLine="420" w:firstLineChars="200"/>
        <w:rPr>
          <w:rFonts w:ascii="宋体" w:hAnsi="宋体"/>
          <w:szCs w:val="21"/>
        </w:rPr>
      </w:pPr>
      <w:bookmarkStart w:id="9" w:name="_Hlk51158666"/>
      <w:r>
        <w:rPr>
          <w:rFonts w:hint="eastAsia" w:ascii="宋体" w:hAnsi="宋体"/>
          <w:szCs w:val="21"/>
        </w:rPr>
        <w:t>本公告在中国招标</w:t>
      </w:r>
      <w:r>
        <w:rPr>
          <w:rFonts w:ascii="宋体" w:hAnsi="宋体"/>
          <w:szCs w:val="21"/>
        </w:rPr>
        <w:t>投标</w:t>
      </w:r>
      <w:r>
        <w:rPr>
          <w:rFonts w:hint="eastAsia" w:ascii="宋体" w:hAnsi="宋体"/>
          <w:szCs w:val="21"/>
        </w:rPr>
        <w:t>公共</w:t>
      </w:r>
      <w:r>
        <w:rPr>
          <w:rFonts w:ascii="宋体" w:hAnsi="宋体"/>
          <w:szCs w:val="21"/>
        </w:rPr>
        <w:t>服务平台</w:t>
      </w:r>
      <w:r>
        <w:rPr>
          <w:rFonts w:hint="eastAsia" w:ascii="宋体" w:hAnsi="宋体"/>
          <w:szCs w:val="21"/>
        </w:rPr>
        <w:t>、</w:t>
      </w:r>
      <w:r>
        <w:rPr>
          <w:rFonts w:ascii="宋体" w:hAnsi="宋体"/>
          <w:szCs w:val="21"/>
        </w:rPr>
        <w:t>中国采购与招标网</w:t>
      </w:r>
      <w:r>
        <w:rPr>
          <w:rFonts w:hint="eastAsia" w:ascii="宋体" w:hAnsi="宋体"/>
          <w:szCs w:val="21"/>
        </w:rPr>
        <w:t>、山东中烟工业有限责任公司网站发布。</w:t>
      </w:r>
    </w:p>
    <w:bookmarkEnd w:id="9"/>
    <w:p>
      <w:pPr>
        <w:spacing w:line="360" w:lineRule="auto"/>
        <w:ind w:right="25" w:rightChars="12"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八、联系方式</w:t>
      </w:r>
    </w:p>
    <w:p>
      <w:pPr>
        <w:topLinePunct/>
        <w:spacing w:line="400" w:lineRule="exact"/>
        <w:ind w:firstLine="420" w:firstLineChars="200"/>
        <w:rPr>
          <w:szCs w:val="21"/>
        </w:rPr>
      </w:pPr>
      <w:r>
        <w:rPr>
          <w:szCs w:val="21"/>
        </w:rPr>
        <w:t>招标人：</w:t>
      </w:r>
      <w:r>
        <w:rPr>
          <w:rFonts w:hint="eastAsia" w:ascii="宋体" w:hAnsi="宋体"/>
          <w:szCs w:val="21"/>
        </w:rPr>
        <w:t>山东中烟工业有限责任公司青州卷烟厂</w:t>
      </w:r>
    </w:p>
    <w:bookmarkEnd w:id="7"/>
    <w:p>
      <w:pPr>
        <w:spacing w:line="360" w:lineRule="auto"/>
        <w:ind w:right="25" w:rightChars="12" w:firstLine="420" w:firstLineChars="200"/>
        <w:rPr>
          <w:szCs w:val="21"/>
        </w:rPr>
      </w:pPr>
      <w:r>
        <w:rPr>
          <w:rFonts w:hint="eastAsia"/>
          <w:szCs w:val="21"/>
        </w:rPr>
        <w:t>地址：山东省青州市玲珑山北路1818号</w:t>
      </w:r>
      <w:r>
        <w:rPr>
          <w:rFonts w:hint="eastAsia"/>
          <w:szCs w:val="21"/>
        </w:rPr>
        <w:tab/>
      </w:r>
    </w:p>
    <w:p>
      <w:pPr>
        <w:spacing w:line="360" w:lineRule="auto"/>
        <w:ind w:right="25" w:rightChars="12" w:firstLine="420" w:firstLineChars="200"/>
        <w:rPr>
          <w:szCs w:val="21"/>
        </w:rPr>
      </w:pPr>
      <w:r>
        <w:rPr>
          <w:rFonts w:hint="eastAsia"/>
          <w:szCs w:val="21"/>
        </w:rPr>
        <w:t>联系人：张女士（招标）、门先生（业务）</w:t>
      </w:r>
    </w:p>
    <w:p>
      <w:pPr>
        <w:spacing w:line="360" w:lineRule="auto"/>
        <w:ind w:right="25" w:rightChars="12" w:firstLine="420" w:firstLineChars="200"/>
        <w:rPr>
          <w:szCs w:val="21"/>
        </w:rPr>
      </w:pPr>
      <w:r>
        <w:rPr>
          <w:rFonts w:hint="eastAsia"/>
          <w:szCs w:val="21"/>
        </w:rPr>
        <w:t>电话：0536-3239286/0536-</w:t>
      </w:r>
      <w:r>
        <w:rPr>
          <w:szCs w:val="21"/>
        </w:rPr>
        <w:t>3239544</w:t>
      </w:r>
    </w:p>
    <w:p>
      <w:pPr>
        <w:spacing w:line="360" w:lineRule="auto"/>
        <w:ind w:right="25" w:rightChars="12" w:firstLine="420" w:firstLineChars="200"/>
        <w:rPr>
          <w:rFonts w:ascii="宋体" w:hAnsi="宋体"/>
          <w:szCs w:val="21"/>
        </w:rPr>
      </w:pPr>
      <w:r>
        <w:rPr>
          <w:rFonts w:hint="eastAsia" w:ascii="宋体" w:hAnsi="宋体"/>
          <w:szCs w:val="21"/>
        </w:rPr>
        <w:t>招标代理机构：法正项目管理集团有限公司</w:t>
      </w:r>
    </w:p>
    <w:p>
      <w:pPr>
        <w:spacing w:line="360" w:lineRule="auto"/>
        <w:ind w:right="25" w:rightChars="12" w:firstLine="420" w:firstLineChars="200"/>
        <w:rPr>
          <w:rFonts w:ascii="宋体" w:hAnsi="宋体"/>
          <w:szCs w:val="21"/>
        </w:rPr>
      </w:pPr>
      <w:r>
        <w:rPr>
          <w:rFonts w:hint="eastAsia" w:ascii="宋体" w:hAnsi="宋体"/>
          <w:szCs w:val="21"/>
        </w:rPr>
        <w:t>地  址：济南市历下区龙奥西路1号银丰财富广场B座1202室</w:t>
      </w:r>
    </w:p>
    <w:p>
      <w:pPr>
        <w:spacing w:line="360" w:lineRule="auto"/>
        <w:ind w:right="25" w:rightChars="12" w:firstLine="420" w:firstLineChars="200"/>
        <w:rPr>
          <w:rFonts w:ascii="宋体" w:hAnsi="宋体"/>
          <w:szCs w:val="21"/>
        </w:rPr>
      </w:pPr>
      <w:r>
        <w:rPr>
          <w:rFonts w:hint="eastAsia" w:ascii="宋体" w:hAnsi="宋体"/>
          <w:szCs w:val="21"/>
        </w:rPr>
        <w:t>联系人：李先生、王女士</w:t>
      </w:r>
    </w:p>
    <w:p>
      <w:pPr>
        <w:spacing w:line="360" w:lineRule="auto"/>
        <w:ind w:right="25" w:rightChars="12" w:firstLine="420" w:firstLineChars="200"/>
        <w:rPr>
          <w:rFonts w:ascii="宋体" w:hAnsi="宋体"/>
          <w:szCs w:val="21"/>
        </w:rPr>
      </w:pPr>
      <w:r>
        <w:rPr>
          <w:rFonts w:hint="eastAsia" w:ascii="宋体" w:hAnsi="宋体"/>
          <w:szCs w:val="21"/>
        </w:rPr>
        <w:t>电  话：0531-82720717</w:t>
      </w:r>
    </w:p>
    <w:p>
      <w:pPr>
        <w:spacing w:line="360" w:lineRule="auto"/>
        <w:ind w:right="25" w:rightChars="12" w:firstLine="420" w:firstLineChars="200"/>
        <w:rPr>
          <w:rFonts w:ascii="宋体" w:hAnsi="宋体"/>
          <w:szCs w:val="21"/>
        </w:rPr>
      </w:pPr>
      <w:r>
        <w:rPr>
          <w:rFonts w:hint="eastAsia" w:ascii="宋体" w:hAnsi="宋体"/>
          <w:szCs w:val="21"/>
        </w:rPr>
        <w:t>电子邮件：fzjtjinan@163.com</w:t>
      </w:r>
    </w:p>
    <w:p>
      <w:pPr>
        <w:topLinePunct/>
        <w:adjustRightInd w:val="0"/>
        <w:snapToGrid w:val="0"/>
        <w:spacing w:line="360" w:lineRule="auto"/>
        <w:ind w:firstLine="424" w:firstLineChars="202"/>
        <w:rPr>
          <w:rFonts w:ascii="宋体" w:hAnsi="宋体"/>
          <w:szCs w:val="21"/>
        </w:rPr>
      </w:pPr>
    </w:p>
    <w:p>
      <w:pPr>
        <w:adjustRightInd w:val="0"/>
        <w:snapToGrid w:val="0"/>
        <w:spacing w:line="360" w:lineRule="auto"/>
        <w:ind w:firstLine="3402" w:firstLineChars="1620"/>
        <w:rPr>
          <w:rFonts w:ascii="宋体" w:hAnsi="宋体"/>
          <w:szCs w:val="21"/>
        </w:rPr>
      </w:pPr>
    </w:p>
    <w:p>
      <w:pPr>
        <w:adjustRightInd w:val="0"/>
        <w:snapToGrid w:val="0"/>
        <w:spacing w:line="360" w:lineRule="auto"/>
        <w:ind w:firstLine="3402" w:firstLineChars="1620"/>
        <w:rPr>
          <w:rFonts w:ascii="宋体" w:hAnsi="宋体"/>
          <w:szCs w:val="21"/>
        </w:rPr>
      </w:pPr>
      <w:r>
        <w:rPr>
          <w:rFonts w:hint="eastAsia" w:ascii="宋体" w:hAnsi="宋体"/>
          <w:szCs w:val="21"/>
        </w:rPr>
        <w:t>招标人：山东中烟工业有限责任公司青州卷烟厂</w:t>
      </w:r>
    </w:p>
    <w:p>
      <w:pPr>
        <w:adjustRightInd w:val="0"/>
        <w:snapToGrid w:val="0"/>
        <w:spacing w:line="360" w:lineRule="auto"/>
        <w:ind w:firstLine="3402" w:firstLineChars="1620"/>
        <w:rPr>
          <w:rFonts w:ascii="宋体" w:hAnsi="宋体"/>
          <w:szCs w:val="21"/>
        </w:rPr>
      </w:pPr>
      <w:r>
        <w:rPr>
          <w:rFonts w:hint="eastAsia" w:ascii="宋体" w:hAnsi="宋体"/>
          <w:szCs w:val="21"/>
        </w:rPr>
        <w:t xml:space="preserve">招标代理机构：法正项目管理集团有限公司 </w:t>
      </w:r>
    </w:p>
    <w:p>
      <w:pPr>
        <w:adjustRightInd w:val="0"/>
        <w:snapToGrid w:val="0"/>
        <w:spacing w:line="360" w:lineRule="auto"/>
        <w:ind w:firstLine="4872" w:firstLineChars="2320"/>
        <w:rPr>
          <w:rFonts w:ascii="宋体" w:hAnsi="宋体"/>
          <w:szCs w:val="21"/>
        </w:rPr>
      </w:pPr>
      <w:r>
        <w:rPr>
          <w:rFonts w:hint="eastAsia" w:ascii="宋体" w:hAnsi="宋体"/>
          <w:bCs/>
          <w:szCs w:val="21"/>
        </w:rPr>
        <w:t>2023年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p>
    <w:p>
      <w:pPr>
        <w:pStyle w:val="40"/>
      </w:pPr>
      <w:r>
        <w:br w:type="page"/>
      </w:r>
      <w:bookmarkStart w:id="10" w:name="_Toc22644"/>
      <w:r>
        <w:rPr>
          <w:rFonts w:hint="eastAsia"/>
        </w:rPr>
        <w:t>第二部分投标人须知</w:t>
      </w:r>
      <w:bookmarkEnd w:id="4"/>
      <w:bookmarkEnd w:id="5"/>
      <w:r>
        <w:rPr>
          <w:rFonts w:hint="eastAsia"/>
        </w:rPr>
        <w:t>及前附表</w:t>
      </w:r>
      <w:bookmarkEnd w:id="6"/>
      <w:bookmarkEnd w:id="10"/>
    </w:p>
    <w:p>
      <w:pPr>
        <w:pStyle w:val="42"/>
      </w:pPr>
      <w:bookmarkStart w:id="11" w:name="_Toc22510"/>
      <w:bookmarkStart w:id="12" w:name="_Toc362246738"/>
      <w:r>
        <w:rPr>
          <w:rFonts w:hint="eastAsia"/>
        </w:rPr>
        <w:t>第一章投标人须知前附表</w:t>
      </w:r>
      <w:bookmarkEnd w:id="11"/>
      <w:bookmarkEnd w:id="12"/>
    </w:p>
    <w:tbl>
      <w:tblPr>
        <w:tblStyle w:val="2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1922"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条款名称</w:t>
            </w:r>
          </w:p>
        </w:tc>
        <w:tc>
          <w:tcPr>
            <w:tcW w:w="6583"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1</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项目名称</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szCs w:val="21"/>
              </w:rPr>
              <w:t>山东中烟工业有限责任公司青州卷烟厂滤棒搭口胶集中制冷装置维修项目（</w:t>
            </w:r>
            <w:r>
              <w:rPr>
                <w:rFonts w:hint="eastAsia"/>
                <w:szCs w:val="21"/>
                <w:lang w:eastAsia="zh-CN"/>
              </w:rPr>
              <w:t>三次</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2</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招标人</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招标人：山东中烟工业有限责任公司青州卷烟厂</w:t>
            </w:r>
          </w:p>
          <w:p>
            <w:pPr>
              <w:rPr>
                <w:rFonts w:ascii="宋体" w:hAnsi="宋体"/>
                <w:szCs w:val="21"/>
              </w:rPr>
            </w:pPr>
            <w:r>
              <w:rPr>
                <w:rFonts w:hint="eastAsia" w:ascii="宋体" w:hAnsi="宋体"/>
                <w:szCs w:val="21"/>
              </w:rPr>
              <w:t>地址：山东省青州市玲珑山北路1818号</w:t>
            </w:r>
            <w:r>
              <w:rPr>
                <w:rFonts w:hint="eastAsia" w:ascii="宋体" w:hAnsi="宋体"/>
                <w:szCs w:val="21"/>
              </w:rPr>
              <w:tab/>
            </w:r>
          </w:p>
          <w:p>
            <w:pPr>
              <w:rPr>
                <w:rFonts w:ascii="宋体" w:hAnsi="宋体"/>
                <w:szCs w:val="21"/>
              </w:rPr>
            </w:pPr>
            <w:r>
              <w:rPr>
                <w:rFonts w:hint="eastAsia" w:ascii="宋体" w:hAnsi="宋体"/>
                <w:szCs w:val="21"/>
              </w:rPr>
              <w:t>联系人：张女士（招标）、门先生（业务）</w:t>
            </w:r>
          </w:p>
          <w:p>
            <w:pPr>
              <w:rPr>
                <w:rFonts w:ascii="宋体" w:hAnsi="宋体"/>
                <w:szCs w:val="21"/>
              </w:rPr>
            </w:pPr>
            <w:r>
              <w:rPr>
                <w:rFonts w:hint="eastAsia" w:ascii="宋体" w:hAnsi="宋体"/>
                <w:szCs w:val="21"/>
              </w:rPr>
              <w:t>电 话：0536-3239286/0536-</w:t>
            </w:r>
            <w:r>
              <w:rPr>
                <w:rFonts w:ascii="宋体" w:hAnsi="宋体"/>
                <w:szCs w:val="21"/>
              </w:rPr>
              <w:t>3239544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000000"/>
                <w:sz w:val="22"/>
                <w:szCs w:val="22"/>
              </w:rPr>
            </w:pPr>
            <w:r>
              <w:rPr>
                <w:rFonts w:hint="eastAsia" w:ascii="宋体" w:hAnsi="宋体"/>
                <w:color w:val="000000"/>
                <w:sz w:val="22"/>
                <w:szCs w:val="22"/>
              </w:rPr>
              <w:t>3</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招标代理机构</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招标代理机构：法正项目管理集团有限公司</w:t>
            </w:r>
          </w:p>
          <w:p>
            <w:pPr>
              <w:rPr>
                <w:rFonts w:ascii="宋体" w:hAnsi="宋体"/>
                <w:szCs w:val="21"/>
              </w:rPr>
            </w:pPr>
            <w:r>
              <w:rPr>
                <w:rFonts w:hint="eastAsia" w:ascii="宋体" w:hAnsi="宋体"/>
                <w:szCs w:val="21"/>
              </w:rPr>
              <w:t>地  址：济南市历下区龙奥西路1号银丰财富广场B座1202室</w:t>
            </w:r>
          </w:p>
          <w:p>
            <w:pPr>
              <w:rPr>
                <w:rFonts w:ascii="宋体" w:hAnsi="宋体"/>
                <w:szCs w:val="21"/>
              </w:rPr>
            </w:pPr>
            <w:r>
              <w:rPr>
                <w:rFonts w:hint="eastAsia" w:ascii="宋体" w:hAnsi="宋体"/>
                <w:szCs w:val="21"/>
              </w:rPr>
              <w:t>联系人：李先生、王女士</w:t>
            </w:r>
          </w:p>
          <w:p>
            <w:pPr>
              <w:rPr>
                <w:rFonts w:ascii="宋体" w:hAnsi="宋体"/>
                <w:szCs w:val="21"/>
              </w:rPr>
            </w:pPr>
            <w:r>
              <w:rPr>
                <w:rFonts w:hint="eastAsia" w:ascii="宋体" w:hAnsi="宋体"/>
                <w:szCs w:val="21"/>
              </w:rPr>
              <w:t>电  话：0531-82720717</w:t>
            </w:r>
          </w:p>
          <w:p>
            <w:pPr>
              <w:rPr>
                <w:rFonts w:ascii="宋体" w:hAnsi="宋体"/>
                <w:szCs w:val="21"/>
              </w:rPr>
            </w:pPr>
            <w:r>
              <w:rPr>
                <w:rFonts w:hint="eastAsia" w:ascii="宋体" w:hAnsi="宋体"/>
                <w:szCs w:val="21"/>
              </w:rPr>
              <w:t>电子邮件：fzjtjinan@163.com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4</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资金来源</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5</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实施周期</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cs="宋体"/>
                <w:szCs w:val="21"/>
              </w:rPr>
              <w:t>自合同生效之日起90天内具备项目施工条件，具体施工日期由招标人根据实际排产情况确定并提前3天通知投标人，采用现场维修方式，施工总时间不超过15天。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000000"/>
                <w:sz w:val="22"/>
                <w:szCs w:val="22"/>
              </w:rPr>
            </w:pPr>
            <w:r>
              <w:rPr>
                <w:rFonts w:hint="eastAsia" w:ascii="宋体" w:hAnsi="宋体"/>
                <w:color w:val="000000"/>
                <w:sz w:val="22"/>
                <w:szCs w:val="22"/>
              </w:rPr>
              <w:t>6</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实施地点</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szCs w:val="21"/>
              </w:rPr>
              <w:t>招标人厂区（山东省青州市玲珑山北路1818号）。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7</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项目内容</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bCs/>
                <w:szCs w:val="21"/>
              </w:rPr>
            </w:pPr>
            <w:r>
              <w:rPr>
                <w:rFonts w:hint="eastAsia" w:ascii="宋体" w:hAnsi="宋体"/>
                <w:bCs/>
                <w:szCs w:val="21"/>
              </w:rPr>
              <w:t>滤棒搭口胶集中制冷装置维修，更换压缩机、压机冷冻油、油液分离器、膨胀系统、循环水泵、水压传感器、温度传感器等零部件，维修电控系统，恢复设备性能。具体要求详见招标文件第五部分。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8</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最高投标限价（含税、人民币）</w:t>
            </w:r>
          </w:p>
        </w:tc>
        <w:tc>
          <w:tcPr>
            <w:tcW w:w="6583" w:type="dxa"/>
            <w:tcBorders>
              <w:top w:val="single" w:color="auto" w:sz="6" w:space="0"/>
              <w:left w:val="single" w:color="auto" w:sz="6" w:space="0"/>
              <w:right w:val="double" w:color="auto" w:sz="4" w:space="0"/>
            </w:tcBorders>
            <w:vAlign w:val="center"/>
          </w:tcPr>
          <w:p>
            <w:pPr>
              <w:rPr>
                <w:rFonts w:ascii="宋体" w:hAnsi="宋体"/>
                <w:bCs/>
                <w:szCs w:val="21"/>
                <w:u w:val="single"/>
              </w:rPr>
            </w:pPr>
            <w:r>
              <w:rPr>
                <w:rFonts w:hint="eastAsia" w:ascii="宋体" w:hAnsi="宋体"/>
                <w:bCs/>
                <w:szCs w:val="21"/>
              </w:rPr>
              <w:t>65万元，超过最高投标限价的按照无效投标处理。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000000"/>
                <w:sz w:val="22"/>
                <w:szCs w:val="22"/>
              </w:rPr>
            </w:pPr>
            <w:r>
              <w:rPr>
                <w:rFonts w:hint="eastAsia" w:ascii="宋体" w:hAnsi="宋体"/>
                <w:color w:val="000000"/>
                <w:sz w:val="22"/>
                <w:szCs w:val="22"/>
              </w:rPr>
              <w:t>9</w:t>
            </w:r>
          </w:p>
        </w:tc>
        <w:tc>
          <w:tcPr>
            <w:tcW w:w="1922" w:type="dxa"/>
            <w:tcBorders>
              <w:top w:val="single" w:color="auto" w:sz="6" w:space="0"/>
              <w:left w:val="single" w:color="auto" w:sz="6" w:space="0"/>
              <w:bottom w:val="single" w:color="auto" w:sz="6" w:space="0"/>
              <w:right w:val="single" w:color="auto" w:sz="6" w:space="0"/>
            </w:tcBorders>
            <w:vAlign w:val="center"/>
          </w:tcPr>
          <w:p>
            <w:pPr>
              <w:ind w:left="1"/>
              <w:jc w:val="center"/>
              <w:rPr>
                <w:rFonts w:ascii="宋体" w:hAnsi="宋体"/>
                <w:szCs w:val="21"/>
              </w:rPr>
            </w:pPr>
            <w:r>
              <w:rPr>
                <w:rFonts w:hint="eastAsia" w:ascii="宋体" w:hAnsi="宋体"/>
                <w:szCs w:val="21"/>
              </w:rPr>
              <w:t>资格审查方式</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bCs/>
                <w:szCs w:val="21"/>
              </w:rPr>
            </w:pPr>
            <w:r>
              <w:rPr>
                <w:rFonts w:hint="eastAsia" w:ascii="宋体" w:hAnsi="宋体"/>
                <w:bCs/>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000000"/>
                <w:sz w:val="22"/>
                <w:szCs w:val="22"/>
              </w:rPr>
            </w:pPr>
            <w:r>
              <w:rPr>
                <w:rFonts w:ascii="宋体" w:hAnsi="宋体"/>
                <w:color w:val="000000"/>
                <w:sz w:val="22"/>
                <w:szCs w:val="22"/>
              </w:rPr>
              <w:t>10</w:t>
            </w:r>
          </w:p>
        </w:tc>
        <w:tc>
          <w:tcPr>
            <w:tcW w:w="1922" w:type="dxa"/>
            <w:tcBorders>
              <w:top w:val="single" w:color="auto" w:sz="6" w:space="0"/>
              <w:left w:val="single" w:color="auto" w:sz="6" w:space="0"/>
              <w:bottom w:val="single" w:color="auto" w:sz="6" w:space="0"/>
              <w:right w:val="single" w:color="auto" w:sz="6" w:space="0"/>
            </w:tcBorders>
            <w:vAlign w:val="center"/>
          </w:tcPr>
          <w:p>
            <w:pPr>
              <w:ind w:left="2100" w:hanging="2100" w:hangingChars="1000"/>
              <w:jc w:val="center"/>
              <w:rPr>
                <w:rFonts w:ascii="宋体" w:hAnsi="宋体"/>
                <w:bCs/>
                <w:szCs w:val="21"/>
              </w:rPr>
            </w:pPr>
            <w:r>
              <w:rPr>
                <w:rFonts w:hint="eastAsia" w:ascii="宋体" w:hAnsi="宋体"/>
                <w:bCs/>
                <w:szCs w:val="21"/>
              </w:rPr>
              <w:t>投标有效期</w:t>
            </w:r>
          </w:p>
        </w:tc>
        <w:tc>
          <w:tcPr>
            <w:tcW w:w="6583" w:type="dxa"/>
            <w:tcBorders>
              <w:top w:val="single" w:color="auto" w:sz="6" w:space="0"/>
              <w:left w:val="single" w:color="auto" w:sz="6" w:space="0"/>
              <w:bottom w:val="single" w:color="auto" w:sz="6" w:space="0"/>
              <w:right w:val="double" w:color="auto" w:sz="4" w:space="0"/>
            </w:tcBorders>
            <w:vAlign w:val="center"/>
          </w:tcPr>
          <w:p>
            <w:pPr>
              <w:ind w:left="2100" w:hanging="2100" w:hangingChars="1000"/>
              <w:rPr>
                <w:rFonts w:ascii="宋体" w:hAnsi="宋体"/>
                <w:bCs/>
                <w:szCs w:val="21"/>
              </w:rPr>
            </w:pPr>
            <w:r>
              <w:rPr>
                <w:rFonts w:hint="eastAsia" w:ascii="宋体" w:hAnsi="宋体"/>
                <w:kern w:val="0"/>
                <w:szCs w:val="21"/>
              </w:rPr>
              <w:t>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000000"/>
                <w:sz w:val="22"/>
                <w:szCs w:val="22"/>
              </w:rPr>
            </w:pPr>
            <w:r>
              <w:rPr>
                <w:rFonts w:hint="eastAsia" w:ascii="宋体" w:hAnsi="宋体"/>
                <w:color w:val="000000"/>
                <w:sz w:val="22"/>
                <w:szCs w:val="22"/>
              </w:rPr>
              <w:t>11</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r>
              <w:rPr>
                <w:rFonts w:hint="eastAsia"/>
                <w:color w:val="000000"/>
                <w:szCs w:val="22"/>
              </w:rPr>
              <w:t>付款方式</w:t>
            </w:r>
          </w:p>
        </w:tc>
        <w:tc>
          <w:tcPr>
            <w:tcW w:w="6583" w:type="dxa"/>
            <w:tcBorders>
              <w:top w:val="single" w:color="auto" w:sz="6" w:space="0"/>
              <w:left w:val="single" w:color="auto" w:sz="6" w:space="0"/>
              <w:bottom w:val="single" w:color="auto" w:sz="6" w:space="0"/>
              <w:right w:val="double" w:color="auto" w:sz="4" w:space="0"/>
            </w:tcBorders>
            <w:vAlign w:val="center"/>
          </w:tcPr>
          <w:p>
            <w:pPr>
              <w:rPr>
                <w:color w:val="FF0000"/>
                <w:sz w:val="22"/>
                <w:szCs w:val="22"/>
              </w:rPr>
            </w:pPr>
            <w:r>
              <w:rPr>
                <w:rFonts w:hint="eastAsia" w:ascii="宋体" w:hAnsi="宋体"/>
                <w:bCs/>
                <w:szCs w:val="21"/>
              </w:rPr>
              <w:t>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olor w:val="000000"/>
                <w:sz w:val="22"/>
                <w:szCs w:val="22"/>
              </w:rPr>
              <w:t>12</w:t>
            </w:r>
          </w:p>
        </w:tc>
        <w:tc>
          <w:tcPr>
            <w:tcW w:w="1922" w:type="dxa"/>
            <w:tcBorders>
              <w:top w:val="single" w:color="auto" w:sz="6" w:space="0"/>
              <w:left w:val="single" w:color="auto" w:sz="6" w:space="0"/>
              <w:bottom w:val="single" w:color="auto" w:sz="6" w:space="0"/>
              <w:right w:val="single" w:color="auto" w:sz="6" w:space="0"/>
            </w:tcBorders>
            <w:vAlign w:val="center"/>
          </w:tcPr>
          <w:p>
            <w:pPr>
              <w:tabs>
                <w:tab w:val="left" w:pos="4045"/>
              </w:tabs>
              <w:adjustRightInd w:val="0"/>
              <w:snapToGrid w:val="0"/>
              <w:jc w:val="center"/>
              <w:rPr>
                <w:rFonts w:ascii="宋体" w:hAnsi="宋体"/>
                <w:bCs/>
                <w:szCs w:val="21"/>
              </w:rPr>
            </w:pPr>
            <w:r>
              <w:rPr>
                <w:rFonts w:hint="eastAsia" w:ascii="宋体" w:hAnsi="宋体"/>
                <w:bCs/>
                <w:szCs w:val="21"/>
              </w:rPr>
              <w:t>投标人资格要求</w:t>
            </w:r>
          </w:p>
        </w:tc>
        <w:tc>
          <w:tcPr>
            <w:tcW w:w="6583" w:type="dxa"/>
            <w:tcBorders>
              <w:top w:val="single" w:color="auto" w:sz="6" w:space="0"/>
              <w:left w:val="single" w:color="auto" w:sz="6" w:space="0"/>
              <w:bottom w:val="single" w:color="auto" w:sz="6" w:space="0"/>
              <w:right w:val="double" w:color="auto" w:sz="4" w:space="0"/>
            </w:tcBorders>
            <w:vAlign w:val="center"/>
          </w:tcPr>
          <w:p>
            <w:pPr>
              <w:spacing w:line="360" w:lineRule="auto"/>
              <w:ind w:right="18"/>
              <w:rPr>
                <w:rFonts w:ascii="宋体" w:hAnsi="宋体"/>
                <w:bCs/>
                <w:szCs w:val="21"/>
              </w:rPr>
            </w:pPr>
            <w:r>
              <w:rPr>
                <w:rFonts w:hint="eastAsia" w:ascii="宋体" w:hAnsi="宋体"/>
                <w:bCs/>
                <w:szCs w:val="21"/>
              </w:rPr>
              <w:t>同招标公告资格要求。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Cs/>
                <w:szCs w:val="21"/>
              </w:rPr>
            </w:pPr>
            <w:r>
              <w:rPr>
                <w:rFonts w:ascii="宋体" w:hAnsi="宋体"/>
                <w:bCs/>
                <w:szCs w:val="21"/>
              </w:rPr>
              <w:t>1</w:t>
            </w:r>
            <w:r>
              <w:rPr>
                <w:rFonts w:hint="eastAsia" w:ascii="宋体" w:hAnsi="宋体"/>
                <w:bCs/>
                <w:szCs w:val="21"/>
              </w:rPr>
              <w:t>3</w:t>
            </w:r>
          </w:p>
        </w:tc>
        <w:tc>
          <w:tcPr>
            <w:tcW w:w="1922" w:type="dxa"/>
            <w:tcBorders>
              <w:top w:val="single" w:color="auto" w:sz="6" w:space="0"/>
              <w:left w:val="single" w:color="auto" w:sz="6" w:space="0"/>
              <w:bottom w:val="single" w:color="auto" w:sz="6" w:space="0"/>
              <w:right w:val="single" w:color="auto" w:sz="6" w:space="0"/>
            </w:tcBorders>
            <w:vAlign w:val="center"/>
          </w:tcPr>
          <w:p>
            <w:pPr>
              <w:tabs>
                <w:tab w:val="left" w:pos="4045"/>
              </w:tabs>
              <w:adjustRightInd w:val="0"/>
              <w:snapToGrid w:val="0"/>
              <w:jc w:val="center"/>
              <w:rPr>
                <w:rFonts w:ascii="宋体" w:hAnsi="宋体"/>
                <w:bCs/>
                <w:szCs w:val="21"/>
              </w:rPr>
            </w:pPr>
            <w:r>
              <w:rPr>
                <w:rFonts w:hint="eastAsia" w:ascii="宋体" w:hAnsi="宋体"/>
                <w:bCs/>
                <w:szCs w:val="21"/>
              </w:rPr>
              <w:t>是否接受</w:t>
            </w:r>
          </w:p>
          <w:p>
            <w:pPr>
              <w:tabs>
                <w:tab w:val="left" w:pos="4045"/>
              </w:tabs>
              <w:adjustRightInd w:val="0"/>
              <w:snapToGrid w:val="0"/>
              <w:jc w:val="center"/>
              <w:rPr>
                <w:rFonts w:ascii="宋体" w:hAnsi="宋体"/>
                <w:bCs/>
                <w:szCs w:val="21"/>
              </w:rPr>
            </w:pPr>
            <w:r>
              <w:rPr>
                <w:rFonts w:hint="eastAsia" w:ascii="宋体" w:hAnsi="宋体"/>
                <w:bCs/>
                <w:szCs w:val="21"/>
              </w:rPr>
              <w:t>联合体投标</w:t>
            </w:r>
          </w:p>
        </w:tc>
        <w:tc>
          <w:tcPr>
            <w:tcW w:w="6583"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bCs/>
                <w:szCs w:val="21"/>
              </w:rPr>
            </w:pPr>
            <w:r>
              <w:rPr>
                <w:rFonts w:hint="eastAsia" w:ascii="宋体" w:hAnsi="宋体"/>
                <w:bCs/>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Cs/>
                <w:szCs w:val="21"/>
              </w:rPr>
            </w:pPr>
            <w:r>
              <w:rPr>
                <w:rFonts w:hint="eastAsia" w:ascii="宋体" w:hAnsi="宋体"/>
                <w:bCs/>
                <w:szCs w:val="21"/>
              </w:rPr>
              <w:t>1</w:t>
            </w:r>
            <w:r>
              <w:rPr>
                <w:rFonts w:ascii="宋体" w:hAnsi="宋体"/>
                <w:bCs/>
                <w:szCs w:val="21"/>
              </w:rPr>
              <w:t>4</w:t>
            </w:r>
          </w:p>
        </w:tc>
        <w:tc>
          <w:tcPr>
            <w:tcW w:w="1922" w:type="dxa"/>
            <w:tcBorders>
              <w:top w:val="single" w:color="auto" w:sz="6" w:space="0"/>
              <w:left w:val="single" w:color="auto" w:sz="6" w:space="0"/>
              <w:bottom w:val="single" w:color="auto" w:sz="6" w:space="0"/>
              <w:right w:val="single" w:color="auto" w:sz="6" w:space="0"/>
            </w:tcBorders>
            <w:vAlign w:val="center"/>
          </w:tcPr>
          <w:p>
            <w:pPr>
              <w:tabs>
                <w:tab w:val="left" w:pos="4045"/>
              </w:tabs>
              <w:adjustRightInd w:val="0"/>
              <w:snapToGrid w:val="0"/>
              <w:jc w:val="center"/>
              <w:rPr>
                <w:rFonts w:ascii="宋体" w:hAnsi="宋体"/>
                <w:bCs/>
                <w:szCs w:val="21"/>
              </w:rPr>
            </w:pPr>
            <w:r>
              <w:rPr>
                <w:rFonts w:hint="eastAsia" w:ascii="宋体" w:hAnsi="宋体"/>
                <w:bCs/>
                <w:szCs w:val="21"/>
              </w:rPr>
              <w:t>质量标准</w:t>
            </w:r>
          </w:p>
        </w:tc>
        <w:tc>
          <w:tcPr>
            <w:tcW w:w="6583" w:type="dxa"/>
            <w:tcBorders>
              <w:top w:val="single" w:color="auto" w:sz="6" w:space="0"/>
              <w:left w:val="single" w:color="auto" w:sz="6" w:space="0"/>
              <w:bottom w:val="single" w:color="auto" w:sz="6" w:space="0"/>
              <w:right w:val="double" w:color="auto" w:sz="4" w:space="0"/>
            </w:tcBorders>
            <w:vAlign w:val="center"/>
          </w:tcPr>
          <w:p>
            <w:pPr>
              <w:tabs>
                <w:tab w:val="left" w:pos="4045"/>
              </w:tabs>
              <w:adjustRightInd w:val="0"/>
              <w:snapToGrid w:val="0"/>
              <w:rPr>
                <w:rFonts w:ascii="宋体" w:hAnsi="宋体"/>
                <w:bCs/>
                <w:szCs w:val="21"/>
              </w:rPr>
            </w:pPr>
            <w:r>
              <w:rPr>
                <w:rFonts w:hint="eastAsia" w:ascii="宋体" w:hAnsi="宋体"/>
                <w:bCs/>
                <w:szCs w:val="21"/>
              </w:rPr>
              <w:t>项目符合国家及企业的质量标准及安全标准。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Cs/>
                <w:szCs w:val="21"/>
              </w:rPr>
            </w:pPr>
            <w:r>
              <w:rPr>
                <w:rFonts w:ascii="宋体" w:hAnsi="宋体"/>
                <w:bCs/>
                <w:szCs w:val="21"/>
              </w:rPr>
              <w:t>15</w:t>
            </w:r>
          </w:p>
        </w:tc>
        <w:tc>
          <w:tcPr>
            <w:tcW w:w="1922" w:type="dxa"/>
            <w:tcBorders>
              <w:top w:val="single" w:color="auto" w:sz="6" w:space="0"/>
              <w:left w:val="single" w:color="auto" w:sz="6" w:space="0"/>
              <w:bottom w:val="single" w:color="auto" w:sz="6" w:space="0"/>
              <w:right w:val="single" w:color="auto" w:sz="6" w:space="0"/>
            </w:tcBorders>
            <w:vAlign w:val="center"/>
          </w:tcPr>
          <w:p>
            <w:pPr>
              <w:tabs>
                <w:tab w:val="left" w:pos="4045"/>
              </w:tabs>
              <w:adjustRightInd w:val="0"/>
              <w:snapToGrid w:val="0"/>
              <w:jc w:val="center"/>
              <w:rPr>
                <w:rFonts w:ascii="宋体" w:hAnsi="宋体"/>
                <w:bCs/>
                <w:szCs w:val="21"/>
              </w:rPr>
            </w:pPr>
            <w:r>
              <w:rPr>
                <w:rFonts w:hint="eastAsia" w:ascii="宋体" w:hAnsi="宋体"/>
                <w:bCs/>
                <w:szCs w:val="21"/>
              </w:rPr>
              <w:t>分包或转包</w:t>
            </w:r>
          </w:p>
        </w:tc>
        <w:tc>
          <w:tcPr>
            <w:tcW w:w="6583" w:type="dxa"/>
            <w:tcBorders>
              <w:top w:val="single" w:color="auto" w:sz="6" w:space="0"/>
              <w:left w:val="single" w:color="auto" w:sz="6" w:space="0"/>
              <w:bottom w:val="single" w:color="auto" w:sz="6" w:space="0"/>
              <w:right w:val="double" w:color="auto" w:sz="4" w:space="0"/>
            </w:tcBorders>
            <w:vAlign w:val="center"/>
          </w:tcPr>
          <w:p>
            <w:pPr>
              <w:tabs>
                <w:tab w:val="left" w:pos="4045"/>
              </w:tabs>
              <w:adjustRightInd w:val="0"/>
              <w:snapToGrid w:val="0"/>
              <w:rPr>
                <w:rFonts w:ascii="宋体" w:hAnsi="宋体"/>
                <w:bCs/>
                <w:szCs w:val="21"/>
              </w:rPr>
            </w:pPr>
            <w:r>
              <w:rPr>
                <w:rFonts w:hint="eastAsia" w:ascii="宋体" w:hAnsi="宋体"/>
                <w:bCs/>
                <w:szCs w:val="21"/>
              </w:rPr>
              <w:t>投标人中标后，不得以任何形式和理由将项目进行分包或转包。否则，招标人有权终止合同，由此所产生的一切损失均由中标人承担。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Cs/>
                <w:szCs w:val="21"/>
              </w:rPr>
            </w:pPr>
            <w:r>
              <w:rPr>
                <w:rFonts w:ascii="宋体" w:hAnsi="宋体"/>
                <w:bCs/>
                <w:szCs w:val="21"/>
              </w:rPr>
              <w:t>16</w:t>
            </w:r>
          </w:p>
        </w:tc>
        <w:tc>
          <w:tcPr>
            <w:tcW w:w="1922" w:type="dxa"/>
            <w:tcBorders>
              <w:top w:val="single" w:color="auto" w:sz="6" w:space="0"/>
              <w:left w:val="single" w:color="auto" w:sz="6" w:space="0"/>
              <w:bottom w:val="single" w:color="auto" w:sz="6" w:space="0"/>
              <w:right w:val="single" w:color="auto" w:sz="6" w:space="0"/>
            </w:tcBorders>
            <w:vAlign w:val="center"/>
          </w:tcPr>
          <w:p>
            <w:pPr>
              <w:tabs>
                <w:tab w:val="left" w:pos="4045"/>
              </w:tabs>
              <w:adjustRightInd w:val="0"/>
              <w:snapToGrid w:val="0"/>
              <w:jc w:val="center"/>
              <w:rPr>
                <w:rFonts w:ascii="宋体" w:hAnsi="宋体"/>
                <w:bCs/>
                <w:szCs w:val="21"/>
              </w:rPr>
            </w:pPr>
            <w:r>
              <w:rPr>
                <w:rFonts w:hint="eastAsia" w:ascii="宋体" w:hAnsi="宋体"/>
                <w:bCs/>
                <w:szCs w:val="21"/>
              </w:rPr>
              <w:t>是否允许偏离</w:t>
            </w:r>
          </w:p>
        </w:tc>
        <w:tc>
          <w:tcPr>
            <w:tcW w:w="6583" w:type="dxa"/>
            <w:tcBorders>
              <w:top w:val="single" w:color="auto" w:sz="6" w:space="0"/>
              <w:left w:val="single" w:color="auto" w:sz="6" w:space="0"/>
              <w:bottom w:val="single" w:color="auto" w:sz="6" w:space="0"/>
              <w:right w:val="double" w:color="auto" w:sz="4" w:space="0"/>
            </w:tcBorders>
            <w:vAlign w:val="center"/>
          </w:tcPr>
          <w:p>
            <w:pPr>
              <w:tabs>
                <w:tab w:val="left" w:pos="4045"/>
              </w:tabs>
              <w:adjustRightInd w:val="0"/>
              <w:snapToGrid w:val="0"/>
              <w:rPr>
                <w:rFonts w:ascii="宋体" w:hAnsi="宋体"/>
                <w:bCs/>
                <w:szCs w:val="21"/>
              </w:rPr>
            </w:pPr>
            <w:r>
              <w:rPr>
                <w:rFonts w:hint="eastAsia" w:ascii="宋体" w:hAnsi="宋体"/>
                <w:kern w:val="0"/>
                <w:szCs w:val="21"/>
              </w:rPr>
              <w:t>仅允许正偏离。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仿宋"/>
                <w:color w:val="000000"/>
                <w:szCs w:val="21"/>
              </w:rPr>
            </w:pPr>
            <w:r>
              <w:rPr>
                <w:rFonts w:hint="eastAsia" w:ascii="宋体" w:hAnsi="宋体" w:cs="仿宋"/>
                <w:color w:val="000000"/>
                <w:szCs w:val="21"/>
              </w:rPr>
              <w:t>17</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pacing w:line="440" w:lineRule="exact"/>
              <w:jc w:val="center"/>
              <w:textAlignment w:val="baseline"/>
              <w:rPr>
                <w:szCs w:val="21"/>
              </w:rPr>
            </w:pPr>
            <w:r>
              <w:rPr>
                <w:szCs w:val="21"/>
              </w:rPr>
              <w:t>投标人要求澄清招标文件的截止时间</w:t>
            </w:r>
          </w:p>
        </w:tc>
        <w:tc>
          <w:tcPr>
            <w:tcW w:w="6583" w:type="dxa"/>
            <w:tcBorders>
              <w:top w:val="single" w:color="auto" w:sz="6" w:space="0"/>
              <w:left w:val="single" w:color="auto" w:sz="6" w:space="0"/>
              <w:bottom w:val="single" w:color="auto" w:sz="6" w:space="0"/>
              <w:right w:val="double" w:color="auto" w:sz="4" w:space="0"/>
            </w:tcBorders>
            <w:vAlign w:val="center"/>
          </w:tcPr>
          <w:p>
            <w:pPr>
              <w:tabs>
                <w:tab w:val="left" w:pos="4045"/>
              </w:tabs>
              <w:adjustRightInd w:val="0"/>
              <w:snapToGrid w:val="0"/>
              <w:spacing w:line="360" w:lineRule="auto"/>
              <w:rPr>
                <w:rFonts w:ascii="宋体" w:hAnsi="宋体"/>
                <w:bCs/>
                <w:szCs w:val="21"/>
              </w:rPr>
            </w:pPr>
            <w:r>
              <w:rPr>
                <w:rFonts w:hint="eastAsia" w:ascii="宋体" w:hAnsi="宋体"/>
                <w:bCs/>
                <w:szCs w:val="21"/>
              </w:rPr>
              <w:t>收到招标文件起</w:t>
            </w:r>
            <w:r>
              <w:rPr>
                <w:rFonts w:hint="eastAsia" w:ascii="宋体" w:hAnsi="宋体" w:cs="宋体"/>
                <w:u w:val="single"/>
              </w:rPr>
              <w:t>3</w:t>
            </w:r>
            <w:r>
              <w:rPr>
                <w:rFonts w:hint="eastAsia" w:ascii="宋体" w:hAnsi="宋体"/>
                <w:bCs/>
                <w:szCs w:val="21"/>
              </w:rPr>
              <w:t>日内通知招标代理。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Cs/>
                <w:szCs w:val="21"/>
              </w:rPr>
            </w:pPr>
            <w:r>
              <w:rPr>
                <w:rFonts w:hint="eastAsia" w:ascii="宋体" w:hAnsi="宋体"/>
                <w:bCs/>
                <w:szCs w:val="21"/>
              </w:rPr>
              <w:t>18</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Cs/>
                <w:szCs w:val="21"/>
              </w:rPr>
            </w:pPr>
            <w:r>
              <w:rPr>
                <w:rFonts w:hint="eastAsia" w:ascii="宋体" w:hAnsi="宋体"/>
                <w:bCs/>
                <w:szCs w:val="21"/>
              </w:rPr>
              <w:t>投标文件递交</w:t>
            </w:r>
          </w:p>
        </w:tc>
        <w:tc>
          <w:tcPr>
            <w:tcW w:w="6583"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宋体" w:hAnsi="宋体" w:cs="宋体"/>
                <w:szCs w:val="21"/>
              </w:rPr>
            </w:pPr>
            <w:r>
              <w:rPr>
                <w:rFonts w:hint="eastAsia" w:ascii="宋体" w:hAnsi="宋体"/>
                <w:bCs/>
                <w:szCs w:val="21"/>
              </w:rPr>
              <w:t>1.截止日期、时间：见</w:t>
            </w:r>
            <w:r>
              <w:rPr>
                <w:rFonts w:hint="eastAsia" w:ascii="宋体" w:hAnsi="宋体"/>
                <w:szCs w:val="21"/>
              </w:rPr>
              <w:t>招标公告。</w:t>
            </w:r>
          </w:p>
          <w:p>
            <w:pPr>
              <w:adjustRightInd w:val="0"/>
              <w:snapToGrid w:val="0"/>
              <w:spacing w:line="360" w:lineRule="auto"/>
              <w:rPr>
                <w:rFonts w:ascii="宋体" w:hAnsi="宋体"/>
                <w:bCs/>
                <w:color w:val="FF0000"/>
                <w:szCs w:val="21"/>
              </w:rPr>
            </w:pPr>
            <w:r>
              <w:rPr>
                <w:rFonts w:hint="eastAsia" w:ascii="宋体" w:hAnsi="宋体" w:cs="宋体"/>
                <w:szCs w:val="21"/>
              </w:rPr>
              <w:t>2.递交地点：见</w:t>
            </w:r>
            <w:r>
              <w:rPr>
                <w:rFonts w:hint="eastAsia" w:ascii="宋体" w:hAnsi="宋体"/>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19</w:t>
            </w:r>
          </w:p>
        </w:tc>
        <w:tc>
          <w:tcPr>
            <w:tcW w:w="1922" w:type="dxa"/>
            <w:tcBorders>
              <w:top w:val="single" w:color="auto" w:sz="6" w:space="0"/>
              <w:left w:val="single" w:color="auto" w:sz="6" w:space="0"/>
              <w:bottom w:val="single" w:color="auto" w:sz="6" w:space="0"/>
              <w:right w:val="single" w:color="auto" w:sz="6" w:space="0"/>
            </w:tcBorders>
            <w:vAlign w:val="center"/>
          </w:tcPr>
          <w:p>
            <w:pPr>
              <w:spacing w:line="360" w:lineRule="auto"/>
              <w:ind w:left="1"/>
              <w:jc w:val="center"/>
              <w:rPr>
                <w:rFonts w:ascii="宋体" w:hAnsi="宋体"/>
                <w:szCs w:val="21"/>
              </w:rPr>
            </w:pPr>
            <w:r>
              <w:rPr>
                <w:rFonts w:hint="eastAsia" w:ascii="宋体" w:hAnsi="宋体" w:cs="仿宋"/>
                <w:szCs w:val="21"/>
              </w:rPr>
              <w:t>投标保证金</w:t>
            </w:r>
          </w:p>
        </w:tc>
        <w:tc>
          <w:tcPr>
            <w:tcW w:w="6583"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宋体" w:hAnsi="宋体"/>
                <w:bCs/>
                <w:szCs w:val="21"/>
              </w:rPr>
            </w:pPr>
            <w:r>
              <w:rPr>
                <w:rFonts w:hint="eastAsia" w:ascii="宋体" w:hAnsi="宋体"/>
                <w:bCs/>
                <w:szCs w:val="21"/>
              </w:rPr>
              <w:t>1.投标保证金的金额：人民币13000元；</w:t>
            </w:r>
          </w:p>
          <w:p>
            <w:pPr>
              <w:adjustRightInd w:val="0"/>
              <w:snapToGrid w:val="0"/>
              <w:spacing w:line="360" w:lineRule="auto"/>
              <w:rPr>
                <w:rFonts w:ascii="宋体" w:hAnsi="宋体"/>
                <w:bCs/>
                <w:szCs w:val="21"/>
              </w:rPr>
            </w:pPr>
            <w:r>
              <w:rPr>
                <w:rFonts w:hint="eastAsia" w:ascii="宋体" w:hAnsi="宋体"/>
                <w:bCs/>
                <w:szCs w:val="21"/>
              </w:rPr>
              <w:t>2.投标保证金的交纳形式：保证金必须从基本存款账户转出，不接受以个人名义及现金形式提交的保证金（违反此规定按无效投标处理）。</w:t>
            </w:r>
          </w:p>
          <w:p>
            <w:pPr>
              <w:adjustRightInd w:val="0"/>
              <w:snapToGrid w:val="0"/>
              <w:spacing w:line="360" w:lineRule="auto"/>
              <w:rPr>
                <w:rFonts w:ascii="宋体" w:hAnsi="宋体"/>
                <w:bCs/>
                <w:szCs w:val="21"/>
              </w:rPr>
            </w:pPr>
            <w:r>
              <w:rPr>
                <w:rFonts w:hint="eastAsia" w:ascii="宋体" w:hAnsi="宋体"/>
                <w:bCs/>
                <w:szCs w:val="21"/>
              </w:rPr>
              <w:t xml:space="preserve">开户名称：法正项目管理集团有限公司济南分公司 </w:t>
            </w:r>
          </w:p>
          <w:p>
            <w:pPr>
              <w:adjustRightInd w:val="0"/>
              <w:snapToGrid w:val="0"/>
              <w:spacing w:line="360" w:lineRule="auto"/>
              <w:rPr>
                <w:rFonts w:ascii="宋体" w:hAnsi="宋体"/>
                <w:bCs/>
                <w:szCs w:val="21"/>
              </w:rPr>
            </w:pPr>
            <w:r>
              <w:rPr>
                <w:rFonts w:hint="eastAsia" w:ascii="宋体" w:hAnsi="宋体"/>
                <w:bCs/>
                <w:szCs w:val="21"/>
              </w:rPr>
              <w:t>开户银行：中国建设银行股份有限公司济南泉城支行</w:t>
            </w:r>
          </w:p>
          <w:p>
            <w:pPr>
              <w:adjustRightInd w:val="0"/>
              <w:snapToGrid w:val="0"/>
              <w:spacing w:line="360" w:lineRule="auto"/>
              <w:rPr>
                <w:rFonts w:ascii="宋体" w:hAnsi="宋体"/>
                <w:bCs/>
                <w:szCs w:val="21"/>
              </w:rPr>
            </w:pPr>
            <w:r>
              <w:rPr>
                <w:rFonts w:hint="eastAsia" w:ascii="宋体" w:hAnsi="宋体"/>
                <w:bCs/>
                <w:szCs w:val="21"/>
              </w:rPr>
              <w:t>账号：37050161904100000829</w:t>
            </w:r>
          </w:p>
          <w:p>
            <w:pPr>
              <w:adjustRightInd w:val="0"/>
              <w:snapToGrid w:val="0"/>
              <w:spacing w:line="360" w:lineRule="auto"/>
              <w:rPr>
                <w:rFonts w:ascii="宋体" w:hAnsi="宋体"/>
                <w:color w:val="FF0000"/>
                <w:szCs w:val="21"/>
              </w:rPr>
            </w:pPr>
            <w:r>
              <w:rPr>
                <w:rFonts w:hint="eastAsia" w:ascii="宋体" w:hAnsi="宋体"/>
                <w:bCs/>
                <w:szCs w:val="21"/>
              </w:rPr>
              <w:t>3.投标保证金的交纳时间：应于开标时间前到达指定账户，并将汇款凭证扫描件发送至fzjtjinan@163.com。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38"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仿宋"/>
                <w:color w:val="000000"/>
                <w:szCs w:val="21"/>
              </w:rPr>
            </w:pPr>
            <w:r>
              <w:rPr>
                <w:rFonts w:hint="eastAsia" w:ascii="宋体" w:hAnsi="宋体" w:cs="仿宋"/>
                <w:color w:val="000000"/>
                <w:szCs w:val="21"/>
              </w:rPr>
              <w:t>20</w:t>
            </w:r>
          </w:p>
        </w:tc>
        <w:tc>
          <w:tcPr>
            <w:tcW w:w="192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Cs/>
                <w:szCs w:val="21"/>
              </w:rPr>
            </w:pPr>
            <w:r>
              <w:rPr>
                <w:rFonts w:hint="eastAsia" w:ascii="宋体" w:hAnsi="宋体"/>
                <w:bCs/>
                <w:szCs w:val="21"/>
              </w:rPr>
              <w:t>投标文件数量</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r>
              <w:rPr>
                <w:rFonts w:hint="eastAsia" w:ascii="宋体" w:hAnsi="宋体"/>
                <w:bCs/>
                <w:szCs w:val="21"/>
              </w:rPr>
              <w:t>1.投标文件数量为1套正本，4套副本</w:t>
            </w:r>
            <w:r>
              <w:rPr>
                <w:rFonts w:hint="eastAsia" w:ascii="宋体" w:hAnsi="宋体"/>
                <w:szCs w:val="21"/>
              </w:rPr>
              <w:t>。</w:t>
            </w:r>
          </w:p>
          <w:p>
            <w:pPr>
              <w:rPr>
                <w:rFonts w:ascii="宋体" w:hAnsi="宋体"/>
                <w:bCs/>
                <w:szCs w:val="21"/>
              </w:rPr>
            </w:pPr>
            <w:r>
              <w:rPr>
                <w:rFonts w:hint="eastAsia" w:ascii="宋体" w:hAnsi="宋体"/>
                <w:szCs w:val="21"/>
              </w:rPr>
              <w:t>2.投标文件电子版一份（word版U盘或光盘，单独密封，存档不退）。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21</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pacing w:line="440" w:lineRule="exact"/>
              <w:jc w:val="center"/>
              <w:textAlignment w:val="baseline"/>
              <w:rPr>
                <w:szCs w:val="21"/>
              </w:rPr>
            </w:pPr>
            <w:r>
              <w:rPr>
                <w:rFonts w:hint="eastAsia"/>
                <w:szCs w:val="21"/>
              </w:rPr>
              <w:t>开标时间和地点</w:t>
            </w:r>
          </w:p>
        </w:tc>
        <w:tc>
          <w:tcPr>
            <w:tcW w:w="6583" w:type="dxa"/>
            <w:tcBorders>
              <w:top w:val="single" w:color="auto" w:sz="6" w:space="0"/>
              <w:left w:val="single" w:color="auto" w:sz="6" w:space="0"/>
              <w:bottom w:val="single" w:color="auto" w:sz="6" w:space="0"/>
              <w:right w:val="double" w:color="auto" w:sz="4" w:space="0"/>
            </w:tcBorders>
            <w:vAlign w:val="center"/>
          </w:tcPr>
          <w:p>
            <w:pPr>
              <w:rPr>
                <w:rFonts w:ascii="宋体" w:hAnsi="宋体"/>
                <w:bCs/>
                <w:szCs w:val="21"/>
              </w:rPr>
            </w:pPr>
            <w:r>
              <w:rPr>
                <w:rFonts w:hint="eastAsia" w:ascii="宋体" w:hAnsi="宋体"/>
                <w:bCs/>
                <w:szCs w:val="21"/>
              </w:rPr>
              <w:t>1.</w:t>
            </w:r>
            <w:r>
              <w:rPr>
                <w:rFonts w:ascii="宋体" w:hAnsi="宋体"/>
                <w:bCs/>
                <w:szCs w:val="21"/>
              </w:rPr>
              <w:t>开标时间</w:t>
            </w:r>
            <w:r>
              <w:rPr>
                <w:rFonts w:hint="eastAsia" w:ascii="宋体" w:hAnsi="宋体"/>
                <w:bCs/>
                <w:szCs w:val="21"/>
              </w:rPr>
              <w:t>：</w:t>
            </w:r>
            <w:r>
              <w:rPr>
                <w:rFonts w:ascii="宋体" w:hAnsi="宋体"/>
                <w:bCs/>
                <w:szCs w:val="21"/>
              </w:rPr>
              <w:t>同投标截止时间。</w:t>
            </w:r>
          </w:p>
          <w:p>
            <w:pPr>
              <w:rPr>
                <w:szCs w:val="21"/>
              </w:rPr>
            </w:pPr>
            <w:r>
              <w:rPr>
                <w:rFonts w:hint="eastAsia" w:ascii="宋体" w:hAnsi="宋体"/>
                <w:bCs/>
                <w:szCs w:val="21"/>
              </w:rPr>
              <w:t>2.</w:t>
            </w:r>
            <w:r>
              <w:rPr>
                <w:rFonts w:ascii="宋体" w:hAnsi="宋体"/>
                <w:bCs/>
                <w:szCs w:val="21"/>
              </w:rPr>
              <w:t>开标地点</w:t>
            </w:r>
            <w:r>
              <w:rPr>
                <w:rFonts w:hint="eastAsia" w:ascii="宋体" w:hAnsi="宋体"/>
                <w:bCs/>
                <w:szCs w:val="21"/>
              </w:rPr>
              <w:t>：</w:t>
            </w:r>
            <w:r>
              <w:rPr>
                <w:rFonts w:hint="eastAsia" w:ascii="宋体" w:hAnsi="宋体" w:cs="宋体"/>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22</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评标委员会</w:t>
            </w:r>
          </w:p>
        </w:tc>
        <w:tc>
          <w:tcPr>
            <w:tcW w:w="6583" w:type="dxa"/>
            <w:tcBorders>
              <w:top w:val="single" w:color="auto" w:sz="6" w:space="0"/>
              <w:left w:val="single" w:color="auto" w:sz="6" w:space="0"/>
              <w:bottom w:val="single" w:color="auto" w:sz="6" w:space="0"/>
              <w:right w:val="double" w:color="auto" w:sz="4" w:space="0"/>
            </w:tcBorders>
            <w:vAlign w:val="center"/>
          </w:tcPr>
          <w:p>
            <w:pPr>
              <w:ind w:left="2100" w:hanging="2100" w:hangingChars="1000"/>
              <w:rPr>
                <w:rFonts w:ascii="宋体" w:hAnsi="宋体"/>
                <w:bCs/>
                <w:szCs w:val="21"/>
              </w:rPr>
            </w:pPr>
            <w:r>
              <w:rPr>
                <w:rFonts w:hint="eastAsia" w:ascii="宋体" w:hAnsi="宋体"/>
                <w:bCs/>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000000"/>
                <w:sz w:val="22"/>
                <w:szCs w:val="22"/>
              </w:rPr>
            </w:pPr>
            <w:r>
              <w:rPr>
                <w:rFonts w:ascii="宋体" w:hAnsi="宋体"/>
                <w:color w:val="000000"/>
                <w:sz w:val="22"/>
                <w:szCs w:val="22"/>
              </w:rPr>
              <w:t>2</w:t>
            </w:r>
            <w:r>
              <w:rPr>
                <w:rFonts w:hint="eastAsia" w:ascii="宋体" w:hAnsi="宋体"/>
                <w:color w:val="000000"/>
                <w:sz w:val="22"/>
                <w:szCs w:val="22"/>
              </w:rPr>
              <w:t>3</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评标办法</w:t>
            </w:r>
          </w:p>
        </w:tc>
        <w:tc>
          <w:tcPr>
            <w:tcW w:w="6583" w:type="dxa"/>
            <w:tcBorders>
              <w:top w:val="single" w:color="auto" w:sz="6" w:space="0"/>
              <w:left w:val="single" w:color="auto" w:sz="6" w:space="0"/>
              <w:bottom w:val="single" w:color="auto" w:sz="6" w:space="0"/>
              <w:right w:val="double" w:color="auto" w:sz="4" w:space="0"/>
            </w:tcBorders>
            <w:vAlign w:val="center"/>
          </w:tcPr>
          <w:p>
            <w:pPr>
              <w:ind w:left="2100" w:hanging="2100" w:hangingChars="1000"/>
              <w:rPr>
                <w:rFonts w:ascii="宋体" w:hAnsi="宋体"/>
                <w:bCs/>
                <w:szCs w:val="21"/>
              </w:rPr>
            </w:pPr>
            <w:r>
              <w:rPr>
                <w:rFonts w:hint="eastAsia" w:ascii="宋体" w:hAnsi="宋体"/>
                <w:bCs/>
                <w:szCs w:val="21"/>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3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24</w:t>
            </w:r>
          </w:p>
        </w:tc>
        <w:tc>
          <w:tcPr>
            <w:tcW w:w="192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bCs/>
                <w:szCs w:val="21"/>
              </w:rPr>
            </w:pPr>
            <w:r>
              <w:rPr>
                <w:rFonts w:hint="eastAsia" w:ascii="宋体" w:hAnsi="宋体"/>
                <w:bCs/>
                <w:szCs w:val="21"/>
              </w:rPr>
              <w:t>中标服务费</w:t>
            </w:r>
          </w:p>
        </w:tc>
        <w:tc>
          <w:tcPr>
            <w:tcW w:w="6583" w:type="dxa"/>
            <w:tcBorders>
              <w:top w:val="single" w:color="auto" w:sz="6" w:space="0"/>
              <w:left w:val="single" w:color="auto" w:sz="6" w:space="0"/>
              <w:bottom w:val="single" w:color="auto" w:sz="6" w:space="0"/>
              <w:right w:val="double" w:color="auto" w:sz="4" w:space="0"/>
            </w:tcBorders>
            <w:vAlign w:val="center"/>
          </w:tcPr>
          <w:p>
            <w:pPr>
              <w:widowControl/>
              <w:shd w:val="clear" w:color="auto" w:fill="FFFFFF"/>
              <w:tabs>
                <w:tab w:val="left" w:pos="420"/>
              </w:tabs>
              <w:snapToGrid w:val="0"/>
              <w:rPr>
                <w:rFonts w:ascii="宋体" w:hAnsi="宋体"/>
                <w:bCs/>
                <w:szCs w:val="21"/>
              </w:rPr>
            </w:pPr>
            <w:r>
              <w:rPr>
                <w:rFonts w:hint="eastAsia" w:ascii="宋体" w:hAnsi="宋体"/>
                <w:bCs/>
                <w:szCs w:val="21"/>
              </w:rPr>
              <w:t>1.本次招标的招标代理服务费，由中标人支付。</w:t>
            </w:r>
          </w:p>
          <w:p>
            <w:pPr>
              <w:widowControl/>
              <w:shd w:val="clear" w:color="auto" w:fill="FFFFFF"/>
              <w:tabs>
                <w:tab w:val="left" w:pos="420"/>
              </w:tabs>
              <w:snapToGrid w:val="0"/>
              <w:rPr>
                <w:rFonts w:ascii="宋体" w:hAnsi="宋体"/>
                <w:bCs/>
                <w:szCs w:val="21"/>
              </w:rPr>
            </w:pPr>
            <w:r>
              <w:rPr>
                <w:rFonts w:hint="eastAsia" w:ascii="宋体" w:hAnsi="宋体"/>
                <w:bCs/>
                <w:szCs w:val="21"/>
              </w:rPr>
              <w:t>2.计费标准，</w:t>
            </w:r>
            <w:r>
              <w:rPr>
                <w:rFonts w:hint="eastAsia" w:ascii="宋体" w:hAnsi="宋体"/>
                <w:color w:val="000000" w:themeColor="text1"/>
                <w:szCs w:val="21"/>
              </w:rPr>
              <w:t>根据本项目中标金额为基准值，按照国家计委关于《招标代理服务收费管理暂行办法》计价格〔</w:t>
            </w:r>
            <w:r>
              <w:rPr>
                <w:rFonts w:ascii="宋体" w:hAnsi="宋体"/>
                <w:color w:val="000000" w:themeColor="text1"/>
                <w:szCs w:val="21"/>
              </w:rPr>
              <w:t>2002</w:t>
            </w:r>
            <w:r>
              <w:rPr>
                <w:rFonts w:hint="eastAsia" w:ascii="宋体" w:hAnsi="宋体"/>
                <w:color w:val="000000" w:themeColor="text1"/>
                <w:szCs w:val="21"/>
              </w:rPr>
              <w:t>〕</w:t>
            </w:r>
            <w:r>
              <w:rPr>
                <w:rFonts w:ascii="宋体" w:hAnsi="宋体"/>
                <w:color w:val="000000" w:themeColor="text1"/>
                <w:szCs w:val="21"/>
              </w:rPr>
              <w:t>1980</w:t>
            </w:r>
            <w:r>
              <w:rPr>
                <w:rFonts w:hint="eastAsia" w:ascii="宋体" w:hAnsi="宋体"/>
                <w:color w:val="000000" w:themeColor="text1"/>
                <w:szCs w:val="21"/>
              </w:rPr>
              <w:t>号文规定的服务类收费标准计算。依标准计算额的</w:t>
            </w:r>
            <w:r>
              <w:rPr>
                <w:rFonts w:ascii="宋体" w:hAnsi="宋体"/>
                <w:color w:val="000000" w:themeColor="text1"/>
                <w:szCs w:val="21"/>
              </w:rPr>
              <w:t>67%</w:t>
            </w:r>
            <w:r>
              <w:rPr>
                <w:rFonts w:hint="eastAsia" w:ascii="宋体" w:hAnsi="宋体"/>
                <w:color w:val="000000" w:themeColor="text1"/>
                <w:szCs w:val="21"/>
              </w:rPr>
              <w:t>计取招标代理服务费。</w:t>
            </w:r>
          </w:p>
        </w:tc>
      </w:tr>
    </w:tbl>
    <w:p>
      <w:pPr>
        <w:spacing w:line="360" w:lineRule="auto"/>
        <w:ind w:firstLine="422" w:firstLineChars="200"/>
        <w:rPr>
          <w:b/>
        </w:rPr>
      </w:pPr>
      <w:r>
        <w:rPr>
          <w:rFonts w:hint="eastAsia"/>
          <w:b/>
        </w:rPr>
        <w:t>备注：《投标人须知前附表》的内容与招标文件正文的内容不一致的均以《投标人须知前附表》的内容为准。</w:t>
      </w:r>
      <w:bookmarkStart w:id="13" w:name="_Toc365812684"/>
      <w:r>
        <w:rPr>
          <w:b/>
        </w:rPr>
        <w:tab/>
      </w:r>
    </w:p>
    <w:p>
      <w:pPr>
        <w:pStyle w:val="42"/>
      </w:pPr>
      <w:r>
        <w:br w:type="page"/>
      </w:r>
      <w:bookmarkStart w:id="14" w:name="_Toc28291"/>
      <w:r>
        <w:rPr>
          <w:rFonts w:hint="eastAsia"/>
        </w:rPr>
        <w:t>第二章投标人须知</w:t>
      </w:r>
      <w:bookmarkEnd w:id="13"/>
      <w:bookmarkEnd w:id="14"/>
    </w:p>
    <w:p>
      <w:pPr>
        <w:pStyle w:val="48"/>
      </w:pPr>
      <w:bookmarkStart w:id="15" w:name="_Toc26985"/>
      <w:bookmarkStart w:id="16" w:name="_Toc332275110"/>
      <w:r>
        <w:rPr>
          <w:rFonts w:hint="eastAsia"/>
        </w:rPr>
        <w:t>一、总则</w:t>
      </w:r>
      <w:bookmarkEnd w:id="15"/>
      <w:bookmarkEnd w:id="16"/>
    </w:p>
    <w:p>
      <w:pPr>
        <w:pStyle w:val="50"/>
        <w:rPr>
          <w:rFonts w:ascii="黑体" w:hAnsi="黑体"/>
        </w:rPr>
      </w:pPr>
      <w:r>
        <w:rPr>
          <w:rFonts w:hint="eastAsia" w:ascii="黑体" w:hAnsi="黑体"/>
        </w:rPr>
        <w:t>（一）项目概述及资金来源</w:t>
      </w:r>
    </w:p>
    <w:p>
      <w:pPr>
        <w:tabs>
          <w:tab w:val="left" w:pos="420"/>
        </w:tabs>
        <w:spacing w:line="360" w:lineRule="auto"/>
        <w:ind w:firstLine="420" w:firstLineChars="200"/>
        <w:rPr>
          <w:rFonts w:ascii="宋体" w:hAnsi="宋体" w:cs="宋体"/>
          <w:kern w:val="0"/>
          <w:szCs w:val="21"/>
        </w:rPr>
      </w:pPr>
      <w:r>
        <w:rPr>
          <w:rFonts w:hint="eastAsia" w:ascii="宋体" w:hAnsi="宋体"/>
          <w:szCs w:val="21"/>
        </w:rPr>
        <w:t>本招标项目按照相关法律的有关规定，</w:t>
      </w:r>
      <w:r>
        <w:rPr>
          <w:rFonts w:hint="eastAsia" w:ascii="宋体" w:hAnsi="宋体"/>
          <w:spacing w:val="-2"/>
          <w:kern w:val="21"/>
          <w:szCs w:val="21"/>
        </w:rPr>
        <w:t>实行国内公开招标</w:t>
      </w:r>
      <w:r>
        <w:rPr>
          <w:rFonts w:hint="eastAsia" w:ascii="宋体" w:hAnsi="宋体" w:cs="宋体"/>
          <w:kern w:val="0"/>
          <w:szCs w:val="21"/>
        </w:rPr>
        <w:t>。</w:t>
      </w:r>
    </w:p>
    <w:p>
      <w:pPr>
        <w:spacing w:line="360" w:lineRule="auto"/>
        <w:ind w:firstLine="420" w:firstLineChars="200"/>
        <w:rPr>
          <w:rFonts w:ascii="宋体" w:hAnsi="宋体"/>
          <w:szCs w:val="21"/>
        </w:rPr>
      </w:pPr>
      <w:r>
        <w:rPr>
          <w:rFonts w:hint="eastAsia" w:ascii="宋体" w:hAnsi="宋体" w:cs="宋体"/>
          <w:kern w:val="0"/>
          <w:szCs w:val="21"/>
        </w:rPr>
        <w:t>1.项目名称：</w:t>
      </w:r>
      <w:r>
        <w:rPr>
          <w:rFonts w:hint="eastAsia" w:ascii="宋体" w:hAnsi="宋体"/>
          <w:szCs w:val="21"/>
        </w:rPr>
        <w:t>见《投标人须知前附表》。</w:t>
      </w:r>
    </w:p>
    <w:p>
      <w:pPr>
        <w:spacing w:line="360" w:lineRule="auto"/>
        <w:ind w:firstLine="420" w:firstLineChars="200"/>
        <w:rPr>
          <w:rFonts w:ascii="宋体" w:hAnsi="宋体" w:cs="宋体"/>
          <w:kern w:val="0"/>
          <w:szCs w:val="21"/>
        </w:rPr>
      </w:pPr>
      <w:r>
        <w:rPr>
          <w:rFonts w:hint="eastAsia" w:ascii="宋体" w:hAnsi="宋体" w:cs="宋体"/>
          <w:kern w:val="0"/>
          <w:szCs w:val="21"/>
        </w:rPr>
        <w:t>2.招标人：见《投标人须知前附表》。</w:t>
      </w:r>
    </w:p>
    <w:p>
      <w:pPr>
        <w:spacing w:line="360" w:lineRule="auto"/>
        <w:ind w:firstLine="420" w:firstLineChars="200"/>
        <w:rPr>
          <w:rFonts w:ascii="宋体" w:hAnsi="宋体" w:cs="宋体"/>
          <w:kern w:val="0"/>
          <w:szCs w:val="21"/>
        </w:rPr>
      </w:pPr>
      <w:r>
        <w:rPr>
          <w:rFonts w:hint="eastAsia" w:ascii="宋体" w:hAnsi="宋体" w:cs="宋体"/>
          <w:kern w:val="0"/>
          <w:szCs w:val="21"/>
        </w:rPr>
        <w:t>3.招标代理机构：见《投标人须知前附表》。</w:t>
      </w:r>
    </w:p>
    <w:p>
      <w:pPr>
        <w:spacing w:line="360" w:lineRule="auto"/>
        <w:rPr>
          <w:rFonts w:ascii="宋体" w:hAnsi="宋体"/>
          <w:szCs w:val="21"/>
        </w:rPr>
      </w:pPr>
      <w:r>
        <w:rPr>
          <w:rFonts w:hint="eastAsia" w:ascii="宋体" w:hAnsi="宋体"/>
          <w:szCs w:val="21"/>
        </w:rPr>
        <w:t xml:space="preserve">    4.项目资金来源：</w:t>
      </w:r>
      <w:r>
        <w:rPr>
          <w:rFonts w:hint="eastAsia" w:ascii="宋体" w:hAnsi="宋体" w:cs="宋体"/>
          <w:kern w:val="0"/>
          <w:szCs w:val="21"/>
        </w:rPr>
        <w:t>见《投标人须知前附表》。</w:t>
      </w:r>
    </w:p>
    <w:p>
      <w:pPr>
        <w:spacing w:line="360" w:lineRule="auto"/>
        <w:ind w:firstLine="420" w:firstLineChars="200"/>
        <w:rPr>
          <w:rFonts w:ascii="宋体" w:hAnsi="宋体" w:cs="宋体"/>
          <w:kern w:val="0"/>
          <w:szCs w:val="21"/>
        </w:rPr>
      </w:pPr>
      <w:r>
        <w:rPr>
          <w:rFonts w:hint="eastAsia" w:ascii="宋体" w:hAnsi="宋体"/>
          <w:szCs w:val="21"/>
        </w:rPr>
        <w:t>5.项目内容：</w:t>
      </w:r>
      <w:r>
        <w:rPr>
          <w:rFonts w:hint="eastAsia" w:ascii="宋体" w:hAnsi="宋体" w:cs="宋体"/>
          <w:kern w:val="0"/>
          <w:szCs w:val="21"/>
        </w:rPr>
        <w:t>见《投标人须知前附表》。</w:t>
      </w:r>
    </w:p>
    <w:p>
      <w:pPr>
        <w:spacing w:line="360" w:lineRule="auto"/>
        <w:ind w:firstLine="420" w:firstLineChars="200"/>
        <w:rPr>
          <w:rFonts w:ascii="宋体" w:hAnsi="宋体" w:cs="宋体"/>
          <w:kern w:val="0"/>
          <w:szCs w:val="21"/>
        </w:rPr>
      </w:pPr>
      <w:r>
        <w:rPr>
          <w:rFonts w:hint="eastAsia" w:ascii="宋体" w:hAnsi="宋体" w:cs="宋体"/>
          <w:kern w:val="0"/>
          <w:szCs w:val="21"/>
        </w:rPr>
        <w:t>6.最高投标限价：见《投标人须知前附表》。</w:t>
      </w:r>
    </w:p>
    <w:p>
      <w:pPr>
        <w:pStyle w:val="50"/>
      </w:pPr>
      <w:bookmarkStart w:id="17" w:name="_Toc318787294"/>
      <w:r>
        <w:rPr>
          <w:rFonts w:hint="eastAsia"/>
        </w:rPr>
        <w:t>（二）本次招标的说明及要求</w:t>
      </w:r>
    </w:p>
    <w:p>
      <w:pPr>
        <w:spacing w:line="360" w:lineRule="auto"/>
        <w:ind w:firstLine="420" w:firstLineChars="200"/>
        <w:rPr>
          <w:rFonts w:ascii="宋体" w:hAnsi="宋体"/>
          <w:szCs w:val="21"/>
        </w:rPr>
      </w:pPr>
      <w:r>
        <w:rPr>
          <w:rFonts w:hint="eastAsia" w:ascii="宋体" w:hAnsi="宋体"/>
          <w:szCs w:val="21"/>
        </w:rPr>
        <w:t>见第五部分 项目需求及技术要求。</w:t>
      </w:r>
    </w:p>
    <w:p>
      <w:pPr>
        <w:pStyle w:val="50"/>
      </w:pPr>
      <w:r>
        <w:rPr>
          <w:rFonts w:hint="eastAsia"/>
        </w:rPr>
        <w:t>（三）投标人的资格要求</w:t>
      </w:r>
    </w:p>
    <w:p>
      <w:pPr>
        <w:spacing w:line="360" w:lineRule="auto"/>
        <w:ind w:firstLine="420" w:firstLineChars="200"/>
        <w:rPr>
          <w:rFonts w:ascii="宋体" w:hAnsi="宋体"/>
          <w:szCs w:val="21"/>
        </w:rPr>
      </w:pPr>
      <w:r>
        <w:rPr>
          <w:rFonts w:hint="eastAsia" w:ascii="宋体" w:hAnsi="宋体"/>
          <w:szCs w:val="21"/>
        </w:rPr>
        <w:t>见《投标人须知前附表》。</w:t>
      </w:r>
    </w:p>
    <w:p>
      <w:pPr>
        <w:pStyle w:val="50"/>
      </w:pPr>
      <w:r>
        <w:rPr>
          <w:rFonts w:hint="eastAsia"/>
        </w:rPr>
        <w:t>（四）投标费用</w:t>
      </w:r>
    </w:p>
    <w:p>
      <w:pPr>
        <w:spacing w:line="360" w:lineRule="auto"/>
        <w:ind w:firstLine="420" w:firstLineChars="200"/>
        <w:rPr>
          <w:rFonts w:ascii="宋体" w:hAnsi="宋体"/>
          <w:szCs w:val="21"/>
        </w:rPr>
      </w:pPr>
      <w:r>
        <w:rPr>
          <w:rFonts w:hint="eastAsia" w:ascii="宋体" w:hAnsi="宋体"/>
          <w:szCs w:val="21"/>
        </w:rPr>
        <w:t>投标人应承担所有与编写和提交投标文件有关的一切费用，不论投标的结果如何，招标人在任何情况下均无义务和责任承担这些费用。</w:t>
      </w:r>
    </w:p>
    <w:p>
      <w:pPr>
        <w:pStyle w:val="50"/>
      </w:pPr>
      <w:r>
        <w:rPr>
          <w:rFonts w:hint="eastAsia"/>
        </w:rPr>
        <w:t>（五）中标服务费</w:t>
      </w:r>
    </w:p>
    <w:p>
      <w:pPr>
        <w:adjustRightInd w:val="0"/>
        <w:snapToGrid w:val="0"/>
        <w:spacing w:line="360" w:lineRule="auto"/>
        <w:ind w:firstLine="420" w:firstLineChars="200"/>
        <w:rPr>
          <w:rFonts w:ascii="宋体" w:hAnsi="宋体"/>
          <w:szCs w:val="21"/>
        </w:rPr>
      </w:pPr>
      <w:r>
        <w:rPr>
          <w:rFonts w:hint="eastAsia" w:ascii="宋体" w:hAnsi="宋体"/>
          <w:szCs w:val="21"/>
        </w:rPr>
        <w:t>1.本次招标的招标代理服务费，由中标人支付。</w:t>
      </w:r>
    </w:p>
    <w:p>
      <w:pPr>
        <w:adjustRightInd w:val="0"/>
        <w:snapToGrid w:val="0"/>
        <w:spacing w:line="360" w:lineRule="auto"/>
        <w:ind w:firstLine="420" w:firstLineChars="200"/>
        <w:rPr>
          <w:rFonts w:ascii="宋体" w:hAnsi="宋体"/>
          <w:szCs w:val="21"/>
        </w:rPr>
      </w:pPr>
      <w:r>
        <w:rPr>
          <w:rFonts w:hint="eastAsia" w:ascii="宋体" w:hAnsi="宋体"/>
          <w:szCs w:val="21"/>
        </w:rPr>
        <w:t>2.计算标准见投标人须知前附表。</w:t>
      </w:r>
    </w:p>
    <w:p>
      <w:pPr>
        <w:pStyle w:val="50"/>
      </w:pPr>
      <w:r>
        <w:rPr>
          <w:rFonts w:hint="eastAsia"/>
        </w:rPr>
        <w:t>（六）保密</w:t>
      </w:r>
    </w:p>
    <w:p>
      <w:pPr>
        <w:adjustRightInd w:val="0"/>
        <w:snapToGrid w:val="0"/>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参与招标投标活动的各方应对招标文件和投标文件中的商业和技术秘密保密，违者应对由此造成的后果承担法律责任。</w:t>
      </w:r>
    </w:p>
    <w:p>
      <w:pPr>
        <w:pStyle w:val="50"/>
        <w:spacing w:line="240" w:lineRule="auto"/>
        <w:rPr>
          <w:rFonts w:ascii="黑体" w:hAnsi="黑体"/>
        </w:rPr>
      </w:pPr>
      <w:r>
        <w:rPr>
          <w:rFonts w:hint="eastAsia" w:ascii="黑体" w:hAnsi="黑体"/>
        </w:rPr>
        <w:t>（七）语言文字和计量单位</w:t>
      </w:r>
    </w:p>
    <w:p>
      <w:pPr>
        <w:tabs>
          <w:tab w:val="left" w:pos="420"/>
        </w:tabs>
        <w:spacing w:line="360" w:lineRule="auto"/>
        <w:ind w:firstLine="420" w:firstLineChars="200"/>
        <w:rPr>
          <w:rFonts w:ascii="宋体" w:hAnsi="宋体"/>
          <w:szCs w:val="21"/>
        </w:rPr>
      </w:pPr>
      <w:r>
        <w:rPr>
          <w:rFonts w:ascii="宋体" w:hAnsi="宋体"/>
          <w:szCs w:val="21"/>
        </w:rPr>
        <w:t>1.除专用术语外，与招标投标有关的语言均使用简体中文。必要时专用术语应附有中文注释。</w:t>
      </w:r>
    </w:p>
    <w:p>
      <w:pPr>
        <w:tabs>
          <w:tab w:val="left" w:pos="420"/>
        </w:tabs>
        <w:spacing w:line="360" w:lineRule="auto"/>
        <w:ind w:firstLine="420" w:firstLineChars="200"/>
        <w:rPr>
          <w:rFonts w:ascii="宋体" w:hAnsi="宋体"/>
          <w:szCs w:val="21"/>
        </w:rPr>
      </w:pPr>
      <w:r>
        <w:rPr>
          <w:rFonts w:ascii="宋体" w:hAnsi="宋体"/>
          <w:szCs w:val="21"/>
        </w:rPr>
        <w:t>2.除招标文件的技术规格中另有规定外，投标文件中所使用的计量单位应使用中华人民共和国法定计量单位。</w:t>
      </w:r>
    </w:p>
    <w:p>
      <w:pPr>
        <w:pStyle w:val="50"/>
      </w:pPr>
      <w:r>
        <w:rPr>
          <w:rFonts w:hint="eastAsia"/>
        </w:rPr>
        <w:t>（八）履约保证金</w:t>
      </w:r>
    </w:p>
    <w:p>
      <w:pPr>
        <w:tabs>
          <w:tab w:val="left" w:pos="420"/>
        </w:tabs>
        <w:spacing w:line="360" w:lineRule="auto"/>
        <w:ind w:firstLine="420" w:firstLineChars="200"/>
        <w:rPr>
          <w:rFonts w:ascii="宋体" w:hAnsi="宋体" w:cs="仿宋_GB2312"/>
          <w:szCs w:val="21"/>
        </w:rPr>
      </w:pPr>
      <w:r>
        <w:rPr>
          <w:rFonts w:ascii="宋体" w:hAnsi="宋体" w:cs="仿宋_GB2312"/>
          <w:szCs w:val="21"/>
        </w:rPr>
        <w:t>无</w:t>
      </w:r>
      <w:r>
        <w:rPr>
          <w:rFonts w:hint="eastAsia" w:ascii="宋体" w:hAnsi="宋体" w:cs="仿宋_GB2312"/>
          <w:szCs w:val="21"/>
        </w:rPr>
        <w:t>。</w:t>
      </w:r>
    </w:p>
    <w:p>
      <w:pPr>
        <w:pStyle w:val="48"/>
      </w:pPr>
      <w:bookmarkStart w:id="18" w:name="_Toc952"/>
      <w:r>
        <w:rPr>
          <w:rFonts w:hint="eastAsia"/>
        </w:rPr>
        <w:t>二、招标文件</w:t>
      </w:r>
      <w:bookmarkEnd w:id="17"/>
      <w:bookmarkEnd w:id="18"/>
    </w:p>
    <w:p>
      <w:pPr>
        <w:pStyle w:val="50"/>
        <w:rPr>
          <w:rFonts w:ascii="黑体" w:hAnsi="黑体"/>
        </w:rPr>
      </w:pPr>
      <w:bookmarkStart w:id="19" w:name="_Toc312151670"/>
      <w:bookmarkStart w:id="20" w:name="_Toc312152081"/>
      <w:r>
        <w:rPr>
          <w:rFonts w:hint="eastAsia" w:ascii="黑体" w:hAnsi="黑体"/>
        </w:rPr>
        <w:t>（一）招标文件构成</w:t>
      </w:r>
      <w:bookmarkEnd w:id="19"/>
      <w:bookmarkEnd w:id="20"/>
    </w:p>
    <w:p>
      <w:pPr>
        <w:adjustRightInd w:val="0"/>
        <w:snapToGrid w:val="0"/>
        <w:spacing w:line="360" w:lineRule="auto"/>
        <w:ind w:firstLine="420" w:firstLineChars="200"/>
        <w:rPr>
          <w:rFonts w:ascii="宋体" w:hAnsi="宋体"/>
          <w:szCs w:val="21"/>
        </w:rPr>
      </w:pPr>
      <w:bookmarkStart w:id="21" w:name="_Toc312151671"/>
      <w:bookmarkStart w:id="22" w:name="_Toc312152082"/>
      <w:r>
        <w:rPr>
          <w:rFonts w:hint="eastAsia" w:ascii="宋体" w:hAnsi="宋体"/>
          <w:szCs w:val="21"/>
        </w:rPr>
        <w:t>招标文件包括：</w:t>
      </w:r>
      <w:bookmarkEnd w:id="21"/>
      <w:bookmarkEnd w:id="22"/>
    </w:p>
    <w:p>
      <w:pPr>
        <w:adjustRightInd w:val="0"/>
        <w:snapToGrid w:val="0"/>
        <w:spacing w:line="360" w:lineRule="auto"/>
        <w:ind w:firstLine="420" w:firstLineChars="200"/>
        <w:rPr>
          <w:rFonts w:ascii="宋体" w:hAnsi="宋体"/>
          <w:szCs w:val="21"/>
        </w:rPr>
      </w:pPr>
      <w:bookmarkStart w:id="23" w:name="_Toc312152083"/>
      <w:bookmarkStart w:id="24" w:name="_Toc312151672"/>
      <w:r>
        <w:rPr>
          <w:rFonts w:hint="eastAsia" w:ascii="宋体" w:hAnsi="宋体"/>
          <w:szCs w:val="21"/>
        </w:rPr>
        <w:t>第一部分 招标公告</w:t>
      </w:r>
      <w:bookmarkEnd w:id="23"/>
      <w:bookmarkEnd w:id="24"/>
    </w:p>
    <w:p>
      <w:pPr>
        <w:adjustRightInd w:val="0"/>
        <w:snapToGrid w:val="0"/>
        <w:spacing w:line="360" w:lineRule="auto"/>
        <w:ind w:firstLine="420" w:firstLineChars="200"/>
        <w:rPr>
          <w:rFonts w:ascii="宋体" w:hAnsi="宋体"/>
          <w:szCs w:val="21"/>
        </w:rPr>
      </w:pPr>
      <w:r>
        <w:rPr>
          <w:rFonts w:hint="eastAsia" w:ascii="宋体" w:hAnsi="宋体"/>
          <w:szCs w:val="21"/>
        </w:rPr>
        <w:t>第二部分 投标人须知及前附表</w:t>
      </w:r>
    </w:p>
    <w:p>
      <w:pPr>
        <w:adjustRightInd w:val="0"/>
        <w:snapToGrid w:val="0"/>
        <w:spacing w:line="360" w:lineRule="auto"/>
        <w:ind w:firstLine="420" w:firstLineChars="200"/>
        <w:rPr>
          <w:rFonts w:ascii="宋体" w:hAnsi="宋体"/>
          <w:szCs w:val="21"/>
        </w:rPr>
      </w:pPr>
      <w:r>
        <w:rPr>
          <w:rFonts w:hint="eastAsia" w:ascii="宋体" w:hAnsi="宋体"/>
          <w:szCs w:val="21"/>
        </w:rPr>
        <w:t>第三部分 评标办法</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hint="eastAsia" w:ascii="宋体" w:hAnsi="宋体"/>
          <w:szCs w:val="21"/>
        </w:rPr>
        <w:t>第四部分 合同主要条款</w:t>
      </w:r>
    </w:p>
    <w:p>
      <w:pPr>
        <w:adjustRightInd w:val="0"/>
        <w:snapToGrid w:val="0"/>
        <w:spacing w:line="360" w:lineRule="auto"/>
        <w:ind w:firstLine="420" w:firstLineChars="200"/>
        <w:rPr>
          <w:rFonts w:ascii="宋体" w:hAnsi="宋体"/>
          <w:szCs w:val="21"/>
        </w:rPr>
      </w:pPr>
      <w:r>
        <w:rPr>
          <w:rFonts w:hint="eastAsia" w:ascii="宋体" w:hAnsi="宋体"/>
          <w:szCs w:val="21"/>
        </w:rPr>
        <w:t>第五部分 项目需求及技术要求</w:t>
      </w:r>
    </w:p>
    <w:p>
      <w:pPr>
        <w:adjustRightInd w:val="0"/>
        <w:snapToGrid w:val="0"/>
        <w:spacing w:line="360" w:lineRule="auto"/>
        <w:ind w:firstLine="420" w:firstLineChars="200"/>
        <w:rPr>
          <w:rFonts w:ascii="宋体" w:hAnsi="宋体"/>
          <w:szCs w:val="21"/>
        </w:rPr>
      </w:pPr>
      <w:r>
        <w:rPr>
          <w:rFonts w:hint="eastAsia" w:ascii="宋体" w:hAnsi="宋体"/>
          <w:szCs w:val="21"/>
        </w:rPr>
        <w:t>第六部分 投标文件格式</w:t>
      </w:r>
    </w:p>
    <w:p>
      <w:pPr>
        <w:adjustRightInd w:val="0"/>
        <w:snapToGrid w:val="0"/>
        <w:spacing w:line="360" w:lineRule="auto"/>
        <w:ind w:firstLine="420" w:firstLineChars="200"/>
        <w:rPr>
          <w:rFonts w:ascii="宋体" w:hAnsi="宋体"/>
          <w:szCs w:val="21"/>
        </w:rPr>
      </w:pPr>
      <w:r>
        <w:rPr>
          <w:rFonts w:hint="eastAsia" w:ascii="宋体" w:hAnsi="宋体"/>
          <w:szCs w:val="21"/>
        </w:rPr>
        <w:t>招标人对招标文件所作的澄清、修改、补充、答疑均为招标文件的组成部分。</w:t>
      </w:r>
    </w:p>
    <w:p>
      <w:pPr>
        <w:pStyle w:val="50"/>
      </w:pPr>
      <w:r>
        <w:rPr>
          <w:rFonts w:hint="eastAsia" w:ascii="黑体" w:hAnsi="黑体"/>
        </w:rPr>
        <w:t>（二）</w:t>
      </w:r>
      <w:r>
        <w:rPr>
          <w:rFonts w:hint="eastAsia"/>
        </w:rPr>
        <w:t>招标文件的澄清、修改</w:t>
      </w:r>
    </w:p>
    <w:p>
      <w:pPr>
        <w:adjustRightInd w:val="0"/>
        <w:snapToGrid w:val="0"/>
        <w:spacing w:line="360" w:lineRule="auto"/>
        <w:ind w:firstLine="420" w:firstLineChars="200"/>
        <w:rPr>
          <w:rFonts w:ascii="宋体" w:hAnsi="宋体"/>
          <w:szCs w:val="21"/>
        </w:rPr>
      </w:pPr>
      <w:r>
        <w:rPr>
          <w:rFonts w:hint="eastAsia" w:ascii="宋体" w:hAnsi="宋体"/>
          <w:szCs w:val="21"/>
        </w:rPr>
        <w:t>1.招标文件的澄清</w:t>
      </w:r>
    </w:p>
    <w:p>
      <w:pPr>
        <w:adjustRightInd w:val="0"/>
        <w:snapToGrid w:val="0"/>
        <w:spacing w:line="360" w:lineRule="auto"/>
        <w:ind w:firstLine="420" w:firstLineChars="200"/>
        <w:rPr>
          <w:rFonts w:ascii="宋体" w:hAnsi="宋体"/>
          <w:szCs w:val="21"/>
        </w:rPr>
      </w:pPr>
      <w:r>
        <w:rPr>
          <w:rFonts w:hint="eastAsia" w:ascii="宋体" w:hAnsi="宋体"/>
          <w:szCs w:val="21"/>
        </w:rPr>
        <w:t>（1）投标人应仔细阅读和检查招标文件的全部内容。如发现缺页或附件不全，应及时向招标人提出，以便补齐。如有疑问，应在收到招标文件后3日内以书面形式（包括信函、传真等可以有形地表现所载内容的形式）要求招标人对招标文件予以澄清。</w:t>
      </w:r>
    </w:p>
    <w:p>
      <w:pPr>
        <w:adjustRightInd w:val="0"/>
        <w:snapToGrid w:val="0"/>
        <w:spacing w:line="360" w:lineRule="auto"/>
        <w:ind w:firstLine="420" w:firstLineChars="200"/>
        <w:rPr>
          <w:rFonts w:ascii="宋体" w:hAnsi="宋体"/>
          <w:szCs w:val="21"/>
        </w:rPr>
      </w:pPr>
      <w:r>
        <w:rPr>
          <w:rFonts w:hint="eastAsia" w:ascii="宋体" w:hAnsi="宋体"/>
          <w:szCs w:val="21"/>
        </w:rPr>
        <w:t>（2）招标文件的澄清将在投标人须知前附表规定的投标截止时间前以书面形式发给所有购买招标文件的投标人，但不指明澄清问题的来源。如果澄清可能影响投标文件的编制且发出的时间距投标截止时间不足15日，相应延长投标截止时间。</w:t>
      </w:r>
    </w:p>
    <w:p>
      <w:pPr>
        <w:adjustRightInd w:val="0"/>
        <w:snapToGrid w:val="0"/>
        <w:spacing w:line="360" w:lineRule="auto"/>
        <w:ind w:firstLine="420" w:firstLineChars="200"/>
        <w:rPr>
          <w:rFonts w:ascii="宋体" w:hAnsi="宋体"/>
          <w:szCs w:val="21"/>
        </w:rPr>
      </w:pPr>
      <w:r>
        <w:rPr>
          <w:rFonts w:hint="eastAsia" w:ascii="宋体" w:hAnsi="宋体"/>
          <w:szCs w:val="21"/>
        </w:rPr>
        <w:t>（3）投标人在收到澄清后，应以书面形式于24小时内通知招标人，确认已收到该澄清。</w:t>
      </w:r>
    </w:p>
    <w:p>
      <w:pPr>
        <w:adjustRightInd w:val="0"/>
        <w:snapToGrid w:val="0"/>
        <w:spacing w:line="360" w:lineRule="auto"/>
        <w:ind w:firstLine="420" w:firstLineChars="200"/>
        <w:rPr>
          <w:rFonts w:ascii="宋体" w:hAnsi="宋体"/>
          <w:szCs w:val="21"/>
        </w:rPr>
      </w:pPr>
      <w:r>
        <w:rPr>
          <w:rFonts w:hint="eastAsia" w:ascii="宋体" w:hAnsi="宋体"/>
          <w:szCs w:val="21"/>
        </w:rPr>
        <w:t>2. 招标文件的修改</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（1）在投标截止时间前，招标人可以书面形式修改招标文件，并通知所有已购买招标文件的投标人。如果修改可能影响投标文件的编制且发出修改文件的时间距投标截止时间不足15日，相应延长投标截止时间。 </w:t>
      </w:r>
    </w:p>
    <w:p>
      <w:pPr>
        <w:adjustRightInd w:val="0"/>
        <w:snapToGrid w:val="0"/>
        <w:spacing w:line="360" w:lineRule="auto"/>
        <w:ind w:firstLine="420" w:firstLineChars="200"/>
        <w:rPr>
          <w:rFonts w:ascii="宋体" w:hAnsi="宋体"/>
          <w:szCs w:val="21"/>
        </w:rPr>
      </w:pPr>
      <w:r>
        <w:rPr>
          <w:rFonts w:hint="eastAsia" w:ascii="宋体" w:hAnsi="宋体"/>
          <w:szCs w:val="21"/>
        </w:rPr>
        <w:t>（2）投标人收到修改内容后，应以书面形式于24小时内通知招标人，确认已收到该修改。</w:t>
      </w:r>
    </w:p>
    <w:p>
      <w:pPr>
        <w:pStyle w:val="50"/>
      </w:pPr>
      <w:r>
        <w:rPr>
          <w:rFonts w:hint="eastAsia"/>
        </w:rPr>
        <w:t>（三）招标文件的异议</w:t>
      </w:r>
    </w:p>
    <w:p>
      <w:pPr>
        <w:spacing w:line="360" w:lineRule="auto"/>
        <w:ind w:firstLine="420" w:firstLineChars="200"/>
        <w:rPr>
          <w:rFonts w:ascii="宋体" w:hAnsi="宋体"/>
          <w:szCs w:val="21"/>
        </w:rPr>
      </w:pPr>
      <w:r>
        <w:rPr>
          <w:rFonts w:hint="eastAsia" w:ascii="宋体" w:hAnsi="宋体"/>
          <w:szCs w:val="21"/>
        </w:rPr>
        <w:t>潜在投标人或者其他利害关系人对招标文件有异议的，应当在投标截止时间10日前提出。</w:t>
      </w:r>
    </w:p>
    <w:p>
      <w:pPr>
        <w:pStyle w:val="48"/>
      </w:pPr>
      <w:bookmarkStart w:id="25" w:name="_Toc32503"/>
      <w:r>
        <w:rPr>
          <w:rFonts w:hint="eastAsia"/>
        </w:rPr>
        <w:t>三、投标文件</w:t>
      </w:r>
      <w:bookmarkEnd w:id="25"/>
    </w:p>
    <w:p>
      <w:pPr>
        <w:pStyle w:val="50"/>
      </w:pPr>
      <w:r>
        <w:rPr>
          <w:rFonts w:hint="eastAsia"/>
        </w:rPr>
        <w:t>（一）投标文件构成</w:t>
      </w:r>
    </w:p>
    <w:p>
      <w:pPr>
        <w:spacing w:line="360" w:lineRule="auto"/>
        <w:ind w:firstLine="420" w:firstLineChars="200"/>
        <w:rPr>
          <w:rFonts w:ascii="宋体" w:hAnsi="宋体"/>
          <w:szCs w:val="21"/>
        </w:rPr>
      </w:pPr>
      <w:bookmarkStart w:id="26" w:name="_Toc312151674"/>
      <w:bookmarkStart w:id="27" w:name="_Toc312152085"/>
      <w:r>
        <w:rPr>
          <w:rFonts w:hint="eastAsia" w:ascii="宋体" w:hAnsi="宋体"/>
          <w:szCs w:val="21"/>
        </w:rPr>
        <w:t>投标文件应包括如下内容：</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ascii="宋体" w:hAnsi="宋体"/>
          <w:szCs w:val="21"/>
        </w:rPr>
      </w:pPr>
      <w:r>
        <w:rPr>
          <w:rFonts w:hint="eastAsia" w:ascii="宋体" w:hAnsi="宋体"/>
          <w:szCs w:val="21"/>
        </w:rPr>
        <w:t>3.投标报价明细表；</w:t>
      </w:r>
    </w:p>
    <w:p>
      <w:pPr>
        <w:spacing w:line="360" w:lineRule="auto"/>
        <w:ind w:firstLine="420" w:firstLineChars="200"/>
        <w:rPr>
          <w:rFonts w:ascii="宋体" w:hAnsi="宋体"/>
          <w:color w:val="FF0000"/>
          <w:szCs w:val="21"/>
          <w:highlight w:val="yellow"/>
        </w:rPr>
      </w:pPr>
      <w:r>
        <w:rPr>
          <w:rFonts w:hint="eastAsia" w:ascii="宋体" w:hAnsi="宋体"/>
          <w:szCs w:val="21"/>
        </w:rPr>
        <w:t>4.实施方案的详细描述；</w:t>
      </w:r>
    </w:p>
    <w:p>
      <w:pPr>
        <w:spacing w:line="360" w:lineRule="auto"/>
        <w:ind w:firstLine="420" w:firstLineChars="200"/>
        <w:rPr>
          <w:rFonts w:ascii="宋体" w:hAnsi="宋体"/>
          <w:szCs w:val="21"/>
        </w:rPr>
      </w:pPr>
      <w:r>
        <w:rPr>
          <w:rFonts w:hint="eastAsia" w:ascii="宋体" w:hAnsi="宋体"/>
          <w:szCs w:val="21"/>
        </w:rPr>
        <w:t>5.商务和技术偏离表；</w:t>
      </w:r>
    </w:p>
    <w:p>
      <w:pPr>
        <w:spacing w:line="360" w:lineRule="auto"/>
        <w:ind w:firstLine="420" w:firstLineChars="200"/>
        <w:rPr>
          <w:rFonts w:ascii="宋体" w:hAnsi="宋体"/>
          <w:szCs w:val="21"/>
        </w:rPr>
      </w:pPr>
      <w:r>
        <w:rPr>
          <w:rFonts w:hint="eastAsia" w:ascii="宋体" w:hAnsi="宋体"/>
          <w:szCs w:val="21"/>
        </w:rPr>
        <w:t>6.投标保证金；</w:t>
      </w:r>
    </w:p>
    <w:p>
      <w:pPr>
        <w:spacing w:line="360" w:lineRule="auto"/>
        <w:ind w:firstLine="420" w:firstLineChars="200"/>
        <w:rPr>
          <w:rFonts w:ascii="宋体" w:hAnsi="宋体"/>
          <w:szCs w:val="21"/>
        </w:rPr>
      </w:pPr>
      <w:r>
        <w:rPr>
          <w:rFonts w:hint="eastAsia" w:ascii="宋体" w:hAnsi="宋体"/>
          <w:szCs w:val="21"/>
        </w:rPr>
        <w:t>7.资格证明文件；</w:t>
      </w:r>
    </w:p>
    <w:p>
      <w:pPr>
        <w:spacing w:line="360" w:lineRule="auto"/>
        <w:ind w:firstLine="420" w:firstLineChars="200"/>
        <w:rPr>
          <w:rFonts w:ascii="宋体" w:hAnsi="宋体"/>
          <w:szCs w:val="21"/>
        </w:rPr>
      </w:pPr>
      <w:r>
        <w:rPr>
          <w:rFonts w:hint="eastAsia" w:ascii="宋体" w:hAnsi="宋体"/>
          <w:szCs w:val="21"/>
        </w:rPr>
        <w:t>8.招标文件要求的其他内容。</w:t>
      </w:r>
    </w:p>
    <w:bookmarkEnd w:id="26"/>
    <w:bookmarkEnd w:id="27"/>
    <w:p>
      <w:pPr>
        <w:pStyle w:val="50"/>
      </w:pPr>
      <w:r>
        <w:rPr>
          <w:rFonts w:hint="eastAsia"/>
        </w:rPr>
        <w:t>（二）投标报价</w:t>
      </w:r>
    </w:p>
    <w:p>
      <w:pPr>
        <w:adjustRightInd w:val="0"/>
        <w:snapToGrid w:val="0"/>
        <w:spacing w:line="360" w:lineRule="auto"/>
        <w:ind w:firstLine="420" w:firstLineChars="200"/>
        <w:rPr>
          <w:rFonts w:ascii="宋体" w:hAnsi="宋体"/>
          <w:szCs w:val="21"/>
        </w:rPr>
      </w:pPr>
      <w:r>
        <w:rPr>
          <w:rFonts w:hint="eastAsia" w:ascii="宋体" w:hAnsi="宋体"/>
          <w:szCs w:val="21"/>
        </w:rPr>
        <w:t>1.投标人按照招标文件规定的报价格式进行投标报价，投标报价包含投标人为完成招标文件约定事项所发生的成本、利润、税金等全部费用。</w:t>
      </w:r>
    </w:p>
    <w:p>
      <w:pPr>
        <w:adjustRightInd w:val="0"/>
        <w:snapToGrid w:val="0"/>
        <w:spacing w:line="360" w:lineRule="auto"/>
        <w:ind w:firstLine="420" w:firstLineChars="200"/>
        <w:rPr>
          <w:rFonts w:ascii="宋体" w:hAnsi="宋体"/>
          <w:szCs w:val="21"/>
        </w:rPr>
      </w:pPr>
      <w:r>
        <w:rPr>
          <w:rFonts w:hint="eastAsia" w:ascii="宋体" w:hAnsi="宋体"/>
          <w:szCs w:val="21"/>
        </w:rPr>
        <w:t>2.不得递交两份或多份内容不同的投标文件，不接受可选择性报价。</w:t>
      </w:r>
    </w:p>
    <w:p>
      <w:pPr>
        <w:adjustRightInd w:val="0"/>
        <w:snapToGrid w:val="0"/>
        <w:spacing w:line="360" w:lineRule="auto"/>
        <w:ind w:firstLine="420" w:firstLineChars="200"/>
        <w:rPr>
          <w:rFonts w:ascii="宋体" w:hAnsi="宋体"/>
          <w:szCs w:val="21"/>
        </w:rPr>
      </w:pPr>
      <w:r>
        <w:rPr>
          <w:rFonts w:hint="eastAsia" w:ascii="宋体" w:hAnsi="宋体"/>
          <w:szCs w:val="21"/>
        </w:rPr>
        <w:t>3.当开标一览表与投标文件中的报价不一致时，以开标一览表为准。</w:t>
      </w:r>
    </w:p>
    <w:p>
      <w:pPr>
        <w:pStyle w:val="50"/>
      </w:pPr>
      <w:r>
        <w:rPr>
          <w:rFonts w:hint="eastAsia"/>
        </w:rPr>
        <w:t>（三）投标有效期</w:t>
      </w:r>
    </w:p>
    <w:p>
      <w:pPr>
        <w:spacing w:line="360" w:lineRule="auto"/>
        <w:ind w:firstLine="420" w:firstLineChars="200"/>
        <w:rPr>
          <w:rFonts w:ascii="宋体" w:hAnsi="宋体"/>
          <w:szCs w:val="21"/>
        </w:rPr>
      </w:pPr>
      <w:r>
        <w:rPr>
          <w:rFonts w:hint="eastAsia" w:ascii="宋体" w:hAnsi="宋体"/>
          <w:szCs w:val="21"/>
        </w:rPr>
        <w:t>1.在投标人须知前附表规定的投标有效期内，投标人不得要求撤销或修改其投标文件。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2.出现特殊情况需要延长投标有效期的，招标人可以书面形式通知所有投标人延长投标有效期。投标人同意延长的，应相应延长其投标保证金的有效期，但不得要求或被允许修改其投标文件的实质性内容；投标人拒绝延长的，其投标失效，但投标人有权收回其投标保证金。</w:t>
      </w:r>
    </w:p>
    <w:p>
      <w:pPr>
        <w:pStyle w:val="50"/>
      </w:pPr>
      <w:r>
        <w:rPr>
          <w:rFonts w:hint="eastAsia"/>
        </w:rPr>
        <w:t>（四）商务偏离与技术偏离</w:t>
      </w:r>
    </w:p>
    <w:p>
      <w:pPr>
        <w:adjustRightInd w:val="0"/>
        <w:snapToGrid w:val="0"/>
        <w:spacing w:line="360" w:lineRule="auto"/>
        <w:ind w:firstLine="420" w:firstLineChars="200"/>
        <w:rPr>
          <w:rFonts w:ascii="宋体" w:hAnsi="宋体"/>
          <w:szCs w:val="21"/>
        </w:rPr>
      </w:pPr>
      <w:r>
        <w:rPr>
          <w:rFonts w:hint="eastAsia" w:ascii="宋体" w:hAnsi="宋体"/>
          <w:szCs w:val="21"/>
        </w:rPr>
        <w:t>投标文件与招标文件的要求存在偏离的，投标人应逐条填报《商务偏离表》与《技术偏离表》。</w:t>
      </w:r>
    </w:p>
    <w:p>
      <w:pPr>
        <w:pStyle w:val="50"/>
      </w:pPr>
      <w:r>
        <w:rPr>
          <w:rFonts w:hint="eastAsia"/>
        </w:rPr>
        <w:t>（五）投标保证金</w:t>
      </w:r>
    </w:p>
    <w:p>
      <w:pPr>
        <w:adjustRightInd w:val="0"/>
        <w:snapToGrid w:val="0"/>
        <w:spacing w:line="360" w:lineRule="auto"/>
        <w:ind w:firstLine="420" w:firstLineChars="200"/>
        <w:rPr>
          <w:rFonts w:ascii="宋体" w:hAnsi="宋体"/>
          <w:szCs w:val="21"/>
        </w:rPr>
      </w:pPr>
      <w:r>
        <w:rPr>
          <w:rFonts w:hint="eastAsia" w:ascii="宋体" w:hAnsi="宋体"/>
          <w:szCs w:val="21"/>
        </w:rPr>
        <w:t>1.投标保证金金额、交纳形式、交纳时间见</w:t>
      </w:r>
      <w:r>
        <w:rPr>
          <w:rFonts w:hint="eastAsia" w:cs="宋体"/>
          <w:bCs/>
          <w:kern w:val="0"/>
          <w:szCs w:val="21"/>
        </w:rPr>
        <w:t>《投标人须知前附表》。</w:t>
      </w:r>
    </w:p>
    <w:p>
      <w:pPr>
        <w:adjustRightInd w:val="0"/>
        <w:snapToGrid w:val="0"/>
        <w:spacing w:line="360" w:lineRule="auto"/>
        <w:ind w:firstLine="420" w:firstLineChars="200"/>
        <w:rPr>
          <w:rFonts w:ascii="宋体" w:hAnsi="宋体"/>
          <w:szCs w:val="21"/>
        </w:rPr>
      </w:pPr>
      <w:r>
        <w:rPr>
          <w:rFonts w:hint="eastAsia" w:ascii="宋体" w:hAnsi="宋体"/>
          <w:szCs w:val="21"/>
        </w:rPr>
        <w:t>2.对于未能按要求提交投标保证金的投标人将拒绝投标。</w:t>
      </w:r>
    </w:p>
    <w:p>
      <w:pPr>
        <w:adjustRightInd w:val="0"/>
        <w:snapToGrid w:val="0"/>
        <w:spacing w:line="360" w:lineRule="auto"/>
        <w:ind w:firstLine="420" w:firstLineChars="200"/>
        <w:rPr>
          <w:rFonts w:ascii="宋体" w:hAnsi="宋体"/>
          <w:szCs w:val="21"/>
        </w:rPr>
      </w:pPr>
      <w:r>
        <w:rPr>
          <w:rFonts w:hint="eastAsia" w:ascii="宋体" w:hAnsi="宋体"/>
          <w:szCs w:val="21"/>
        </w:rPr>
        <w:t>3.投标保证金有效期应当与投标有效期一致。投标保证金最迟在招标人与中标人签订合同后5日内，向未中标的投标人和中标人退还。</w:t>
      </w:r>
    </w:p>
    <w:p>
      <w:pPr>
        <w:adjustRightInd w:val="0"/>
        <w:snapToGrid w:val="0"/>
        <w:spacing w:line="360" w:lineRule="auto"/>
        <w:ind w:firstLine="480"/>
        <w:rPr>
          <w:rFonts w:ascii="宋体" w:hAnsi="宋体"/>
          <w:szCs w:val="21"/>
        </w:rPr>
      </w:pPr>
      <w:r>
        <w:rPr>
          <w:rFonts w:hint="eastAsia" w:ascii="宋体" w:hAnsi="宋体"/>
          <w:szCs w:val="21"/>
        </w:rPr>
        <w:t>4.投标人有下列情况之一的，招标人可不退还投标保证金：</w:t>
      </w:r>
    </w:p>
    <w:p>
      <w:pPr>
        <w:adjustRightInd w:val="0"/>
        <w:snapToGrid w:val="0"/>
        <w:spacing w:line="360" w:lineRule="auto"/>
        <w:ind w:firstLine="480"/>
        <w:rPr>
          <w:rFonts w:ascii="宋体" w:hAnsi="宋体"/>
          <w:szCs w:val="21"/>
        </w:rPr>
      </w:pPr>
      <w:r>
        <w:rPr>
          <w:rFonts w:hint="eastAsia" w:ascii="宋体" w:hAnsi="宋体"/>
          <w:szCs w:val="21"/>
        </w:rPr>
        <w:t>（1）投标截止后投标人撤销投标文件的；</w:t>
      </w:r>
    </w:p>
    <w:p>
      <w:pPr>
        <w:adjustRightInd w:val="0"/>
        <w:snapToGrid w:val="0"/>
        <w:spacing w:line="360" w:lineRule="auto"/>
        <w:ind w:firstLine="480"/>
        <w:rPr>
          <w:rFonts w:ascii="宋体" w:hAnsi="宋体"/>
          <w:szCs w:val="21"/>
        </w:rPr>
      </w:pPr>
      <w:r>
        <w:rPr>
          <w:rFonts w:hint="eastAsia" w:ascii="宋体" w:hAnsi="宋体"/>
          <w:szCs w:val="21"/>
        </w:rPr>
        <w:t>（2）中标人无正当理由不与招标人订立合同，在签订合同时向招标人提出附加条件，或者不按照招标文件要求提交履约保证金的，取消其中标资格，投标保证金不予退还。</w:t>
      </w:r>
    </w:p>
    <w:p>
      <w:pPr>
        <w:pStyle w:val="50"/>
      </w:pPr>
      <w:r>
        <w:rPr>
          <w:rFonts w:hint="eastAsia"/>
        </w:rPr>
        <w:t>（六）资格证明文件</w:t>
      </w:r>
    </w:p>
    <w:p>
      <w:pPr>
        <w:spacing w:line="360" w:lineRule="auto"/>
        <w:ind w:firstLine="420" w:firstLineChars="200"/>
        <w:rPr>
          <w:rFonts w:ascii="宋体" w:hAnsi="宋体"/>
          <w:sz w:val="24"/>
        </w:rPr>
      </w:pPr>
      <w:r>
        <w:rPr>
          <w:rFonts w:hint="eastAsia" w:ascii="宋体" w:hAnsi="宋体" w:cs="宋体"/>
        </w:rPr>
        <w:t>见第六部分 资格证明文件。</w:t>
      </w:r>
    </w:p>
    <w:p>
      <w:pPr>
        <w:pStyle w:val="50"/>
      </w:pPr>
      <w:r>
        <w:rPr>
          <w:rFonts w:hint="eastAsia"/>
        </w:rPr>
        <w:t>（七）投标文件的编制</w:t>
      </w:r>
    </w:p>
    <w:p>
      <w:pPr>
        <w:adjustRightInd w:val="0"/>
        <w:snapToGrid w:val="0"/>
        <w:spacing w:line="360" w:lineRule="auto"/>
        <w:ind w:firstLine="480"/>
        <w:rPr>
          <w:rFonts w:ascii="宋体" w:hAnsi="宋体"/>
          <w:szCs w:val="21"/>
        </w:rPr>
      </w:pPr>
      <w:r>
        <w:rPr>
          <w:rFonts w:hint="eastAsia" w:ascii="宋体" w:hAnsi="宋体"/>
          <w:szCs w:val="21"/>
        </w:rPr>
        <w:t>1.投标文件应按第六部分“投标文件格式”进行编写，如有必要，可以增加附页，作为投标文件的组成部分。</w:t>
      </w:r>
    </w:p>
    <w:p>
      <w:pPr>
        <w:adjustRightInd w:val="0"/>
        <w:snapToGrid w:val="0"/>
        <w:spacing w:line="360" w:lineRule="auto"/>
        <w:ind w:firstLine="480"/>
        <w:rPr>
          <w:rFonts w:ascii="宋体" w:hAnsi="宋体"/>
          <w:szCs w:val="21"/>
        </w:rPr>
      </w:pPr>
      <w:r>
        <w:rPr>
          <w:rFonts w:hint="eastAsia" w:ascii="宋体" w:hAnsi="宋体"/>
          <w:szCs w:val="21"/>
        </w:rPr>
        <w:t>2.投标文件应当对招标文件有关投标有效期、质量要求、技术标准和要求、招标范围等实质性内容作出响应。</w:t>
      </w:r>
    </w:p>
    <w:p>
      <w:pPr>
        <w:adjustRightInd w:val="0"/>
        <w:snapToGrid w:val="0"/>
        <w:spacing w:line="360" w:lineRule="auto"/>
        <w:ind w:firstLine="480"/>
        <w:rPr>
          <w:rFonts w:ascii="宋体" w:hAnsi="宋体"/>
          <w:b/>
          <w:bCs/>
          <w:szCs w:val="21"/>
        </w:rPr>
      </w:pPr>
      <w:r>
        <w:rPr>
          <w:rFonts w:hint="eastAsia" w:ascii="宋体" w:hAnsi="宋体"/>
          <w:szCs w:val="21"/>
        </w:rPr>
        <w:t>3.投标文件的正本和所有的副本均使用不褪色的墨水工整书写或打印在A4幅面的纸张上，由投标人的法定代表人或其委托代理人签字并加盖单位公章和骑缝章。需要法定代表人签字的，加盖法定代表人名章同等有效。委托代理人签字的，投标文件应附法定代表人签署的授权委托书。投标文件应尽量避免涂改、行间插字或删除。如果出现上述情况，改动之处应加盖单位章或由投标人的法定代表人或其委托代理人签字确认。</w:t>
      </w:r>
      <w:r>
        <w:rPr>
          <w:rFonts w:hint="eastAsia" w:ascii="宋体" w:hAnsi="宋体"/>
          <w:b/>
          <w:bCs/>
          <w:szCs w:val="21"/>
        </w:rPr>
        <w:t>（胶装招标文件无骑缝章为不否决条款，非胶装无骑缝章的为否决条款。）</w:t>
      </w:r>
    </w:p>
    <w:p>
      <w:pPr>
        <w:adjustRightInd w:val="0"/>
        <w:snapToGrid w:val="0"/>
        <w:spacing w:line="360" w:lineRule="auto"/>
        <w:ind w:firstLine="480"/>
        <w:rPr>
          <w:rFonts w:ascii="宋体" w:hAnsi="宋体"/>
          <w:szCs w:val="21"/>
        </w:rPr>
      </w:pPr>
      <w:r>
        <w:rPr>
          <w:rFonts w:hint="eastAsia" w:ascii="宋体" w:hAnsi="宋体"/>
          <w:szCs w:val="21"/>
        </w:rPr>
        <w:t>4.投标文件份数见投标人须知前附表。正本和副本的封面上应清楚地标记“正本”或“副本”的字样。当副本和正本不一致时，以正本为准。</w:t>
      </w:r>
    </w:p>
    <w:p>
      <w:pPr>
        <w:pStyle w:val="50"/>
      </w:pPr>
      <w:r>
        <w:rPr>
          <w:rFonts w:hint="eastAsia"/>
        </w:rPr>
        <w:t>（八）投标文件的装订</w:t>
      </w:r>
    </w:p>
    <w:p>
      <w:pPr>
        <w:spacing w:line="400" w:lineRule="exact"/>
        <w:ind w:firstLine="420" w:firstLineChars="200"/>
      </w:pPr>
      <w:r>
        <w:rPr>
          <w:rFonts w:hint="eastAsia"/>
        </w:rPr>
        <w:t>投标文件的正本与副本应分别装订，胶装成册，并编制目录。</w:t>
      </w:r>
    </w:p>
    <w:p>
      <w:pPr>
        <w:pStyle w:val="50"/>
      </w:pPr>
      <w:r>
        <w:rPr>
          <w:rFonts w:hint="eastAsia"/>
        </w:rPr>
        <w:t>（九）投标文件的密封</w:t>
      </w:r>
    </w:p>
    <w:p>
      <w:pPr>
        <w:spacing w:line="400" w:lineRule="exact"/>
        <w:ind w:firstLine="420" w:firstLineChars="200"/>
      </w:pPr>
      <w:r>
        <w:rPr>
          <w:rFonts w:hint="eastAsia" w:ascii="宋体" w:hAnsi="宋体"/>
          <w:szCs w:val="21"/>
        </w:rPr>
        <w:t>1.投标文件正、副本须封装在同一密封袋内，封口处应有投标人法定代表人或委托代理人签字并加盖投标单位公章。封皮上写明招标编号、项目名称、投标人名称，并注明“开标</w:t>
      </w:r>
      <w:r>
        <w:rPr>
          <w:rFonts w:hint="eastAsia"/>
        </w:rPr>
        <w:t>截止年月日时前不得开封”字样。</w:t>
      </w:r>
    </w:p>
    <w:p>
      <w:pPr>
        <w:spacing w:line="400" w:lineRule="exact"/>
        <w:ind w:firstLine="420" w:firstLineChars="200"/>
        <w:rPr>
          <w:rFonts w:ascii="宋体" w:hAnsi="宋体"/>
          <w:szCs w:val="21"/>
        </w:rPr>
      </w:pPr>
      <w:r>
        <w:rPr>
          <w:rFonts w:hint="eastAsia" w:ascii="宋体" w:hAnsi="宋体"/>
          <w:szCs w:val="21"/>
        </w:rPr>
        <w:t>2.投标人应将另外准备的一份“开标一览表”及投标文件电子版单独密封在密封袋内，与投标文件分别密封、同时提交，密封要求同上条。</w:t>
      </w:r>
    </w:p>
    <w:p>
      <w:pPr>
        <w:pStyle w:val="48"/>
      </w:pPr>
      <w:bookmarkStart w:id="28" w:name="_Toc11557"/>
      <w:r>
        <w:rPr>
          <w:rFonts w:hint="eastAsia"/>
        </w:rPr>
        <w:t>四、投标文件的递交</w:t>
      </w:r>
      <w:bookmarkEnd w:id="28"/>
    </w:p>
    <w:p>
      <w:pPr>
        <w:pStyle w:val="50"/>
      </w:pPr>
      <w:r>
        <w:rPr>
          <w:rFonts w:hint="eastAsia"/>
        </w:rPr>
        <w:t>（一）投标截止时间</w:t>
      </w:r>
    </w:p>
    <w:p>
      <w:pPr>
        <w:adjustRightInd w:val="0"/>
        <w:snapToGrid w:val="0"/>
        <w:spacing w:line="360" w:lineRule="auto"/>
        <w:ind w:firstLine="420" w:firstLineChars="200"/>
        <w:rPr>
          <w:rFonts w:ascii="宋体" w:hAnsi="宋体"/>
          <w:szCs w:val="21"/>
        </w:rPr>
      </w:pPr>
      <w:r>
        <w:rPr>
          <w:rFonts w:hint="eastAsia" w:ascii="宋体" w:hAnsi="宋体"/>
          <w:szCs w:val="21"/>
        </w:rPr>
        <w:t>1.投标人应在《投标人须知前附表》规定的投标截止时间前递交投标文件。</w:t>
      </w:r>
    </w:p>
    <w:p>
      <w:pPr>
        <w:adjustRightInd w:val="0"/>
        <w:snapToGrid w:val="0"/>
        <w:spacing w:line="360" w:lineRule="auto"/>
        <w:ind w:firstLine="420" w:firstLineChars="200"/>
        <w:rPr>
          <w:rFonts w:ascii="宋体" w:hAnsi="宋体"/>
          <w:szCs w:val="21"/>
        </w:rPr>
      </w:pPr>
      <w:r>
        <w:rPr>
          <w:rFonts w:hint="eastAsia" w:ascii="宋体" w:hAnsi="宋体"/>
          <w:szCs w:val="21"/>
        </w:rPr>
        <w:t>2.招标人推迟投标截止时间时，应以书面形式通知所有投标人。在这种情况下，招标人和投标人的权利和义务将受到新的截止期的约束。</w:t>
      </w:r>
    </w:p>
    <w:p>
      <w:pPr>
        <w:pStyle w:val="50"/>
      </w:pPr>
      <w:r>
        <w:rPr>
          <w:rFonts w:hint="eastAsia"/>
        </w:rPr>
        <w:t>（二）投标文件递交地点</w:t>
      </w:r>
    </w:p>
    <w:p>
      <w:pPr>
        <w:adjustRightInd w:val="0"/>
        <w:snapToGrid w:val="0"/>
        <w:spacing w:line="360" w:lineRule="auto"/>
        <w:ind w:firstLine="420" w:firstLineChars="200"/>
        <w:rPr>
          <w:rFonts w:ascii="宋体" w:hAnsi="宋体"/>
          <w:szCs w:val="21"/>
        </w:rPr>
      </w:pPr>
      <w:r>
        <w:rPr>
          <w:rFonts w:hint="eastAsia" w:ascii="宋体" w:hAnsi="宋体"/>
          <w:szCs w:val="21"/>
        </w:rPr>
        <w:t>见《投标人须知前附表》。</w:t>
      </w:r>
    </w:p>
    <w:p>
      <w:pPr>
        <w:pStyle w:val="50"/>
        <w:rPr>
          <w:spacing w:val="-6"/>
        </w:rPr>
      </w:pPr>
      <w:r>
        <w:rPr>
          <w:rFonts w:hint="eastAsia"/>
        </w:rPr>
        <w:t>（三）</w:t>
      </w:r>
      <w:r>
        <w:rPr>
          <w:rFonts w:hint="eastAsia"/>
          <w:spacing w:val="-6"/>
        </w:rPr>
        <w:t>投标文件签收</w:t>
      </w:r>
    </w:p>
    <w:p>
      <w:pPr>
        <w:adjustRightInd w:val="0"/>
        <w:snapToGrid w:val="0"/>
        <w:spacing w:line="360" w:lineRule="auto"/>
        <w:ind w:firstLine="420" w:firstLineChars="200"/>
        <w:rPr>
          <w:rFonts w:ascii="宋体" w:hAnsi="宋体"/>
          <w:szCs w:val="21"/>
        </w:rPr>
      </w:pPr>
      <w:r>
        <w:rPr>
          <w:rFonts w:hint="eastAsia" w:ascii="宋体" w:hAnsi="宋体"/>
          <w:szCs w:val="21"/>
        </w:rPr>
        <w:t>1.招标人于投标截止时间前接收投标文件（投标人应同时递交法定代表人身份证明书原件及其身份证原件，或授权委托书原件及其身份证原件，未提供或核验不通过的其投标文件不予拆封并现场退还），招标人将如实记载投标文件的送达时间和密封情况，投标人同时签字确认。</w:t>
      </w:r>
    </w:p>
    <w:p>
      <w:pPr>
        <w:adjustRightInd w:val="0"/>
        <w:snapToGrid w:val="0"/>
        <w:spacing w:line="360" w:lineRule="auto"/>
        <w:ind w:firstLine="420" w:firstLineChars="200"/>
        <w:rPr>
          <w:rFonts w:ascii="宋体" w:hAnsi="宋体"/>
          <w:szCs w:val="21"/>
        </w:rPr>
      </w:pPr>
      <w:r>
        <w:rPr>
          <w:rFonts w:hint="eastAsia" w:ascii="宋体" w:hAnsi="宋体"/>
          <w:szCs w:val="21"/>
        </w:rPr>
        <w:t>2.有以下情况的投标文件，招标人将拒绝签收：</w:t>
      </w:r>
    </w:p>
    <w:p>
      <w:pPr>
        <w:adjustRightInd w:val="0"/>
        <w:snapToGrid w:val="0"/>
        <w:spacing w:line="360" w:lineRule="auto"/>
        <w:ind w:firstLine="420" w:firstLineChars="200"/>
        <w:rPr>
          <w:rFonts w:ascii="宋体" w:hAnsi="宋体"/>
          <w:szCs w:val="21"/>
        </w:rPr>
      </w:pPr>
      <w:r>
        <w:rPr>
          <w:rFonts w:hint="eastAsia" w:ascii="宋体" w:hAnsi="宋体"/>
          <w:szCs w:val="21"/>
        </w:rPr>
        <w:t>（1）未按招标文件要求密封的；</w:t>
      </w:r>
    </w:p>
    <w:p>
      <w:pPr>
        <w:adjustRightInd w:val="0"/>
        <w:snapToGrid w:val="0"/>
        <w:spacing w:line="360" w:lineRule="auto"/>
        <w:ind w:firstLine="420" w:firstLineChars="200"/>
        <w:rPr>
          <w:rFonts w:ascii="宋体" w:hAnsi="宋体"/>
          <w:szCs w:val="21"/>
        </w:rPr>
      </w:pPr>
      <w:r>
        <w:rPr>
          <w:rFonts w:hint="eastAsia" w:ascii="宋体" w:hAnsi="宋体"/>
          <w:szCs w:val="21"/>
        </w:rPr>
        <w:t>（2）未送达指定地点的；</w:t>
      </w:r>
    </w:p>
    <w:p>
      <w:pPr>
        <w:adjustRightInd w:val="0"/>
        <w:snapToGrid w:val="0"/>
        <w:spacing w:line="360" w:lineRule="auto"/>
        <w:ind w:firstLine="420" w:firstLineChars="200"/>
        <w:rPr>
          <w:rFonts w:ascii="宋体" w:hAnsi="宋体"/>
          <w:szCs w:val="21"/>
        </w:rPr>
      </w:pPr>
      <w:r>
        <w:rPr>
          <w:rFonts w:hint="eastAsia" w:ascii="宋体" w:hAnsi="宋体"/>
          <w:szCs w:val="21"/>
        </w:rPr>
        <w:t>（3）逾期送达的。</w:t>
      </w:r>
    </w:p>
    <w:p>
      <w:pPr>
        <w:adjustRightInd w:val="0"/>
        <w:snapToGrid w:val="0"/>
        <w:spacing w:line="360" w:lineRule="auto"/>
        <w:ind w:firstLine="420" w:firstLineChars="200"/>
        <w:rPr>
          <w:rFonts w:ascii="宋体" w:hAnsi="宋体"/>
          <w:szCs w:val="21"/>
        </w:rPr>
      </w:pPr>
      <w:r>
        <w:rPr>
          <w:rFonts w:hint="eastAsia" w:ascii="宋体" w:hAnsi="宋体"/>
          <w:szCs w:val="21"/>
        </w:rPr>
        <w:t>3.对投标人提交的投标文件在投标截止时间后，无论投标人中标与否，均不予退还。</w:t>
      </w:r>
    </w:p>
    <w:p>
      <w:pPr>
        <w:pStyle w:val="50"/>
      </w:pPr>
      <w:r>
        <w:rPr>
          <w:rFonts w:hint="eastAsia"/>
        </w:rPr>
        <w:t>（四）投标文件的修改和撤回</w:t>
      </w:r>
    </w:p>
    <w:p>
      <w:pPr>
        <w:adjustRightInd w:val="0"/>
        <w:snapToGrid w:val="0"/>
        <w:spacing w:line="360" w:lineRule="auto"/>
        <w:ind w:firstLine="420" w:firstLineChars="200"/>
        <w:rPr>
          <w:rFonts w:ascii="宋体" w:hAnsi="宋体"/>
          <w:szCs w:val="21"/>
        </w:rPr>
      </w:pPr>
      <w:r>
        <w:rPr>
          <w:rFonts w:hint="eastAsia" w:ascii="宋体" w:hAnsi="宋体"/>
          <w:szCs w:val="21"/>
        </w:rPr>
        <w:t>1.在投标截止时间前，投标人可以修改或撤回已递交的投标文件，但应以书面形式通知招标人。</w:t>
      </w:r>
    </w:p>
    <w:p>
      <w:pPr>
        <w:adjustRightInd w:val="0"/>
        <w:snapToGrid w:val="0"/>
        <w:spacing w:line="360" w:lineRule="auto"/>
        <w:ind w:firstLine="420" w:firstLineChars="200"/>
        <w:rPr>
          <w:rFonts w:ascii="宋体" w:hAnsi="宋体"/>
          <w:szCs w:val="21"/>
        </w:rPr>
      </w:pPr>
      <w:r>
        <w:rPr>
          <w:rFonts w:hint="eastAsia" w:ascii="宋体" w:hAnsi="宋体"/>
          <w:szCs w:val="21"/>
        </w:rPr>
        <w:t>2.投标人修改或撤回已递交投标文件的书面通知应由投标人法定代表人或委托代理人的签字并加盖投标人公章。</w:t>
      </w:r>
    </w:p>
    <w:p>
      <w:pPr>
        <w:adjustRightInd w:val="0"/>
        <w:snapToGrid w:val="0"/>
        <w:spacing w:line="360" w:lineRule="auto"/>
        <w:ind w:firstLine="420" w:firstLineChars="200"/>
        <w:rPr>
          <w:rFonts w:ascii="宋体" w:hAnsi="宋体"/>
          <w:szCs w:val="21"/>
        </w:rPr>
      </w:pPr>
      <w:r>
        <w:rPr>
          <w:rFonts w:hint="eastAsia" w:ascii="宋体" w:hAnsi="宋体"/>
          <w:szCs w:val="21"/>
        </w:rPr>
        <w:t>3.修改的内容为投标文件的组成部分。修改的投标文件应按照招标文件规定进行编制、密封、标记和递交，并标明“修改”字样。</w:t>
      </w:r>
    </w:p>
    <w:p>
      <w:pPr>
        <w:adjustRightInd w:val="0"/>
        <w:snapToGrid w:val="0"/>
        <w:spacing w:line="360" w:lineRule="auto"/>
        <w:ind w:firstLine="420" w:firstLineChars="200"/>
        <w:rPr>
          <w:rFonts w:ascii="宋体" w:hAnsi="宋体"/>
          <w:szCs w:val="21"/>
        </w:rPr>
      </w:pPr>
      <w:r>
        <w:rPr>
          <w:rFonts w:hint="eastAsia" w:ascii="宋体" w:hAnsi="宋体"/>
          <w:szCs w:val="21"/>
        </w:rPr>
        <w:t>4.在投标截止时间之后，投标人不得对其投标文件做任何修改。</w:t>
      </w:r>
    </w:p>
    <w:p>
      <w:pPr>
        <w:pStyle w:val="48"/>
      </w:pPr>
      <w:bookmarkStart w:id="29" w:name="_Toc1933"/>
      <w:r>
        <w:rPr>
          <w:rFonts w:hint="eastAsia"/>
        </w:rPr>
        <w:t>五、开标</w:t>
      </w:r>
      <w:bookmarkEnd w:id="29"/>
    </w:p>
    <w:p>
      <w:pPr>
        <w:pStyle w:val="50"/>
      </w:pPr>
      <w:r>
        <w:rPr>
          <w:rFonts w:hint="eastAsia"/>
        </w:rPr>
        <w:t>（一）开标时间、地点</w:t>
      </w:r>
    </w:p>
    <w:p>
      <w:pPr>
        <w:adjustRightInd w:val="0"/>
        <w:snapToGrid w:val="0"/>
        <w:spacing w:line="360" w:lineRule="auto"/>
        <w:ind w:firstLine="420" w:firstLineChars="200"/>
        <w:rPr>
          <w:rFonts w:ascii="宋体" w:hAnsi="宋体"/>
          <w:szCs w:val="21"/>
        </w:rPr>
      </w:pPr>
      <w:r>
        <w:rPr>
          <w:rFonts w:hint="eastAsia" w:ascii="宋体" w:hAnsi="宋体"/>
          <w:szCs w:val="21"/>
        </w:rPr>
        <w:t>招标人在规定的开标时间和规定的地点公开开标，所有投标人的法定代表人或其委托代理人应准时参加。</w:t>
      </w:r>
    </w:p>
    <w:p>
      <w:pPr>
        <w:pStyle w:val="50"/>
      </w:pPr>
      <w:r>
        <w:rPr>
          <w:rFonts w:hint="eastAsia"/>
        </w:rPr>
        <w:t>（二）开标程序</w:t>
      </w:r>
    </w:p>
    <w:p>
      <w:pPr>
        <w:adjustRightInd w:val="0"/>
        <w:snapToGrid w:val="0"/>
        <w:spacing w:line="360" w:lineRule="auto"/>
        <w:ind w:firstLine="420" w:firstLineChars="200"/>
        <w:rPr>
          <w:rFonts w:ascii="宋体" w:hAnsi="宋体"/>
          <w:szCs w:val="21"/>
        </w:rPr>
      </w:pPr>
      <w:r>
        <w:rPr>
          <w:rFonts w:hint="eastAsia" w:ascii="宋体" w:hAnsi="宋体"/>
          <w:szCs w:val="21"/>
        </w:rPr>
        <w:t>主持人按下列程序主持开标：</w:t>
      </w:r>
    </w:p>
    <w:p>
      <w:pPr>
        <w:adjustRightInd w:val="0"/>
        <w:snapToGrid w:val="0"/>
        <w:spacing w:line="360" w:lineRule="auto"/>
        <w:ind w:firstLine="420" w:firstLineChars="200"/>
        <w:rPr>
          <w:rFonts w:ascii="宋体" w:hAnsi="宋体"/>
          <w:szCs w:val="21"/>
        </w:rPr>
      </w:pPr>
      <w:r>
        <w:rPr>
          <w:rFonts w:hint="eastAsia" w:ascii="宋体" w:hAnsi="宋体"/>
          <w:szCs w:val="21"/>
        </w:rPr>
        <w:t>1.宣布开标纪律。</w:t>
      </w:r>
    </w:p>
    <w:p>
      <w:pPr>
        <w:adjustRightInd w:val="0"/>
        <w:snapToGrid w:val="0"/>
        <w:spacing w:line="360" w:lineRule="auto"/>
        <w:ind w:firstLine="420" w:firstLineChars="200"/>
        <w:rPr>
          <w:rFonts w:ascii="宋体" w:hAnsi="宋体"/>
          <w:szCs w:val="21"/>
        </w:rPr>
      </w:pPr>
      <w:r>
        <w:rPr>
          <w:rFonts w:hint="eastAsia" w:ascii="宋体" w:hAnsi="宋体"/>
          <w:szCs w:val="21"/>
        </w:rPr>
        <w:t>2.公布在投标截止时间前递交投标文件的投标人名称。</w:t>
      </w:r>
    </w:p>
    <w:p>
      <w:pPr>
        <w:adjustRightInd w:val="0"/>
        <w:snapToGrid w:val="0"/>
        <w:spacing w:line="360" w:lineRule="auto"/>
        <w:ind w:firstLine="420" w:firstLineChars="200"/>
        <w:rPr>
          <w:rFonts w:ascii="宋体" w:hAnsi="宋体"/>
          <w:szCs w:val="21"/>
        </w:rPr>
      </w:pPr>
      <w:r>
        <w:rPr>
          <w:rFonts w:hint="eastAsia" w:ascii="宋体" w:hAnsi="宋体"/>
          <w:szCs w:val="21"/>
        </w:rPr>
        <w:t>3.宣布与会人员情况。</w:t>
      </w:r>
    </w:p>
    <w:p>
      <w:pPr>
        <w:adjustRightInd w:val="0"/>
        <w:snapToGrid w:val="0"/>
        <w:spacing w:line="360" w:lineRule="auto"/>
        <w:ind w:firstLine="420" w:firstLineChars="200"/>
        <w:rPr>
          <w:rFonts w:ascii="宋体" w:hAnsi="宋体"/>
          <w:szCs w:val="21"/>
        </w:rPr>
      </w:pPr>
      <w:r>
        <w:rPr>
          <w:rFonts w:hint="eastAsia" w:ascii="宋体" w:hAnsi="宋体"/>
          <w:szCs w:val="21"/>
        </w:rPr>
        <w:t>4.按规定检查投标文件的密封情况。</w:t>
      </w:r>
    </w:p>
    <w:p>
      <w:pPr>
        <w:adjustRightInd w:val="0"/>
        <w:snapToGrid w:val="0"/>
        <w:spacing w:line="360" w:lineRule="auto"/>
        <w:ind w:firstLine="420" w:firstLineChars="200"/>
        <w:rPr>
          <w:rFonts w:ascii="宋体" w:hAnsi="宋体"/>
          <w:szCs w:val="21"/>
        </w:rPr>
      </w:pPr>
      <w:r>
        <w:rPr>
          <w:rFonts w:hint="eastAsia" w:ascii="宋体" w:hAnsi="宋体"/>
          <w:szCs w:val="21"/>
        </w:rPr>
        <w:t>5.宣布投标文件开标顺序。</w:t>
      </w:r>
    </w:p>
    <w:p>
      <w:pPr>
        <w:adjustRightInd w:val="0"/>
        <w:snapToGrid w:val="0"/>
        <w:spacing w:line="360" w:lineRule="auto"/>
        <w:ind w:firstLine="420" w:firstLineChars="200"/>
        <w:rPr>
          <w:rFonts w:ascii="宋体" w:hAnsi="宋体"/>
          <w:szCs w:val="21"/>
        </w:rPr>
      </w:pPr>
      <w:r>
        <w:rPr>
          <w:rFonts w:hint="eastAsia" w:ascii="宋体" w:hAnsi="宋体"/>
          <w:szCs w:val="21"/>
        </w:rPr>
        <w:t>6.按照宣布的开标顺序当众开标并记录在案。</w:t>
      </w:r>
    </w:p>
    <w:p>
      <w:pPr>
        <w:adjustRightInd w:val="0"/>
        <w:snapToGrid w:val="0"/>
        <w:spacing w:line="360" w:lineRule="auto"/>
        <w:ind w:firstLine="420" w:firstLineChars="200"/>
        <w:rPr>
          <w:rFonts w:ascii="宋体" w:hAnsi="宋体"/>
          <w:szCs w:val="21"/>
        </w:rPr>
      </w:pPr>
      <w:r>
        <w:rPr>
          <w:rFonts w:hint="eastAsia" w:ascii="宋体" w:hAnsi="宋体"/>
          <w:szCs w:val="21"/>
        </w:rPr>
        <w:t>7.投标人的法定代表人或委托代理人须在开标记录表上签字确认。</w:t>
      </w:r>
    </w:p>
    <w:p>
      <w:pPr>
        <w:adjustRightInd w:val="0"/>
        <w:snapToGrid w:val="0"/>
        <w:spacing w:line="360" w:lineRule="auto"/>
        <w:ind w:firstLine="420" w:firstLineChars="200"/>
        <w:rPr>
          <w:rFonts w:ascii="宋体" w:hAnsi="宋体"/>
          <w:szCs w:val="21"/>
        </w:rPr>
      </w:pPr>
      <w:r>
        <w:rPr>
          <w:rFonts w:hint="eastAsia" w:ascii="宋体" w:hAnsi="宋体"/>
          <w:szCs w:val="21"/>
        </w:rPr>
        <w:t>8.开标结束。</w:t>
      </w:r>
    </w:p>
    <w:p>
      <w:pPr>
        <w:pStyle w:val="48"/>
      </w:pPr>
      <w:bookmarkStart w:id="30" w:name="_Toc15212"/>
      <w:r>
        <w:rPr>
          <w:rFonts w:hint="eastAsia"/>
        </w:rPr>
        <w:t>六、评标</w:t>
      </w:r>
      <w:bookmarkEnd w:id="30"/>
    </w:p>
    <w:p>
      <w:pPr>
        <w:pStyle w:val="50"/>
      </w:pPr>
      <w:r>
        <w:rPr>
          <w:rFonts w:hint="eastAsia"/>
        </w:rPr>
        <w:t>（一）评标委员会</w:t>
      </w:r>
    </w:p>
    <w:p>
      <w:pPr>
        <w:spacing w:line="400" w:lineRule="exact"/>
        <w:ind w:firstLine="420" w:firstLineChars="200"/>
        <w:rPr>
          <w:rFonts w:ascii="宋体" w:hAnsi="宋体"/>
          <w:szCs w:val="21"/>
        </w:rPr>
      </w:pPr>
      <w:r>
        <w:rPr>
          <w:rFonts w:hint="eastAsia" w:ascii="宋体" w:hAnsi="宋体"/>
          <w:szCs w:val="21"/>
        </w:rPr>
        <w:t>1.评标由招标人依法组建的评标委员会负责。评标委员会由有关技术、经济等方面的专家组成。评标委员会成员人数见《投标人须知前附表》。</w:t>
      </w:r>
    </w:p>
    <w:p>
      <w:pPr>
        <w:spacing w:line="400" w:lineRule="exact"/>
        <w:ind w:firstLine="420" w:firstLineChars="200"/>
      </w:pPr>
      <w:r>
        <w:rPr>
          <w:rFonts w:hint="eastAsia" w:ascii="宋体" w:hAnsi="宋体"/>
          <w:szCs w:val="21"/>
        </w:rPr>
        <w:t>2.评</w:t>
      </w:r>
      <w:r>
        <w:rPr>
          <w:rFonts w:hint="eastAsia"/>
        </w:rPr>
        <w:t>标委员会成员有下列情形之一的，应当回避：</w:t>
      </w:r>
    </w:p>
    <w:p>
      <w:pPr>
        <w:spacing w:line="400" w:lineRule="exact"/>
        <w:ind w:firstLine="420" w:firstLineChars="200"/>
      </w:pPr>
      <w:r>
        <w:rPr>
          <w:rFonts w:hint="eastAsia"/>
        </w:rPr>
        <w:t>（1）投标人或投标人的主要负责人的近亲属；</w:t>
      </w:r>
    </w:p>
    <w:p>
      <w:pPr>
        <w:spacing w:line="400" w:lineRule="exact"/>
        <w:ind w:firstLine="420" w:firstLineChars="200"/>
      </w:pPr>
      <w:r>
        <w:rPr>
          <w:rFonts w:hint="eastAsia"/>
        </w:rPr>
        <w:t>（2）项目主管部门或者行政监督部门的人员；</w:t>
      </w:r>
    </w:p>
    <w:p>
      <w:pPr>
        <w:spacing w:line="400" w:lineRule="exact"/>
        <w:ind w:firstLine="420" w:firstLineChars="200"/>
      </w:pPr>
      <w:r>
        <w:rPr>
          <w:rFonts w:hint="eastAsia"/>
        </w:rPr>
        <w:t>（3）与投标人有经济利益关系，可能影响对投标公正评审的；</w:t>
      </w:r>
    </w:p>
    <w:p>
      <w:pPr>
        <w:spacing w:line="400" w:lineRule="exact"/>
        <w:ind w:firstLine="420" w:firstLineChars="200"/>
        <w:rPr>
          <w:rFonts w:ascii="宋体" w:hAnsi="宋体"/>
          <w:szCs w:val="21"/>
        </w:rPr>
      </w:pPr>
      <w:r>
        <w:rPr>
          <w:rFonts w:hint="eastAsia"/>
        </w:rPr>
        <w:t>（4）曾因在招标、评标以及其他与招标投标有关活动中从事违法行为而受过行政处罚或刑事处罚的。</w:t>
      </w:r>
    </w:p>
    <w:p>
      <w:pPr>
        <w:pStyle w:val="50"/>
      </w:pPr>
      <w:r>
        <w:rPr>
          <w:rFonts w:hint="eastAsia"/>
        </w:rPr>
        <w:t>（二）评标原则</w:t>
      </w:r>
    </w:p>
    <w:p>
      <w:pPr>
        <w:adjustRightInd w:val="0"/>
        <w:snapToGrid w:val="0"/>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pStyle w:val="50"/>
      </w:pPr>
      <w:r>
        <w:rPr>
          <w:rFonts w:hint="eastAsia"/>
        </w:rPr>
        <w:t>（三）评标</w:t>
      </w:r>
    </w:p>
    <w:p>
      <w:pPr>
        <w:spacing w:line="360" w:lineRule="auto"/>
        <w:ind w:firstLine="420" w:firstLineChars="200"/>
        <w:rPr>
          <w:rFonts w:ascii="宋体" w:hAnsi="宋体"/>
          <w:szCs w:val="21"/>
        </w:rPr>
      </w:pPr>
      <w:r>
        <w:rPr>
          <w:rFonts w:hint="eastAsia" w:ascii="宋体" w:hAnsi="宋体"/>
          <w:szCs w:val="21"/>
        </w:rPr>
        <w:t>评标委员会按照第三部分“评标办法”规定的方法、评审因素、标准和程序对投标文件进行评审。第三部分“评标办法”没有规定的方法、评审因素和标准，不作为评标依据。</w:t>
      </w:r>
    </w:p>
    <w:p>
      <w:pPr>
        <w:pStyle w:val="50"/>
      </w:pPr>
      <w:r>
        <w:rPr>
          <w:rFonts w:hint="eastAsia"/>
        </w:rPr>
        <w:t>（四）确定中标人</w:t>
      </w:r>
    </w:p>
    <w:p>
      <w:pPr>
        <w:spacing w:line="360" w:lineRule="auto"/>
        <w:ind w:firstLine="315" w:firstLineChars="150"/>
        <w:rPr>
          <w:rFonts w:ascii="宋体" w:hAnsi="宋体"/>
          <w:szCs w:val="21"/>
        </w:rPr>
      </w:pPr>
      <w:r>
        <w:rPr>
          <w:rFonts w:hint="eastAsia" w:ascii="宋体" w:hAnsi="宋体"/>
          <w:szCs w:val="21"/>
        </w:rPr>
        <w:t>1.中标候选人公示</w:t>
      </w:r>
    </w:p>
    <w:p>
      <w:pPr>
        <w:spacing w:line="360" w:lineRule="auto"/>
        <w:ind w:right="18" w:firstLine="352" w:firstLineChars="168"/>
        <w:rPr>
          <w:rFonts w:ascii="宋体" w:hAnsi="宋体" w:cs="仿宋"/>
          <w:szCs w:val="21"/>
        </w:rPr>
      </w:pPr>
      <w:r>
        <w:rPr>
          <w:rFonts w:hint="eastAsia" w:ascii="宋体" w:hAnsi="宋体" w:cs="仿宋"/>
          <w:szCs w:val="21"/>
        </w:rPr>
        <w:t>（1）中标候选人公示在下列媒体上发布：</w:t>
      </w:r>
      <w:bookmarkStart w:id="31" w:name="_Hlk60157104"/>
      <w:r>
        <w:rPr>
          <w:rFonts w:hint="eastAsia" w:ascii="宋体" w:hAnsi="宋体"/>
          <w:szCs w:val="21"/>
        </w:rPr>
        <w:t>同发布招标公告的媒介。</w:t>
      </w:r>
      <w:bookmarkEnd w:id="31"/>
    </w:p>
    <w:p>
      <w:pPr>
        <w:spacing w:line="360" w:lineRule="auto"/>
        <w:ind w:right="18" w:firstLine="352" w:firstLineChars="168"/>
        <w:rPr>
          <w:rFonts w:ascii="宋体" w:hAnsi="宋体" w:cs="仿宋"/>
          <w:szCs w:val="21"/>
        </w:rPr>
      </w:pPr>
      <w:r>
        <w:rPr>
          <w:rFonts w:hint="eastAsia" w:ascii="宋体" w:hAnsi="宋体" w:cs="仿宋"/>
          <w:szCs w:val="21"/>
        </w:rPr>
        <w:t>（2）公示期：3个工作日。</w:t>
      </w:r>
    </w:p>
    <w:p>
      <w:pPr>
        <w:spacing w:line="360" w:lineRule="auto"/>
        <w:ind w:firstLine="315" w:firstLineChars="150"/>
        <w:rPr>
          <w:rFonts w:ascii="宋体" w:hAnsi="宋体" w:cs="仿宋"/>
          <w:szCs w:val="21"/>
        </w:rPr>
      </w:pPr>
      <w:r>
        <w:rPr>
          <w:rFonts w:hint="eastAsia" w:ascii="宋体" w:hAnsi="宋体" w:cs="仿宋"/>
          <w:szCs w:val="21"/>
        </w:rPr>
        <w:t>2.投标人对评标结果有异议的，应在中标候选人公示期间提出。</w:t>
      </w:r>
    </w:p>
    <w:p>
      <w:pPr>
        <w:spacing w:line="360" w:lineRule="auto"/>
        <w:ind w:firstLine="525" w:firstLineChars="250"/>
        <w:rPr>
          <w:rFonts w:ascii="宋体" w:hAnsi="宋体"/>
          <w:szCs w:val="21"/>
        </w:rPr>
      </w:pPr>
      <w:r>
        <w:rPr>
          <w:rFonts w:hint="eastAsia" w:ascii="宋体" w:hAnsi="宋体" w:cs="仿宋"/>
          <w:szCs w:val="21"/>
        </w:rPr>
        <w:t>异议受理电话：</w:t>
      </w:r>
      <w:r>
        <w:rPr>
          <w:rFonts w:hint="eastAsia" w:ascii="宋体" w:hAnsi="宋体" w:cs="宋体"/>
        </w:rPr>
        <w:t>0531-82720717。</w:t>
      </w:r>
    </w:p>
    <w:p>
      <w:pPr>
        <w:adjustRightInd w:val="0"/>
        <w:snapToGrid w:val="0"/>
        <w:spacing w:line="360" w:lineRule="auto"/>
        <w:ind w:firstLine="315" w:firstLineChars="150"/>
        <w:rPr>
          <w:rFonts w:ascii="宋体" w:hAnsi="宋体"/>
          <w:sz w:val="24"/>
        </w:rPr>
      </w:pPr>
      <w:r>
        <w:rPr>
          <w:rFonts w:hint="eastAsia" w:ascii="宋体" w:hAnsi="宋体"/>
          <w:szCs w:val="21"/>
        </w:rPr>
        <w:t>3.如公示期内无异议，招标人将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8"/>
      </w:pPr>
      <w:bookmarkStart w:id="32" w:name="_Toc16576"/>
      <w:r>
        <w:rPr>
          <w:rFonts w:hint="eastAsia"/>
        </w:rPr>
        <w:t>七、合同授予</w:t>
      </w:r>
      <w:bookmarkEnd w:id="32"/>
    </w:p>
    <w:p>
      <w:pPr>
        <w:pStyle w:val="50"/>
      </w:pPr>
      <w:r>
        <w:rPr>
          <w:rFonts w:hint="eastAsia"/>
        </w:rPr>
        <w:t>（一）中标通知</w:t>
      </w:r>
    </w:p>
    <w:p>
      <w:pPr>
        <w:tabs>
          <w:tab w:val="left" w:pos="420"/>
        </w:tabs>
        <w:wordWrap w:val="0"/>
        <w:spacing w:line="360" w:lineRule="auto"/>
        <w:ind w:firstLine="420" w:firstLineChars="200"/>
        <w:rPr>
          <w:rFonts w:ascii="宋体" w:hAnsi="宋体"/>
          <w:szCs w:val="21"/>
        </w:rPr>
      </w:pPr>
      <w:r>
        <w:rPr>
          <w:rFonts w:hint="eastAsia" w:ascii="宋体" w:hAnsi="宋体"/>
          <w:szCs w:val="21"/>
        </w:rPr>
        <w:t>如中标候选人公示期内无异议，招标人将在发布招标公告的媒介发布中标结果公告。招标人还会以书面形式向中标人发出中标通知书。</w:t>
      </w:r>
    </w:p>
    <w:p>
      <w:pPr>
        <w:pStyle w:val="50"/>
      </w:pPr>
      <w:r>
        <w:rPr>
          <w:rFonts w:hint="eastAsia"/>
        </w:rPr>
        <w:t>（二）签订合同</w:t>
      </w:r>
    </w:p>
    <w:p>
      <w:pPr>
        <w:spacing w:line="360" w:lineRule="auto"/>
        <w:ind w:firstLine="315" w:firstLineChars="150"/>
        <w:rPr>
          <w:rFonts w:ascii="宋体" w:hAnsi="宋体"/>
          <w:szCs w:val="21"/>
        </w:rPr>
      </w:pPr>
      <w:r>
        <w:rPr>
          <w:rFonts w:hint="eastAsia" w:ascii="宋体" w:hAnsi="宋体"/>
          <w:szCs w:val="21"/>
        </w:rPr>
        <w:t xml:space="preserve">招标人和中标人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pStyle w:val="50"/>
      </w:pPr>
      <w:r>
        <w:rPr>
          <w:rFonts w:hint="eastAsia"/>
        </w:rPr>
        <w:t>（三）重新招标</w:t>
      </w:r>
    </w:p>
    <w:p>
      <w:pPr>
        <w:spacing w:line="360" w:lineRule="auto"/>
        <w:ind w:firstLine="315" w:firstLineChars="150"/>
        <w:rPr>
          <w:rFonts w:ascii="宋体" w:hAnsi="宋体"/>
          <w:szCs w:val="21"/>
        </w:rPr>
      </w:pPr>
      <w:r>
        <w:rPr>
          <w:rFonts w:hint="eastAsia" w:ascii="宋体" w:hAnsi="宋体"/>
          <w:szCs w:val="21"/>
        </w:rPr>
        <w:t>有下列情形之一的，招标人将修改招标文件有关内容，重新招标：</w:t>
      </w:r>
    </w:p>
    <w:p>
      <w:pPr>
        <w:spacing w:line="360" w:lineRule="auto"/>
        <w:ind w:firstLine="315" w:firstLineChars="150"/>
        <w:rPr>
          <w:rFonts w:ascii="宋体" w:hAnsi="宋体"/>
          <w:szCs w:val="21"/>
        </w:rPr>
      </w:pPr>
      <w:r>
        <w:rPr>
          <w:rFonts w:hint="eastAsia" w:ascii="宋体" w:hAnsi="宋体"/>
          <w:szCs w:val="21"/>
        </w:rPr>
        <w:t>1.投标截止时间止，投标人少于3个的；</w:t>
      </w:r>
    </w:p>
    <w:p>
      <w:pPr>
        <w:spacing w:line="360" w:lineRule="auto"/>
        <w:ind w:firstLine="315" w:firstLineChars="150"/>
        <w:rPr>
          <w:rFonts w:ascii="宋体" w:hAnsi="宋体"/>
          <w:szCs w:val="21"/>
        </w:rPr>
      </w:pPr>
      <w:r>
        <w:rPr>
          <w:rFonts w:hint="eastAsia" w:ascii="宋体" w:hAnsi="宋体"/>
          <w:szCs w:val="21"/>
        </w:rPr>
        <w:t>2.经评审有效投标人不足3家时；</w:t>
      </w:r>
    </w:p>
    <w:p>
      <w:pPr>
        <w:spacing w:line="360" w:lineRule="auto"/>
        <w:ind w:firstLine="315" w:firstLineChars="150"/>
        <w:rPr>
          <w:rFonts w:ascii="宋体" w:hAnsi="宋体"/>
          <w:szCs w:val="21"/>
        </w:rPr>
      </w:pPr>
      <w:r>
        <w:rPr>
          <w:rFonts w:hint="eastAsia" w:ascii="宋体" w:hAnsi="宋体"/>
          <w:szCs w:val="21"/>
        </w:rPr>
        <w:t>3.经评标委员会评审后否决所有投标的。</w:t>
      </w:r>
    </w:p>
    <w:p>
      <w:pPr>
        <w:pStyle w:val="40"/>
      </w:pPr>
      <w:bookmarkStart w:id="33" w:name="_Toc20317"/>
      <w:r>
        <w:rPr>
          <w:rFonts w:hint="eastAsia"/>
        </w:rPr>
        <w:t>第三部分评标办法</w:t>
      </w:r>
      <w:bookmarkEnd w:id="33"/>
    </w:p>
    <w:p>
      <w:pPr>
        <w:pStyle w:val="48"/>
        <w:jc w:val="left"/>
      </w:pPr>
      <w:bookmarkStart w:id="34" w:name="_Toc869"/>
      <w:r>
        <w:rPr>
          <w:rFonts w:hint="eastAsia"/>
        </w:rPr>
        <w:t>一、评标方法</w:t>
      </w:r>
      <w:bookmarkEnd w:id="34"/>
    </w:p>
    <w:p>
      <w:pPr>
        <w:adjustRightInd w:val="0"/>
        <w:snapToGrid w:val="0"/>
        <w:spacing w:line="360" w:lineRule="auto"/>
        <w:ind w:firstLine="420" w:firstLineChars="200"/>
        <w:rPr>
          <w:rFonts w:ascii="宋体" w:hAnsi="宋体"/>
          <w:szCs w:val="21"/>
        </w:rPr>
      </w:pPr>
      <w:r>
        <w:rPr>
          <w:rFonts w:hint="eastAsia" w:ascii="宋体" w:hAnsi="宋体"/>
          <w:szCs w:val="21"/>
        </w:rPr>
        <w:t>本次评标方法为经评审的最低投标价法，即评标委员会对满足招标文件实质要求的投标文件，按照投标报价（不含税价）由低到高的顺序推荐中标候选人。</w:t>
      </w:r>
    </w:p>
    <w:p>
      <w:pPr>
        <w:pStyle w:val="48"/>
        <w:jc w:val="left"/>
      </w:pPr>
      <w:bookmarkStart w:id="35" w:name="_Toc21667"/>
      <w:r>
        <w:rPr>
          <w:rFonts w:hint="eastAsia"/>
        </w:rPr>
        <w:t>二、评审标准</w:t>
      </w:r>
      <w:bookmarkEnd w:id="35"/>
    </w:p>
    <w:p>
      <w:pPr>
        <w:pStyle w:val="50"/>
      </w:pPr>
      <w:r>
        <w:rPr>
          <w:rFonts w:hint="eastAsia"/>
        </w:rPr>
        <w:t>（一）评审标准前附表</w:t>
      </w:r>
    </w:p>
    <w:p>
      <w:pPr>
        <w:adjustRightInd w:val="0"/>
        <w:snapToGrid w:val="0"/>
        <w:spacing w:line="360" w:lineRule="auto"/>
        <w:jc w:val="center"/>
        <w:rPr>
          <w:rFonts w:ascii="黑体" w:hAnsi="宋体" w:eastAsia="黑体"/>
          <w:sz w:val="24"/>
          <w:szCs w:val="21"/>
        </w:rPr>
      </w:pPr>
      <w:r>
        <w:rPr>
          <w:rFonts w:hint="eastAsia" w:ascii="黑体" w:hAnsi="宋体" w:eastAsia="黑体"/>
          <w:sz w:val="24"/>
          <w:szCs w:val="21"/>
        </w:rPr>
        <w:t>评审标准前附表</w:t>
      </w:r>
    </w:p>
    <w:tbl>
      <w:tblPr>
        <w:tblStyle w:val="26"/>
        <w:tblW w:w="491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39"/>
        <w:gridCol w:w="910"/>
        <w:gridCol w:w="2866"/>
        <w:gridCol w:w="31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27" w:type="pct"/>
            <w:gridSpan w:val="3"/>
            <w:shd w:val="clear" w:color="auto" w:fill="auto"/>
            <w:vAlign w:val="center"/>
          </w:tcPr>
          <w:p>
            <w:pPr>
              <w:jc w:val="center"/>
              <w:rPr>
                <w:rFonts w:ascii="宋体" w:hAnsi="宋体" w:cs="宋体"/>
                <w:sz w:val="20"/>
                <w:szCs w:val="21"/>
              </w:rPr>
            </w:pPr>
            <w:r>
              <w:rPr>
                <w:rFonts w:hint="eastAsia" w:ascii="宋体" w:hAnsi="宋体" w:cs="宋体"/>
                <w:sz w:val="20"/>
                <w:szCs w:val="21"/>
              </w:rPr>
              <w:t>条款</w:t>
            </w:r>
          </w:p>
        </w:tc>
        <w:tc>
          <w:tcPr>
            <w:tcW w:w="1710" w:type="pct"/>
            <w:shd w:val="clear" w:color="auto" w:fill="auto"/>
            <w:vAlign w:val="center"/>
          </w:tcPr>
          <w:p>
            <w:pPr>
              <w:jc w:val="center"/>
              <w:rPr>
                <w:rFonts w:ascii="宋体" w:hAnsi="宋体" w:cs="Arial"/>
                <w:sz w:val="20"/>
                <w:szCs w:val="21"/>
              </w:rPr>
            </w:pPr>
            <w:r>
              <w:rPr>
                <w:rFonts w:hint="eastAsia" w:ascii="宋体" w:hAnsi="宋体" w:cs="Arial"/>
                <w:sz w:val="20"/>
                <w:szCs w:val="21"/>
              </w:rPr>
              <w:t>评审因素</w:t>
            </w:r>
          </w:p>
        </w:tc>
        <w:tc>
          <w:tcPr>
            <w:tcW w:w="1863" w:type="pct"/>
            <w:shd w:val="clear" w:color="auto" w:fill="auto"/>
            <w:vAlign w:val="center"/>
          </w:tcPr>
          <w:p>
            <w:pPr>
              <w:jc w:val="center"/>
              <w:rPr>
                <w:rFonts w:ascii="宋体" w:hAnsi="宋体" w:cs="Arial"/>
                <w:sz w:val="20"/>
                <w:szCs w:val="21"/>
              </w:rPr>
            </w:pPr>
            <w:r>
              <w:rPr>
                <w:rFonts w:hint="eastAsia" w:ascii="宋体" w:hAnsi="宋体" w:cs="Arial"/>
                <w:sz w:val="20"/>
                <w:szCs w:val="21"/>
              </w:rPr>
              <w:t>评审标准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w:t>
            </w:r>
          </w:p>
        </w:tc>
        <w:tc>
          <w:tcPr>
            <w:tcW w:w="441" w:type="pct"/>
            <w:vMerge w:val="restart"/>
            <w:shd w:val="clear" w:color="auto" w:fill="auto"/>
            <w:vAlign w:val="center"/>
          </w:tcPr>
          <w:p>
            <w:pPr>
              <w:jc w:val="center"/>
              <w:rPr>
                <w:rFonts w:ascii="宋体" w:hAnsi="宋体" w:cs="宋体"/>
                <w:sz w:val="20"/>
                <w:szCs w:val="21"/>
              </w:rPr>
            </w:pPr>
            <w:r>
              <w:rPr>
                <w:rFonts w:hint="eastAsia" w:ascii="宋体" w:hAnsi="宋体" w:cs="宋体"/>
                <w:sz w:val="20"/>
                <w:szCs w:val="21"/>
              </w:rPr>
              <w:t>初步评审</w:t>
            </w:r>
          </w:p>
        </w:tc>
        <w:tc>
          <w:tcPr>
            <w:tcW w:w="543" w:type="pct"/>
            <w:vMerge w:val="restart"/>
            <w:shd w:val="clear" w:color="auto" w:fill="auto"/>
            <w:vAlign w:val="center"/>
          </w:tcPr>
          <w:p>
            <w:pPr>
              <w:jc w:val="center"/>
              <w:rPr>
                <w:rFonts w:ascii="宋体" w:hAnsi="宋体" w:cs="宋体"/>
                <w:sz w:val="20"/>
                <w:szCs w:val="21"/>
              </w:rPr>
            </w:pPr>
            <w:r>
              <w:rPr>
                <w:rFonts w:hint="eastAsia" w:ascii="宋体" w:hAnsi="宋体" w:cs="宋体"/>
                <w:sz w:val="20"/>
                <w:szCs w:val="21"/>
              </w:rPr>
              <w:t>资格</w:t>
            </w:r>
          </w:p>
          <w:p>
            <w:pPr>
              <w:jc w:val="center"/>
              <w:rPr>
                <w:rFonts w:ascii="宋体" w:hAnsi="宋体" w:cs="宋体"/>
                <w:sz w:val="20"/>
                <w:szCs w:val="21"/>
              </w:rPr>
            </w:pPr>
            <w:r>
              <w:rPr>
                <w:rFonts w:hint="eastAsia" w:ascii="宋体" w:hAnsi="宋体" w:cs="宋体"/>
                <w:sz w:val="20"/>
                <w:szCs w:val="21"/>
              </w:rPr>
              <w:t>审查</w:t>
            </w: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投标人加载统一社会信用代码的营业执照副本</w:t>
            </w:r>
          </w:p>
        </w:tc>
        <w:tc>
          <w:tcPr>
            <w:tcW w:w="1863" w:type="pct"/>
            <w:shd w:val="clear" w:color="auto" w:fill="auto"/>
            <w:vAlign w:val="center"/>
          </w:tcPr>
          <w:p>
            <w:pPr>
              <w:jc w:val="center"/>
              <w:rPr>
                <w:rFonts w:ascii="宋体" w:hAnsi="宋体" w:cs="Arial"/>
                <w:sz w:val="20"/>
                <w:szCs w:val="21"/>
              </w:rPr>
            </w:pPr>
            <w:r>
              <w:rPr>
                <w:rFonts w:hint="eastAsia" w:ascii="宋体" w:hAnsi="宋体" w:cs="Arial"/>
                <w:sz w:val="20"/>
                <w:szCs w:val="21"/>
              </w:rPr>
              <w:t>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43" w:type="pct"/>
            <w:shd w:val="clear" w:color="auto" w:fill="auto"/>
            <w:vAlign w:val="center"/>
          </w:tcPr>
          <w:p>
            <w:pPr>
              <w:jc w:val="center"/>
              <w:rPr>
                <w:rFonts w:ascii="宋体" w:hAnsi="宋体" w:cs="宋体"/>
                <w:sz w:val="20"/>
                <w:szCs w:val="21"/>
              </w:rPr>
            </w:pPr>
            <w:r>
              <w:rPr>
                <w:rFonts w:ascii="宋体" w:hAnsi="宋体" w:cs="宋体"/>
                <w:sz w:val="20"/>
                <w:szCs w:val="21"/>
              </w:rPr>
              <w:t>2</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法定代表人证明或法定代表人授权书</w:t>
            </w:r>
          </w:p>
        </w:tc>
        <w:tc>
          <w:tcPr>
            <w:tcW w:w="1863" w:type="pct"/>
            <w:shd w:val="clear" w:color="auto" w:fill="auto"/>
            <w:vAlign w:val="center"/>
          </w:tcPr>
          <w:p>
            <w:pPr>
              <w:jc w:val="center"/>
              <w:rPr>
                <w:rFonts w:ascii="宋体" w:hAnsi="宋体" w:cs="Arial"/>
                <w:sz w:val="20"/>
                <w:szCs w:val="21"/>
              </w:rPr>
            </w:pPr>
            <w:r>
              <w:rPr>
                <w:rFonts w:hint="eastAsia" w:ascii="宋体" w:hAnsi="宋体" w:cs="Arial"/>
                <w:sz w:val="20"/>
                <w:szCs w:val="21"/>
              </w:rPr>
              <w:t>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443" w:type="pct"/>
            <w:shd w:val="clear" w:color="auto" w:fill="auto"/>
            <w:vAlign w:val="center"/>
          </w:tcPr>
          <w:p>
            <w:pPr>
              <w:jc w:val="center"/>
              <w:rPr>
                <w:rFonts w:ascii="宋体" w:hAnsi="宋体" w:cs="宋体"/>
                <w:sz w:val="20"/>
                <w:szCs w:val="21"/>
              </w:rPr>
            </w:pPr>
            <w:r>
              <w:rPr>
                <w:rFonts w:ascii="宋体" w:hAnsi="宋体" w:cs="宋体"/>
                <w:sz w:val="20"/>
                <w:szCs w:val="21"/>
              </w:rPr>
              <w:t>3</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投标人法定代表人或委托代理人身份证</w:t>
            </w:r>
          </w:p>
        </w:tc>
        <w:tc>
          <w:tcPr>
            <w:tcW w:w="1863" w:type="pct"/>
            <w:shd w:val="clear" w:color="auto" w:fill="auto"/>
            <w:vAlign w:val="center"/>
          </w:tcPr>
          <w:p>
            <w:pPr>
              <w:jc w:val="center"/>
              <w:rPr>
                <w:rFonts w:ascii="宋体" w:hAnsi="宋体" w:cs="Arial"/>
                <w:sz w:val="20"/>
                <w:szCs w:val="20"/>
              </w:rPr>
            </w:pPr>
            <w:r>
              <w:rPr>
                <w:rFonts w:hint="eastAsia" w:ascii="宋体" w:hAnsi="宋体" w:cs="Arial"/>
                <w:sz w:val="20"/>
                <w:szCs w:val="20"/>
              </w:rPr>
              <w:t>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6"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4</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委托代理人参加投标的，提供委托代理人与投标人单位签订的劳动合同（复印件加盖公章）以及委托代理人在投标人单位自2022年11月以来连续6个月缴纳社保记录证明（原件或加盖投标人公章社保网站查询截图）</w:t>
            </w:r>
          </w:p>
        </w:tc>
        <w:tc>
          <w:tcPr>
            <w:tcW w:w="1863" w:type="pct"/>
            <w:shd w:val="clear" w:color="auto" w:fill="auto"/>
            <w:vAlign w:val="center"/>
          </w:tcPr>
          <w:p>
            <w:pPr>
              <w:jc w:val="center"/>
              <w:rPr>
                <w:rFonts w:ascii="宋体" w:hAnsi="宋体" w:cs="Arial"/>
                <w:sz w:val="20"/>
                <w:szCs w:val="20"/>
              </w:rPr>
            </w:pPr>
            <w:r>
              <w:rPr>
                <w:rFonts w:hint="eastAsia" w:ascii="宋体" w:hAnsi="宋体" w:cs="Arial"/>
                <w:sz w:val="20"/>
                <w:szCs w:val="20"/>
              </w:rPr>
              <w:t>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3" w:type="pct"/>
            <w:shd w:val="clear" w:color="auto" w:fill="auto"/>
            <w:vAlign w:val="center"/>
          </w:tcPr>
          <w:p>
            <w:pPr>
              <w:jc w:val="center"/>
              <w:rPr>
                <w:rFonts w:ascii="宋体" w:hAnsi="宋体" w:cs="宋体"/>
                <w:sz w:val="20"/>
                <w:szCs w:val="21"/>
              </w:rPr>
            </w:pPr>
            <w:r>
              <w:rPr>
                <w:rFonts w:ascii="宋体" w:hAnsi="宋体" w:cs="宋体"/>
                <w:sz w:val="20"/>
                <w:szCs w:val="21"/>
              </w:rPr>
              <w:t>5</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投标保证金银行回执单</w:t>
            </w:r>
          </w:p>
        </w:tc>
        <w:tc>
          <w:tcPr>
            <w:tcW w:w="1863" w:type="pct"/>
            <w:shd w:val="clear" w:color="auto" w:fill="auto"/>
            <w:vAlign w:val="center"/>
          </w:tcPr>
          <w:p>
            <w:pPr>
              <w:jc w:val="center"/>
              <w:rPr>
                <w:rFonts w:ascii="宋体" w:hAnsi="宋体" w:cs="Arial"/>
                <w:sz w:val="20"/>
                <w:szCs w:val="21"/>
              </w:rPr>
            </w:pPr>
            <w:r>
              <w:rPr>
                <w:rFonts w:hint="eastAsia" w:ascii="宋体" w:hAnsi="宋体" w:cs="Arial"/>
                <w:sz w:val="20"/>
                <w:szCs w:val="21"/>
              </w:rPr>
              <w:t>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6</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投标人承诺书</w:t>
            </w:r>
          </w:p>
        </w:tc>
        <w:tc>
          <w:tcPr>
            <w:tcW w:w="1863" w:type="pct"/>
            <w:shd w:val="clear" w:color="auto" w:fill="auto"/>
            <w:vAlign w:val="center"/>
          </w:tcPr>
          <w:p>
            <w:pPr>
              <w:jc w:val="center"/>
              <w:rPr>
                <w:rFonts w:ascii="宋体" w:hAnsi="宋体" w:cs="Arial"/>
                <w:sz w:val="20"/>
                <w:szCs w:val="21"/>
              </w:rPr>
            </w:pPr>
            <w:r>
              <w:rPr>
                <w:rFonts w:hint="eastAsia" w:ascii="宋体" w:hAnsi="宋体" w:cs="Arial"/>
                <w:sz w:val="20"/>
                <w:szCs w:val="21"/>
              </w:rPr>
              <w:t>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7</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投标人</w:t>
            </w:r>
            <w:r>
              <w:rPr>
                <w:rFonts w:ascii="宋体" w:hAnsi="宋体"/>
                <w:sz w:val="20"/>
                <w:szCs w:val="21"/>
              </w:rPr>
              <w:t>无</w:t>
            </w:r>
            <w:r>
              <w:rPr>
                <w:rFonts w:hint="eastAsia" w:ascii="宋体" w:hAnsi="宋体"/>
                <w:sz w:val="20"/>
                <w:szCs w:val="21"/>
              </w:rPr>
              <w:t>违反有关的国家法律、法规和条例及违反商业道德的劣迹及其他不良记录</w:t>
            </w:r>
          </w:p>
        </w:tc>
        <w:tc>
          <w:tcPr>
            <w:tcW w:w="1863" w:type="pct"/>
            <w:shd w:val="clear" w:color="auto" w:fill="auto"/>
            <w:vAlign w:val="center"/>
          </w:tcPr>
          <w:p>
            <w:pPr>
              <w:rPr>
                <w:rFonts w:ascii="宋体" w:hAnsi="宋体" w:cs="Arial"/>
                <w:sz w:val="20"/>
                <w:szCs w:val="21"/>
              </w:rPr>
            </w:pPr>
            <w:r>
              <w:rPr>
                <w:rFonts w:hint="eastAsia" w:ascii="宋体" w:hAnsi="宋体" w:cs="Arial"/>
                <w:sz w:val="20"/>
                <w:szCs w:val="21"/>
              </w:rPr>
              <w:t>以招标公告中“投标人</w:t>
            </w:r>
            <w:r>
              <w:rPr>
                <w:rFonts w:ascii="宋体" w:hAnsi="宋体" w:cs="Arial"/>
                <w:sz w:val="20"/>
                <w:szCs w:val="21"/>
              </w:rPr>
              <w:t>资格要求</w:t>
            </w:r>
            <w:r>
              <w:rPr>
                <w:rFonts w:hint="eastAsia" w:ascii="宋体" w:hAnsi="宋体" w:cs="Arial"/>
                <w:sz w:val="20"/>
                <w:szCs w:val="21"/>
              </w:rPr>
              <w:t>”</w:t>
            </w:r>
            <w:r>
              <w:rPr>
                <w:rFonts w:ascii="宋体" w:hAnsi="宋体" w:cs="Arial"/>
                <w:sz w:val="20"/>
                <w:szCs w:val="21"/>
              </w:rPr>
              <w:t>规定的查询媒介查询截图为评审依据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8</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投标人无行贿犯罪行为记录</w:t>
            </w:r>
          </w:p>
        </w:tc>
        <w:tc>
          <w:tcPr>
            <w:tcW w:w="1863" w:type="pct"/>
            <w:shd w:val="clear" w:color="auto" w:fill="auto"/>
            <w:vAlign w:val="center"/>
          </w:tcPr>
          <w:p>
            <w:pPr>
              <w:rPr>
                <w:rFonts w:ascii="宋体" w:hAnsi="宋体" w:cs="Arial"/>
                <w:sz w:val="20"/>
                <w:szCs w:val="21"/>
              </w:rPr>
            </w:pPr>
            <w:r>
              <w:rPr>
                <w:rFonts w:hint="eastAsia" w:ascii="宋体" w:hAnsi="宋体" w:cs="Arial"/>
                <w:sz w:val="20"/>
                <w:szCs w:val="21"/>
              </w:rPr>
              <w:t>以招标公告中“投标人</w:t>
            </w:r>
            <w:r>
              <w:rPr>
                <w:rFonts w:ascii="宋体" w:hAnsi="宋体" w:cs="Arial"/>
                <w:sz w:val="20"/>
                <w:szCs w:val="21"/>
              </w:rPr>
              <w:t>资格要求</w:t>
            </w:r>
            <w:r>
              <w:rPr>
                <w:rFonts w:hint="eastAsia" w:ascii="宋体" w:hAnsi="宋体" w:cs="Arial"/>
                <w:sz w:val="20"/>
                <w:szCs w:val="21"/>
              </w:rPr>
              <w:t>”</w:t>
            </w:r>
            <w:r>
              <w:rPr>
                <w:rFonts w:ascii="宋体" w:hAnsi="宋体" w:cs="Arial"/>
                <w:sz w:val="20"/>
                <w:szCs w:val="21"/>
              </w:rPr>
              <w:t>规定的查询媒介查询截图为评审依据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9</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Cs w:val="21"/>
              </w:rPr>
            </w:pPr>
            <w:r>
              <w:rPr>
                <w:rFonts w:hint="eastAsia" w:ascii="宋体" w:hAnsi="宋体" w:cs="宋体"/>
                <w:sz w:val="20"/>
                <w:szCs w:val="20"/>
              </w:rPr>
              <w:t>投标人未被列入烟草行业及所属单位行贿行为供应商名单范围（还包括行贿行为供应商名单中的人员担任法定代表人、主要负责人或实际控制人的其他企业）</w:t>
            </w:r>
          </w:p>
        </w:tc>
        <w:tc>
          <w:tcPr>
            <w:tcW w:w="1863" w:type="pct"/>
            <w:shd w:val="clear" w:color="auto" w:fill="auto"/>
            <w:vAlign w:val="center"/>
          </w:tcPr>
          <w:p>
            <w:pPr>
              <w:jc w:val="left"/>
              <w:rPr>
                <w:rFonts w:ascii="宋体" w:hAnsi="宋体" w:cs="Arial"/>
                <w:szCs w:val="21"/>
              </w:rPr>
            </w:pPr>
            <w:r>
              <w:rPr>
                <w:rFonts w:hint="eastAsia" w:ascii="宋体" w:hAnsi="宋体" w:cs="Arial"/>
                <w:sz w:val="20"/>
                <w:szCs w:val="20"/>
              </w:rPr>
              <w:t>以投标人是否被列入</w:t>
            </w:r>
            <w:r>
              <w:rPr>
                <w:rFonts w:hint="eastAsia" w:ascii="宋体" w:hAnsi="宋体" w:cs="宋体"/>
                <w:sz w:val="20"/>
                <w:szCs w:val="20"/>
              </w:rPr>
              <w:t>烟草行业及所属单位行贿行为供应商名单范围（还包括行贿行为供应商名单中的人员担任法定代表人、主要负责人或实际控制人的其他企业）</w:t>
            </w:r>
            <w:r>
              <w:rPr>
                <w:rFonts w:hint="eastAsia" w:ascii="宋体" w:hAnsi="宋体" w:cs="Arial"/>
                <w:sz w:val="20"/>
                <w:szCs w:val="20"/>
              </w:rPr>
              <w:t>为</w:t>
            </w:r>
            <w:r>
              <w:rPr>
                <w:rFonts w:ascii="宋体" w:hAnsi="宋体" w:cs="Arial"/>
                <w:sz w:val="20"/>
                <w:szCs w:val="20"/>
              </w:rPr>
              <w:t>评审依据</w:t>
            </w:r>
            <w:r>
              <w:rPr>
                <w:rFonts w:hint="eastAsia" w:ascii="宋体" w:hAnsi="宋体" w:cs="Arial"/>
                <w:sz w:val="20"/>
                <w:szCs w:val="20"/>
              </w:rPr>
              <w:t>，招标代理查询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10</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Cs w:val="21"/>
              </w:rPr>
            </w:pPr>
            <w:r>
              <w:rPr>
                <w:rFonts w:hint="eastAsia" w:ascii="宋体" w:hAnsi="宋体" w:cs="宋体"/>
                <w:sz w:val="20"/>
                <w:szCs w:val="20"/>
              </w:rPr>
              <w:t>投标人未被列入山东中烟不良行为记录名单</w:t>
            </w:r>
          </w:p>
        </w:tc>
        <w:tc>
          <w:tcPr>
            <w:tcW w:w="1863" w:type="pct"/>
            <w:shd w:val="clear" w:color="auto" w:fill="auto"/>
            <w:vAlign w:val="center"/>
          </w:tcPr>
          <w:p>
            <w:pPr>
              <w:jc w:val="left"/>
              <w:rPr>
                <w:rFonts w:ascii="宋体" w:hAnsi="宋体" w:cs="Arial"/>
                <w:szCs w:val="21"/>
              </w:rPr>
            </w:pPr>
            <w:r>
              <w:rPr>
                <w:rFonts w:hint="eastAsia" w:ascii="宋体" w:hAnsi="宋体" w:cs="Arial"/>
                <w:sz w:val="20"/>
                <w:szCs w:val="20"/>
              </w:rPr>
              <w:t>以投标人是否被列入招标人提供的不良行为记录名单为</w:t>
            </w:r>
            <w:r>
              <w:rPr>
                <w:rFonts w:ascii="宋体" w:hAnsi="宋体" w:cs="Arial"/>
                <w:sz w:val="20"/>
                <w:szCs w:val="20"/>
              </w:rPr>
              <w:t>评审依据</w:t>
            </w:r>
            <w:r>
              <w:rPr>
                <w:rFonts w:hint="eastAsia" w:ascii="宋体" w:hAnsi="宋体" w:cs="Arial"/>
                <w:sz w:val="20"/>
                <w:szCs w:val="20"/>
              </w:rPr>
              <w:t>，招标代理查询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11</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restart"/>
            <w:shd w:val="clear" w:color="auto" w:fill="auto"/>
            <w:vAlign w:val="center"/>
          </w:tcPr>
          <w:p>
            <w:pPr>
              <w:jc w:val="center"/>
              <w:rPr>
                <w:rFonts w:ascii="宋体" w:hAnsi="宋体" w:cs="宋体"/>
                <w:sz w:val="20"/>
                <w:szCs w:val="21"/>
              </w:rPr>
            </w:pPr>
            <w:r>
              <w:rPr>
                <w:rFonts w:hint="eastAsia" w:ascii="宋体" w:hAnsi="宋体" w:cs="宋体"/>
                <w:sz w:val="20"/>
                <w:szCs w:val="21"/>
              </w:rPr>
              <w:t>形式评审</w:t>
            </w: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投标人名称</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与营业执照、资质证书一致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12</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投标文件签字盖章</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按招标文件要求签字盖章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13</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投标文件内容</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内容应齐全，关键字迹应清晰、易于辨认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14</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投标人关联</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按招标公告规定的内容审查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15</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串通投标情况审查</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须不存在本招标文件“第三部分评审办法”“三、评标程序”“（一）初步评审”中第4条规定的有关情况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16</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弄虚作假情况审查</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须不存在本招标文件“第三部分评审办法”“三、评标程序”“（一）初步评审”中第5条规定的有关情况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17</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cs="Arial"/>
                <w:sz w:val="20"/>
                <w:szCs w:val="21"/>
              </w:rPr>
            </w:pPr>
            <w:r>
              <w:rPr>
                <w:rFonts w:hint="eastAsia" w:ascii="宋体" w:hAnsi="宋体" w:cs="Arial"/>
                <w:sz w:val="20"/>
                <w:szCs w:val="21"/>
              </w:rPr>
              <w:t>报价唯一</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不得递交两份或多份内容不同的投标文件，不接受可选择性报价。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18</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restart"/>
            <w:shd w:val="clear" w:color="auto" w:fill="auto"/>
            <w:vAlign w:val="center"/>
          </w:tcPr>
          <w:p>
            <w:pPr>
              <w:jc w:val="center"/>
              <w:rPr>
                <w:rFonts w:ascii="宋体" w:hAnsi="宋体" w:cs="宋体"/>
                <w:sz w:val="20"/>
                <w:szCs w:val="21"/>
              </w:rPr>
            </w:pPr>
            <w:r>
              <w:rPr>
                <w:rFonts w:hint="eastAsia" w:ascii="宋体" w:hAnsi="宋体" w:cs="宋体"/>
                <w:sz w:val="20"/>
                <w:szCs w:val="21"/>
              </w:rPr>
              <w:t>响应性评审</w:t>
            </w: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投标报价</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符合“投标人须知”规定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19</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投标有效期</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符合“投标人须知”规定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20</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实施周期</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符合“投标人须知”规定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21</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权利义务</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符合“合同主要条款”规定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22</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进度计划</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符合“项目需求及技术要求”规定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23</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技术要求响应</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符合“项目需求及技术要求”规定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24</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cs="Arial"/>
                <w:sz w:val="20"/>
                <w:szCs w:val="21"/>
              </w:rPr>
              <w:t>质量控制措施</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符合“项目需求及技术要求”规定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25</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质保期</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符合“项目需求及技术要求”规定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3" w:type="pct"/>
            <w:shd w:val="clear" w:color="auto" w:fill="auto"/>
            <w:vAlign w:val="center"/>
          </w:tcPr>
          <w:p>
            <w:pPr>
              <w:jc w:val="center"/>
              <w:rPr>
                <w:rFonts w:ascii="宋体" w:hAnsi="宋体" w:cs="宋体"/>
                <w:sz w:val="20"/>
                <w:szCs w:val="21"/>
              </w:rPr>
            </w:pPr>
            <w:r>
              <w:rPr>
                <w:rFonts w:ascii="宋体" w:hAnsi="宋体" w:cs="宋体"/>
                <w:sz w:val="20"/>
                <w:szCs w:val="21"/>
              </w:rPr>
              <w:t>2</w:t>
            </w:r>
            <w:r>
              <w:rPr>
                <w:rFonts w:hint="eastAsia" w:ascii="宋体" w:hAnsi="宋体" w:cs="宋体"/>
                <w:sz w:val="20"/>
                <w:szCs w:val="21"/>
              </w:rPr>
              <w:t>6</w:t>
            </w:r>
          </w:p>
        </w:tc>
        <w:tc>
          <w:tcPr>
            <w:tcW w:w="441" w:type="pct"/>
            <w:vMerge w:val="continue"/>
            <w:shd w:val="clear" w:color="auto" w:fill="auto"/>
            <w:vAlign w:val="center"/>
          </w:tcPr>
          <w:p>
            <w:pPr>
              <w:jc w:val="center"/>
              <w:rPr>
                <w:rFonts w:ascii="宋体" w:hAnsi="宋体" w:cs="宋体"/>
                <w:sz w:val="20"/>
                <w:szCs w:val="21"/>
              </w:rPr>
            </w:pPr>
          </w:p>
        </w:tc>
        <w:tc>
          <w:tcPr>
            <w:tcW w:w="543" w:type="pct"/>
            <w:vMerge w:val="continue"/>
            <w:shd w:val="clear" w:color="auto" w:fill="auto"/>
            <w:vAlign w:val="center"/>
          </w:tcPr>
          <w:p>
            <w:pPr>
              <w:jc w:val="center"/>
              <w:rPr>
                <w:rFonts w:ascii="宋体" w:hAnsi="宋体" w:cs="宋体"/>
                <w:sz w:val="20"/>
                <w:szCs w:val="21"/>
              </w:rPr>
            </w:pPr>
          </w:p>
        </w:tc>
        <w:tc>
          <w:tcPr>
            <w:tcW w:w="1710" w:type="pct"/>
            <w:shd w:val="clear" w:color="auto" w:fill="auto"/>
            <w:vAlign w:val="center"/>
          </w:tcPr>
          <w:p>
            <w:pPr>
              <w:jc w:val="left"/>
              <w:rPr>
                <w:rFonts w:ascii="宋体" w:hAnsi="宋体"/>
                <w:sz w:val="20"/>
                <w:szCs w:val="21"/>
              </w:rPr>
            </w:pPr>
            <w:r>
              <w:rPr>
                <w:rFonts w:hint="eastAsia" w:ascii="宋体" w:hAnsi="宋体"/>
                <w:sz w:val="20"/>
                <w:szCs w:val="21"/>
              </w:rPr>
              <w:t>实施方案</w:t>
            </w:r>
          </w:p>
        </w:tc>
        <w:tc>
          <w:tcPr>
            <w:tcW w:w="1863" w:type="pct"/>
            <w:shd w:val="clear" w:color="auto" w:fill="auto"/>
            <w:vAlign w:val="center"/>
          </w:tcPr>
          <w:p>
            <w:pPr>
              <w:jc w:val="left"/>
              <w:rPr>
                <w:rFonts w:ascii="宋体" w:hAnsi="宋体" w:cs="Arial"/>
                <w:sz w:val="20"/>
                <w:szCs w:val="21"/>
              </w:rPr>
            </w:pPr>
            <w:r>
              <w:rPr>
                <w:rFonts w:hint="eastAsia" w:ascii="宋体" w:hAnsi="宋体" w:cs="Arial"/>
                <w:sz w:val="20"/>
                <w:szCs w:val="21"/>
              </w:rPr>
              <w:t>符合“项目需求及技术要求”规定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443" w:type="pct"/>
            <w:shd w:val="clear" w:color="auto" w:fill="auto"/>
            <w:vAlign w:val="center"/>
          </w:tcPr>
          <w:p>
            <w:pPr>
              <w:jc w:val="center"/>
              <w:rPr>
                <w:rFonts w:ascii="宋体" w:hAnsi="宋体" w:cs="宋体"/>
                <w:sz w:val="20"/>
                <w:szCs w:val="21"/>
              </w:rPr>
            </w:pPr>
            <w:r>
              <w:rPr>
                <w:rFonts w:hint="eastAsia" w:ascii="宋体" w:hAnsi="宋体" w:cs="宋体"/>
                <w:sz w:val="20"/>
                <w:szCs w:val="21"/>
              </w:rPr>
              <w:t>27</w:t>
            </w:r>
          </w:p>
        </w:tc>
        <w:tc>
          <w:tcPr>
            <w:tcW w:w="984" w:type="pct"/>
            <w:gridSpan w:val="2"/>
            <w:shd w:val="clear" w:color="auto" w:fill="auto"/>
            <w:vAlign w:val="center"/>
          </w:tcPr>
          <w:p>
            <w:pPr>
              <w:jc w:val="center"/>
              <w:rPr>
                <w:rFonts w:ascii="宋体" w:hAnsi="宋体" w:cs="Arial"/>
                <w:sz w:val="20"/>
                <w:szCs w:val="21"/>
              </w:rPr>
            </w:pPr>
            <w:r>
              <w:rPr>
                <w:rFonts w:hint="eastAsia" w:ascii="宋体" w:hAnsi="宋体" w:cs="宋体"/>
                <w:sz w:val="20"/>
                <w:szCs w:val="21"/>
              </w:rPr>
              <w:t>详细评审</w:t>
            </w:r>
          </w:p>
        </w:tc>
        <w:tc>
          <w:tcPr>
            <w:tcW w:w="3573" w:type="pct"/>
            <w:gridSpan w:val="2"/>
            <w:shd w:val="clear" w:color="auto" w:fill="auto"/>
            <w:vAlign w:val="center"/>
          </w:tcPr>
          <w:p>
            <w:pPr>
              <w:jc w:val="left"/>
              <w:rPr>
                <w:rFonts w:ascii="宋体" w:hAnsi="宋体" w:cs="Arial"/>
                <w:sz w:val="20"/>
                <w:szCs w:val="21"/>
              </w:rPr>
            </w:pPr>
            <w:r>
              <w:rPr>
                <w:rFonts w:hint="eastAsia" w:ascii="宋体" w:hAnsi="宋体" w:cs="Arial"/>
                <w:sz w:val="20"/>
                <w:szCs w:val="21"/>
              </w:rPr>
              <w:t>评标委员会对通过初步评审的投标报价（不含税价）由低到高依次排出名次。</w:t>
            </w:r>
          </w:p>
        </w:tc>
      </w:tr>
    </w:tbl>
    <w:p>
      <w:pPr>
        <w:pStyle w:val="50"/>
      </w:pPr>
      <w:r>
        <w:rPr>
          <w:rFonts w:hint="eastAsia"/>
        </w:rPr>
        <w:t>（二）初步评审标准</w:t>
      </w:r>
    </w:p>
    <w:p>
      <w:pPr>
        <w:adjustRightInd w:val="0"/>
        <w:snapToGrid w:val="0"/>
        <w:spacing w:line="360" w:lineRule="auto"/>
        <w:ind w:firstLine="420" w:firstLineChars="200"/>
        <w:rPr>
          <w:rFonts w:ascii="宋体" w:hAnsi="宋体"/>
          <w:szCs w:val="21"/>
        </w:rPr>
      </w:pPr>
      <w:r>
        <w:rPr>
          <w:rFonts w:hint="eastAsia" w:ascii="宋体" w:hAnsi="宋体"/>
          <w:szCs w:val="21"/>
        </w:rPr>
        <w:t>1. 资格审查标准：见评审标准前附表。</w:t>
      </w:r>
    </w:p>
    <w:p>
      <w:pPr>
        <w:adjustRightInd w:val="0"/>
        <w:snapToGrid w:val="0"/>
        <w:spacing w:line="360" w:lineRule="auto"/>
        <w:ind w:firstLine="420" w:firstLineChars="200"/>
        <w:rPr>
          <w:rFonts w:ascii="宋体" w:hAnsi="宋体"/>
          <w:szCs w:val="21"/>
        </w:rPr>
      </w:pPr>
      <w:r>
        <w:rPr>
          <w:rFonts w:hint="eastAsia" w:ascii="宋体" w:hAnsi="宋体"/>
          <w:szCs w:val="21"/>
        </w:rPr>
        <w:t>2. 形式评审标准：见评审标准前附表。</w:t>
      </w:r>
    </w:p>
    <w:p>
      <w:pPr>
        <w:adjustRightInd w:val="0"/>
        <w:snapToGrid w:val="0"/>
        <w:spacing w:line="360" w:lineRule="auto"/>
        <w:ind w:firstLine="420" w:firstLineChars="200"/>
        <w:rPr>
          <w:rFonts w:ascii="宋体" w:hAnsi="宋体"/>
          <w:szCs w:val="21"/>
        </w:rPr>
      </w:pPr>
      <w:r>
        <w:rPr>
          <w:rFonts w:hint="eastAsia" w:ascii="宋体" w:hAnsi="宋体"/>
          <w:szCs w:val="21"/>
        </w:rPr>
        <w:t>3. 响应性评审标准：见评审标准前附表。</w:t>
      </w:r>
    </w:p>
    <w:p>
      <w:pPr>
        <w:pStyle w:val="50"/>
      </w:pPr>
      <w:r>
        <w:rPr>
          <w:rFonts w:hint="eastAsia"/>
        </w:rPr>
        <w:t>（三）详细评审标准</w:t>
      </w:r>
    </w:p>
    <w:p>
      <w:pPr>
        <w:adjustRightInd w:val="0"/>
        <w:snapToGrid w:val="0"/>
        <w:spacing w:line="360" w:lineRule="auto"/>
        <w:ind w:firstLine="420" w:firstLineChars="200"/>
        <w:rPr>
          <w:rFonts w:ascii="宋体" w:hAnsi="宋体"/>
          <w:szCs w:val="21"/>
        </w:rPr>
      </w:pPr>
      <w:r>
        <w:rPr>
          <w:rFonts w:hint="eastAsia" w:ascii="宋体" w:hAnsi="宋体"/>
          <w:szCs w:val="21"/>
        </w:rPr>
        <w:t>详细评审标准：见评审标准前附表。</w:t>
      </w:r>
    </w:p>
    <w:p>
      <w:pPr>
        <w:pStyle w:val="48"/>
        <w:jc w:val="left"/>
      </w:pPr>
      <w:bookmarkStart w:id="36" w:name="_Toc12826"/>
      <w:r>
        <w:rPr>
          <w:rFonts w:hint="eastAsia"/>
        </w:rPr>
        <w:t>三、评标程序</w:t>
      </w:r>
      <w:bookmarkEnd w:id="36"/>
    </w:p>
    <w:p>
      <w:pPr>
        <w:pStyle w:val="50"/>
      </w:pPr>
      <w:r>
        <w:rPr>
          <w:rFonts w:hint="eastAsia"/>
        </w:rPr>
        <w:t>（一）初步评审</w:t>
      </w:r>
    </w:p>
    <w:p>
      <w:pPr>
        <w:adjustRightInd w:val="0"/>
        <w:snapToGrid w:val="0"/>
        <w:spacing w:line="360" w:lineRule="auto"/>
        <w:ind w:firstLine="420" w:firstLineChars="200"/>
        <w:rPr>
          <w:rFonts w:ascii="宋体" w:hAnsi="宋体"/>
          <w:szCs w:val="21"/>
        </w:rPr>
      </w:pPr>
      <w:r>
        <w:rPr>
          <w:rFonts w:hint="eastAsia" w:ascii="宋体" w:hAnsi="宋体"/>
          <w:szCs w:val="21"/>
        </w:rPr>
        <w:t>1.开标后，投标人应按</w:t>
      </w:r>
      <w:r>
        <w:rPr>
          <w:rFonts w:hint="eastAsia" w:ascii="宋体" w:hAnsi="宋体"/>
          <w:b/>
          <w:szCs w:val="21"/>
        </w:rPr>
        <w:t>评审标准前附表资格审查部分</w:t>
      </w:r>
      <w:r>
        <w:rPr>
          <w:rFonts w:hint="eastAsia" w:ascii="宋体" w:hAnsi="宋体"/>
          <w:szCs w:val="21"/>
        </w:rPr>
        <w:t>规定的内容提供相应的</w:t>
      </w:r>
      <w:r>
        <w:rPr>
          <w:rFonts w:hint="eastAsia" w:ascii="宋体" w:hAnsi="宋体"/>
          <w:b/>
          <w:szCs w:val="21"/>
        </w:rPr>
        <w:t>原件</w:t>
      </w:r>
      <w:r>
        <w:rPr>
          <w:rFonts w:hint="eastAsia" w:ascii="宋体" w:hAnsi="宋体"/>
          <w:szCs w:val="21"/>
        </w:rPr>
        <w:t>，由评标委员会进行</w:t>
      </w:r>
      <w:r>
        <w:rPr>
          <w:rFonts w:hint="eastAsia" w:ascii="宋体" w:hAnsi="宋体"/>
          <w:b/>
          <w:szCs w:val="21"/>
        </w:rPr>
        <w:t>资格审查</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2.评标委员会对资格审查合格的投标人依据评审标准前附表对投标文件进行形式评审和响应性评审。</w:t>
      </w:r>
    </w:p>
    <w:p>
      <w:pPr>
        <w:adjustRightInd w:val="0"/>
        <w:snapToGrid w:val="0"/>
        <w:spacing w:line="360" w:lineRule="auto"/>
        <w:ind w:firstLine="420" w:firstLineChars="200"/>
        <w:rPr>
          <w:rFonts w:ascii="宋体" w:hAnsi="宋体"/>
          <w:szCs w:val="21"/>
        </w:rPr>
      </w:pPr>
      <w:r>
        <w:rPr>
          <w:rFonts w:hint="eastAsia" w:ascii="宋体" w:hAnsi="宋体"/>
          <w:szCs w:val="21"/>
        </w:rPr>
        <w:t>3.投标人有以下情形之一的，评标委员会将否决其投标：</w:t>
      </w:r>
    </w:p>
    <w:p>
      <w:pPr>
        <w:adjustRightInd w:val="0"/>
        <w:snapToGrid w:val="0"/>
        <w:spacing w:line="360" w:lineRule="auto"/>
        <w:ind w:firstLine="420" w:firstLineChars="200"/>
        <w:rPr>
          <w:rFonts w:ascii="宋体" w:hAnsi="宋体"/>
          <w:szCs w:val="21"/>
        </w:rPr>
      </w:pPr>
      <w:r>
        <w:rPr>
          <w:rFonts w:hint="eastAsia" w:ascii="宋体" w:hAnsi="宋体"/>
          <w:szCs w:val="21"/>
        </w:rPr>
        <w:t>（1）违反评审标准前附表规定的任何一种情形的；</w:t>
      </w:r>
    </w:p>
    <w:p>
      <w:pPr>
        <w:adjustRightInd w:val="0"/>
        <w:snapToGrid w:val="0"/>
        <w:spacing w:line="360" w:lineRule="auto"/>
        <w:ind w:firstLine="420" w:firstLineChars="200"/>
        <w:rPr>
          <w:rFonts w:ascii="宋体" w:hAnsi="宋体"/>
          <w:szCs w:val="21"/>
        </w:rPr>
      </w:pPr>
      <w:r>
        <w:rPr>
          <w:rFonts w:hint="eastAsia" w:ascii="宋体" w:hAnsi="宋体"/>
          <w:szCs w:val="21"/>
        </w:rPr>
        <w:t>（2）投标报价低于成本或高于招标文件设定的最高投标限价；</w:t>
      </w:r>
    </w:p>
    <w:p>
      <w:pPr>
        <w:adjustRightInd w:val="0"/>
        <w:snapToGrid w:val="0"/>
        <w:spacing w:line="360" w:lineRule="auto"/>
        <w:ind w:firstLine="420" w:firstLineChars="200"/>
        <w:rPr>
          <w:rFonts w:ascii="宋体" w:hAnsi="宋体"/>
          <w:szCs w:val="21"/>
        </w:rPr>
      </w:pPr>
      <w:r>
        <w:rPr>
          <w:rFonts w:hint="eastAsia" w:ascii="宋体" w:hAnsi="宋体"/>
          <w:szCs w:val="21"/>
        </w:rPr>
        <w:t>（3）投标文件没有对招标文件的实质性要求和条件作出响应；</w:t>
      </w:r>
    </w:p>
    <w:p>
      <w:pPr>
        <w:adjustRightInd w:val="0"/>
        <w:snapToGrid w:val="0"/>
        <w:spacing w:line="360" w:lineRule="auto"/>
        <w:ind w:firstLine="420" w:firstLineChars="200"/>
        <w:rPr>
          <w:rFonts w:ascii="宋体" w:hAnsi="宋体"/>
          <w:szCs w:val="21"/>
        </w:rPr>
      </w:pPr>
      <w:r>
        <w:rPr>
          <w:rFonts w:hint="eastAsia" w:ascii="宋体" w:hAnsi="宋体"/>
          <w:szCs w:val="21"/>
        </w:rPr>
        <w:t>（4）存在串通投标、弄虚作假、行贿以及其他违法行为的；</w:t>
      </w:r>
    </w:p>
    <w:p>
      <w:pPr>
        <w:adjustRightInd w:val="0"/>
        <w:snapToGrid w:val="0"/>
        <w:spacing w:line="360" w:lineRule="auto"/>
        <w:ind w:firstLine="420" w:firstLineChars="200"/>
        <w:rPr>
          <w:rFonts w:ascii="宋体" w:hAnsi="宋体"/>
          <w:szCs w:val="21"/>
        </w:rPr>
      </w:pPr>
      <w:r>
        <w:rPr>
          <w:rFonts w:hint="eastAsia" w:ascii="宋体" w:hAnsi="宋体"/>
          <w:szCs w:val="21"/>
        </w:rPr>
        <w:t>（5）不按评标委员会要求澄清、说明或补正的。</w:t>
      </w:r>
    </w:p>
    <w:p>
      <w:pPr>
        <w:adjustRightInd w:val="0"/>
        <w:snapToGrid w:val="0"/>
        <w:spacing w:line="360" w:lineRule="auto"/>
        <w:ind w:firstLine="420" w:firstLineChars="200"/>
        <w:rPr>
          <w:rFonts w:ascii="宋体" w:hAnsi="宋体"/>
          <w:szCs w:val="21"/>
        </w:rPr>
      </w:pPr>
      <w:r>
        <w:rPr>
          <w:rFonts w:hint="eastAsia" w:ascii="宋体" w:hAnsi="宋体"/>
          <w:szCs w:val="21"/>
        </w:rPr>
        <w:t>4.以下情况视为串通投标:</w:t>
      </w:r>
    </w:p>
    <w:p>
      <w:pPr>
        <w:adjustRightInd w:val="0"/>
        <w:snapToGrid w:val="0"/>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pPr>
        <w:adjustRightInd w:val="0"/>
        <w:snapToGrid w:val="0"/>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pPr>
        <w:adjustRightInd w:val="0"/>
        <w:snapToGrid w:val="0"/>
        <w:spacing w:line="360" w:lineRule="auto"/>
        <w:ind w:firstLine="420" w:firstLineChars="200"/>
        <w:rPr>
          <w:rFonts w:ascii="宋体" w:hAnsi="宋体"/>
          <w:szCs w:val="21"/>
        </w:rPr>
      </w:pPr>
      <w:r>
        <w:rPr>
          <w:rFonts w:hint="eastAsia" w:ascii="宋体" w:hAnsi="宋体"/>
          <w:szCs w:val="21"/>
        </w:rPr>
        <w:t>(3)不同投标人的投标文件载明的项目管理成员为同一人;</w:t>
      </w:r>
    </w:p>
    <w:p>
      <w:pPr>
        <w:adjustRightInd w:val="0"/>
        <w:snapToGrid w:val="0"/>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pPr>
        <w:adjustRightInd w:val="0"/>
        <w:snapToGrid w:val="0"/>
        <w:spacing w:line="360" w:lineRule="auto"/>
        <w:ind w:firstLine="420" w:firstLineChars="200"/>
        <w:rPr>
          <w:rFonts w:ascii="宋体" w:hAnsi="宋体"/>
          <w:szCs w:val="21"/>
        </w:rPr>
      </w:pPr>
      <w:r>
        <w:rPr>
          <w:rFonts w:hint="eastAsia" w:ascii="宋体" w:hAnsi="宋体"/>
          <w:szCs w:val="21"/>
        </w:rPr>
        <w:t>(5)不同投标人的投标文件相互混装;</w:t>
      </w:r>
    </w:p>
    <w:p>
      <w:pPr>
        <w:adjustRightInd w:val="0"/>
        <w:snapToGrid w:val="0"/>
        <w:spacing w:line="360" w:lineRule="auto"/>
        <w:ind w:firstLine="420" w:firstLineChars="200"/>
        <w:rPr>
          <w:rFonts w:ascii="宋体" w:hAnsi="宋体"/>
          <w:szCs w:val="21"/>
        </w:rPr>
      </w:pPr>
      <w:r>
        <w:rPr>
          <w:rFonts w:hint="eastAsia" w:ascii="宋体" w:hAnsi="宋体"/>
          <w:szCs w:val="21"/>
        </w:rPr>
        <w:t>(6)不同投标人的投标保证金从同一单位或者个人的账户转出。</w:t>
      </w:r>
    </w:p>
    <w:p>
      <w:pPr>
        <w:adjustRightInd w:val="0"/>
        <w:snapToGrid w:val="0"/>
        <w:spacing w:line="360" w:lineRule="auto"/>
        <w:ind w:firstLine="420" w:firstLineChars="200"/>
        <w:rPr>
          <w:rFonts w:ascii="宋体" w:hAnsi="宋体"/>
          <w:szCs w:val="21"/>
        </w:rPr>
      </w:pPr>
      <w:r>
        <w:rPr>
          <w:rFonts w:hint="eastAsia" w:ascii="宋体" w:hAnsi="宋体"/>
          <w:szCs w:val="21"/>
        </w:rPr>
        <w:t>5.以下情况属于弄虚作假行为:</w:t>
      </w:r>
    </w:p>
    <w:p>
      <w:pPr>
        <w:adjustRightInd w:val="0"/>
        <w:snapToGrid w:val="0"/>
        <w:spacing w:line="360" w:lineRule="auto"/>
        <w:ind w:firstLine="420" w:firstLineChars="200"/>
        <w:rPr>
          <w:rFonts w:ascii="宋体" w:hAnsi="宋体"/>
          <w:szCs w:val="21"/>
        </w:rPr>
      </w:pPr>
      <w:r>
        <w:rPr>
          <w:rFonts w:hint="eastAsia" w:ascii="宋体" w:hAnsi="宋体"/>
          <w:szCs w:val="21"/>
        </w:rPr>
        <w:t>(1)使用通过受让或者租借等方式获取的资格、资质证书投标的；</w:t>
      </w:r>
    </w:p>
    <w:p>
      <w:pPr>
        <w:adjustRightInd w:val="0"/>
        <w:snapToGrid w:val="0"/>
        <w:spacing w:line="360" w:lineRule="auto"/>
        <w:ind w:firstLine="420" w:firstLineChars="200"/>
        <w:rPr>
          <w:rFonts w:ascii="宋体" w:hAnsi="宋体"/>
          <w:szCs w:val="21"/>
        </w:rPr>
      </w:pPr>
      <w:r>
        <w:rPr>
          <w:rFonts w:hint="eastAsia" w:ascii="宋体" w:hAnsi="宋体"/>
          <w:szCs w:val="21"/>
        </w:rPr>
        <w:t>(2)使用伪造、变造的许可证件；</w:t>
      </w:r>
    </w:p>
    <w:p>
      <w:pPr>
        <w:adjustRightInd w:val="0"/>
        <w:snapToGrid w:val="0"/>
        <w:spacing w:line="360" w:lineRule="auto"/>
        <w:ind w:firstLine="420" w:firstLineChars="200"/>
        <w:rPr>
          <w:rFonts w:ascii="宋体" w:hAnsi="宋体"/>
          <w:szCs w:val="21"/>
        </w:rPr>
      </w:pPr>
      <w:r>
        <w:rPr>
          <w:rFonts w:hint="eastAsia" w:ascii="宋体" w:hAnsi="宋体"/>
          <w:szCs w:val="21"/>
        </w:rPr>
        <w:t>(3)提供虚假的财务状况或者业绩；</w:t>
      </w:r>
    </w:p>
    <w:p>
      <w:pPr>
        <w:adjustRightInd w:val="0"/>
        <w:snapToGrid w:val="0"/>
        <w:spacing w:line="360" w:lineRule="auto"/>
        <w:ind w:firstLine="420" w:firstLineChars="200"/>
        <w:rPr>
          <w:rFonts w:ascii="宋体" w:hAnsi="宋体"/>
          <w:szCs w:val="21"/>
        </w:rPr>
      </w:pPr>
      <w:r>
        <w:rPr>
          <w:rFonts w:hint="eastAsia" w:ascii="宋体" w:hAnsi="宋体"/>
          <w:szCs w:val="21"/>
        </w:rPr>
        <w:t>(4)提供虚假的项目负责人或者主要技术人员简历、劳动关系证明；</w:t>
      </w:r>
    </w:p>
    <w:p>
      <w:pPr>
        <w:adjustRightInd w:val="0"/>
        <w:snapToGrid w:val="0"/>
        <w:spacing w:line="360" w:lineRule="auto"/>
        <w:ind w:firstLine="420" w:firstLineChars="200"/>
        <w:rPr>
          <w:rFonts w:ascii="宋体" w:hAnsi="宋体"/>
          <w:szCs w:val="21"/>
        </w:rPr>
      </w:pPr>
      <w:r>
        <w:rPr>
          <w:rFonts w:hint="eastAsia" w:ascii="宋体" w:hAnsi="宋体"/>
          <w:szCs w:val="21"/>
        </w:rPr>
        <w:t>(5)提供虚假的信用状况；</w:t>
      </w:r>
    </w:p>
    <w:p>
      <w:pPr>
        <w:adjustRightInd w:val="0"/>
        <w:snapToGrid w:val="0"/>
        <w:spacing w:line="360" w:lineRule="auto"/>
        <w:ind w:firstLine="420" w:firstLineChars="200"/>
        <w:rPr>
          <w:rFonts w:ascii="宋体" w:hAnsi="宋体"/>
          <w:szCs w:val="21"/>
        </w:rPr>
      </w:pPr>
      <w:r>
        <w:rPr>
          <w:rFonts w:hint="eastAsia" w:ascii="宋体" w:hAnsi="宋体"/>
          <w:szCs w:val="21"/>
        </w:rPr>
        <w:t>(6)其他弄虚作假的行为。</w:t>
      </w:r>
    </w:p>
    <w:p>
      <w:pPr>
        <w:adjustRightInd w:val="0"/>
        <w:snapToGrid w:val="0"/>
        <w:spacing w:line="360" w:lineRule="auto"/>
        <w:ind w:firstLine="420" w:firstLineChars="200"/>
        <w:rPr>
          <w:rFonts w:ascii="宋体" w:hAnsi="宋体"/>
          <w:szCs w:val="21"/>
        </w:rPr>
      </w:pPr>
      <w:r>
        <w:rPr>
          <w:rFonts w:hint="eastAsia" w:ascii="宋体" w:hAnsi="宋体"/>
          <w:szCs w:val="21"/>
        </w:rPr>
        <w:t>6.投标报价有算术错误的，评标委员会按以下原则对投标报价进行修正，修正的价格经投标人书面确认后具有约束力。投标人不接受修正价格的，评标委员会将否决其投标。</w:t>
      </w:r>
    </w:p>
    <w:p>
      <w:pPr>
        <w:adjustRightInd w:val="0"/>
        <w:snapToGrid w:val="0"/>
        <w:spacing w:line="360" w:lineRule="auto"/>
        <w:ind w:firstLine="420" w:firstLineChars="200"/>
        <w:rPr>
          <w:rFonts w:ascii="宋体" w:hAnsi="宋体"/>
          <w:szCs w:val="21"/>
        </w:rPr>
      </w:pPr>
      <w:r>
        <w:rPr>
          <w:rFonts w:hint="eastAsia" w:ascii="宋体" w:hAnsi="宋体"/>
          <w:szCs w:val="21"/>
        </w:rPr>
        <w:t>（1）投标文件中的大写金额与小写金额不一致的，以大写金额为准；</w:t>
      </w:r>
    </w:p>
    <w:p>
      <w:pPr>
        <w:adjustRightInd w:val="0"/>
        <w:snapToGrid w:val="0"/>
        <w:spacing w:line="360" w:lineRule="auto"/>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pPr>
        <w:pStyle w:val="50"/>
      </w:pPr>
      <w:r>
        <w:rPr>
          <w:rFonts w:hint="eastAsia"/>
        </w:rPr>
        <w:t>（二）详细评审</w:t>
      </w:r>
    </w:p>
    <w:p>
      <w:pPr>
        <w:adjustRightInd w:val="0"/>
        <w:snapToGrid w:val="0"/>
        <w:spacing w:line="360" w:lineRule="auto"/>
        <w:ind w:firstLine="420" w:firstLineChars="200"/>
        <w:rPr>
          <w:rFonts w:ascii="宋体" w:hAnsi="宋体"/>
          <w:szCs w:val="21"/>
        </w:rPr>
      </w:pPr>
      <w:r>
        <w:rPr>
          <w:rFonts w:hint="eastAsia" w:ascii="宋体" w:hAnsi="宋体"/>
          <w:szCs w:val="21"/>
        </w:rPr>
        <w:t>1.评标委员会将通过初步评审的投标报价（不含税价）由低到高依次排出名次。</w:t>
      </w:r>
    </w:p>
    <w:p>
      <w:pPr>
        <w:adjustRightInd w:val="0"/>
        <w:snapToGrid w:val="0"/>
        <w:spacing w:line="360" w:lineRule="auto"/>
        <w:ind w:firstLine="525" w:firstLineChars="250"/>
        <w:rPr>
          <w:rFonts w:ascii="宋体" w:hAnsi="宋体"/>
          <w:szCs w:val="21"/>
        </w:rPr>
      </w:pPr>
      <w:r>
        <w:rPr>
          <w:rFonts w:hint="eastAsia" w:ascii="宋体" w:hAnsi="宋体"/>
          <w:szCs w:val="21"/>
        </w:rPr>
        <w:t>2.投标价相等时，可从评审标准前附表中依次按下列评审要素顺序进行排名：</w:t>
      </w:r>
    </w:p>
    <w:p>
      <w:pPr>
        <w:adjustRightInd w:val="0"/>
        <w:snapToGrid w:val="0"/>
        <w:spacing w:line="360" w:lineRule="auto"/>
        <w:ind w:firstLine="525" w:firstLineChars="250"/>
        <w:rPr>
          <w:rFonts w:ascii="宋体" w:hAnsi="宋体"/>
          <w:szCs w:val="21"/>
        </w:rPr>
      </w:pPr>
      <w:r>
        <w:rPr>
          <w:rFonts w:hint="eastAsia" w:ascii="宋体" w:hAnsi="宋体"/>
          <w:szCs w:val="21"/>
        </w:rPr>
        <w:t>①技术要求响应；②质保期。</w:t>
      </w:r>
    </w:p>
    <w:p>
      <w:pPr>
        <w:adjustRightInd w:val="0"/>
        <w:snapToGrid w:val="0"/>
        <w:spacing w:line="360" w:lineRule="auto"/>
        <w:ind w:firstLine="525" w:firstLineChars="250"/>
        <w:rPr>
          <w:rFonts w:ascii="宋体" w:hAnsi="宋体"/>
          <w:szCs w:val="21"/>
        </w:rPr>
      </w:pPr>
      <w:r>
        <w:rPr>
          <w:rFonts w:hint="eastAsia" w:ascii="宋体" w:hAnsi="宋体"/>
          <w:szCs w:val="21"/>
        </w:rPr>
        <w:t>3.评标委员会发现投标人的报价明显低于其他投标报价，或者在设有最高投标限价时明显低于最高投标限价，使得其投标报价可能低于其成本的，应当要求该投标人作出书面说明并提供相应的证明材料。投标人不能合理说明或者不能提供相应证明材料的，由评标委员会认定该投标人以低于成本报价竞标，评标委员会将否决其投标。</w:t>
      </w:r>
    </w:p>
    <w:p>
      <w:pPr>
        <w:pStyle w:val="50"/>
      </w:pPr>
      <w:r>
        <w:rPr>
          <w:rFonts w:hint="eastAsia"/>
        </w:rPr>
        <w:t>（三）投标文件的澄清和补正</w:t>
      </w:r>
    </w:p>
    <w:p>
      <w:pPr>
        <w:adjustRightInd w:val="0"/>
        <w:snapToGrid w:val="0"/>
        <w:spacing w:line="360" w:lineRule="auto"/>
        <w:ind w:firstLine="420" w:firstLineChars="200"/>
        <w:rPr>
          <w:rFonts w:ascii="宋体" w:hAnsi="宋体"/>
          <w:szCs w:val="21"/>
        </w:rPr>
      </w:pPr>
      <w:r>
        <w:rPr>
          <w:rFonts w:hint="eastAsia" w:ascii="宋体" w:hAnsi="宋体"/>
          <w:szCs w:val="21"/>
        </w:rPr>
        <w:t>1.在评标过程中，评标委员会可以书面形式要求投标人对所提交的投标文件中不明确的内容进行书面澄清或说明，或者对细微偏差进行补正。评标委员会不接受投标人主动提出的澄清、说明或补正。</w:t>
      </w:r>
    </w:p>
    <w:p>
      <w:pPr>
        <w:adjustRightInd w:val="0"/>
        <w:snapToGrid w:val="0"/>
        <w:spacing w:line="360" w:lineRule="auto"/>
        <w:ind w:firstLine="420" w:firstLineChars="200"/>
        <w:rPr>
          <w:rFonts w:ascii="宋体" w:hAnsi="宋体"/>
          <w:szCs w:val="21"/>
        </w:rPr>
      </w:pPr>
      <w:r>
        <w:rPr>
          <w:rFonts w:hint="eastAsia" w:ascii="宋体" w:hAnsi="宋体"/>
          <w:szCs w:val="21"/>
        </w:rPr>
        <w:t>2. 澄清、说明和补正不得改变投标文件的实质性内容（算术性错误修正的除外）。投标人的书面澄清、说明和补正属于投标文件的组成部分。</w:t>
      </w:r>
    </w:p>
    <w:p>
      <w:pPr>
        <w:adjustRightInd w:val="0"/>
        <w:snapToGrid w:val="0"/>
        <w:spacing w:line="360" w:lineRule="auto"/>
        <w:ind w:firstLine="420" w:firstLineChars="200"/>
        <w:rPr>
          <w:rFonts w:ascii="宋体" w:hAnsi="宋体"/>
          <w:szCs w:val="21"/>
        </w:rPr>
      </w:pPr>
      <w:r>
        <w:rPr>
          <w:rFonts w:hint="eastAsia" w:ascii="宋体" w:hAnsi="宋体"/>
          <w:szCs w:val="21"/>
        </w:rPr>
        <w:t>3. 评标委员会对投标人提交的澄清、说明或补正有疑问的，可以要求投标人进一步澄清、说明或补正，直至满足评标委员会的要求。</w:t>
      </w:r>
    </w:p>
    <w:p>
      <w:pPr>
        <w:pStyle w:val="50"/>
        <w:rPr>
          <w:bCs w:val="0"/>
        </w:rPr>
      </w:pPr>
      <w:r>
        <w:rPr>
          <w:rFonts w:hint="eastAsia"/>
        </w:rPr>
        <w:t>（四）中标候选人的推荐</w:t>
      </w:r>
    </w:p>
    <w:p>
      <w:pPr>
        <w:adjustRightInd w:val="0"/>
        <w:snapToGrid w:val="0"/>
        <w:spacing w:line="360" w:lineRule="auto"/>
        <w:ind w:firstLine="420" w:firstLineChars="200"/>
        <w:rPr>
          <w:rFonts w:ascii="宋体" w:hAnsi="宋体"/>
          <w:szCs w:val="21"/>
        </w:rPr>
      </w:pPr>
      <w:r>
        <w:rPr>
          <w:rFonts w:hint="eastAsia" w:ascii="宋体" w:hAnsi="宋体"/>
          <w:szCs w:val="21"/>
        </w:rPr>
        <w:t>评标委员会根据评标结果，写出评标报告，有效投标人为3家时，推荐2名中标候选人，有效投标人超过3家时，推荐3名中标候选人，并标明排序。</w:t>
      </w:r>
    </w:p>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br w:type="page"/>
      </w:r>
    </w:p>
    <w:p>
      <w:pPr>
        <w:pStyle w:val="40"/>
      </w:pPr>
      <w:bookmarkStart w:id="37" w:name="_Toc6799"/>
      <w:r>
        <w:rPr>
          <w:rFonts w:hint="eastAsia"/>
        </w:rPr>
        <w:t>第四部分合同主要条款</w:t>
      </w:r>
      <w:bookmarkEnd w:id="37"/>
    </w:p>
    <w:p>
      <w:pPr>
        <w:snapToGrid w:val="0"/>
        <w:spacing w:line="360" w:lineRule="auto"/>
        <w:ind w:firstLine="5460" w:firstLineChars="2600"/>
        <w:jc w:val="left"/>
        <w:rPr>
          <w:rFonts w:ascii="宋体" w:hAnsi="宋体" w:cs="宋体"/>
          <w:kern w:val="0"/>
          <w:szCs w:val="21"/>
        </w:rPr>
      </w:pPr>
      <w:bookmarkStart w:id="38" w:name="_Toc453593213"/>
      <w:r>
        <w:rPr>
          <w:rFonts w:hint="eastAsia" w:ascii="宋体" w:hAnsi="宋体" w:cs="宋体"/>
          <w:kern w:val="0"/>
          <w:szCs w:val="21"/>
        </w:rPr>
        <w:t>合同编号：</w:t>
      </w:r>
    </w:p>
    <w:p>
      <w:pPr>
        <w:snapToGrid w:val="0"/>
        <w:spacing w:line="360" w:lineRule="auto"/>
        <w:ind w:firstLine="5460" w:firstLineChars="2600"/>
        <w:jc w:val="left"/>
        <w:rPr>
          <w:rFonts w:ascii="Calibri" w:hAnsi="Calibri"/>
          <w:b/>
          <w:szCs w:val="21"/>
        </w:rPr>
      </w:pPr>
      <w:r>
        <w:rPr>
          <w:rFonts w:hint="eastAsia" w:ascii="宋体" w:hAnsi="宋体" w:cs="宋体"/>
          <w:kern w:val="0"/>
          <w:szCs w:val="21"/>
        </w:rPr>
        <w:t>本合同共   页</w:t>
      </w:r>
    </w:p>
    <w:p>
      <w:pPr>
        <w:snapToGrid w:val="0"/>
        <w:spacing w:line="360" w:lineRule="auto"/>
        <w:jc w:val="center"/>
        <w:rPr>
          <w:rFonts w:ascii="Calibri" w:hAnsi="Calibri"/>
          <w:b/>
          <w:szCs w:val="21"/>
        </w:rPr>
      </w:pPr>
    </w:p>
    <w:p>
      <w:pPr>
        <w:snapToGrid w:val="0"/>
        <w:spacing w:afterLines="50" w:line="360" w:lineRule="auto"/>
        <w:jc w:val="center"/>
        <w:rPr>
          <w:rFonts w:ascii="Calibri" w:hAnsi="Calibri"/>
          <w:b/>
          <w:sz w:val="32"/>
          <w:szCs w:val="32"/>
        </w:rPr>
      </w:pPr>
      <w:r>
        <w:rPr>
          <w:rFonts w:hint="eastAsia" w:ascii="Calibri" w:hAnsi="Calibri"/>
          <w:b/>
          <w:sz w:val="32"/>
          <w:szCs w:val="32"/>
        </w:rPr>
        <w:t>滤棒搭口胶集中制冷装置维修合同</w:t>
      </w:r>
    </w:p>
    <w:p>
      <w:pPr>
        <w:snapToGrid w:val="0"/>
        <w:spacing w:line="360" w:lineRule="auto"/>
        <w:jc w:val="left"/>
        <w:rPr>
          <w:rFonts w:ascii="宋体" w:hAnsi="宋体" w:cs="宋体"/>
          <w:color w:val="000000"/>
          <w:kern w:val="0"/>
          <w:szCs w:val="21"/>
        </w:rPr>
      </w:pPr>
      <w:r>
        <w:rPr>
          <w:rFonts w:hint="eastAsia" w:ascii="宋体" w:hAnsi="宋体"/>
          <w:szCs w:val="21"/>
        </w:rPr>
        <w:t xml:space="preserve">甲方：山东中烟工业有限责任公司               </w:t>
      </w:r>
      <w:r>
        <w:rPr>
          <w:rFonts w:hint="eastAsia" w:ascii="宋体" w:hAnsi="宋体" w:cs="宋体"/>
          <w:kern w:val="0"/>
          <w:szCs w:val="21"/>
        </w:rPr>
        <w:t>法定代表人：</w:t>
      </w:r>
      <w:r>
        <w:rPr>
          <w:rFonts w:hint="eastAsia" w:ascii="宋体" w:hAnsi="宋体" w:cs="宋体"/>
          <w:color w:val="000000"/>
          <w:kern w:val="0"/>
          <w:szCs w:val="21"/>
        </w:rPr>
        <w:t xml:space="preserve">王建勇 </w:t>
      </w:r>
    </w:p>
    <w:p>
      <w:pPr>
        <w:snapToGrid w:val="0"/>
        <w:spacing w:line="360" w:lineRule="auto"/>
        <w:rPr>
          <w:rFonts w:ascii="宋体" w:hAnsi="宋体" w:cs="宋体"/>
          <w:color w:val="000000"/>
          <w:kern w:val="0"/>
          <w:szCs w:val="21"/>
        </w:rPr>
      </w:pPr>
      <w:r>
        <w:rPr>
          <w:rFonts w:hint="eastAsia" w:ascii="宋体" w:hAnsi="宋体" w:cs="宋体"/>
          <w:color w:val="000000"/>
          <w:kern w:val="0"/>
          <w:szCs w:val="21"/>
        </w:rPr>
        <w:t>住所：</w:t>
      </w:r>
      <w:r>
        <w:rPr>
          <w:rFonts w:hint="eastAsia" w:ascii="宋体" w:hAnsi="宋体"/>
          <w:bCs/>
          <w:color w:val="000000"/>
          <w:szCs w:val="21"/>
        </w:rPr>
        <w:t>山东省济南市历下区经十路11888号</w:t>
      </w:r>
    </w:p>
    <w:p>
      <w:pPr>
        <w:snapToGrid w:val="0"/>
        <w:spacing w:line="360" w:lineRule="auto"/>
        <w:rPr>
          <w:rFonts w:ascii="宋体" w:hAnsi="宋体" w:cs="宋体"/>
          <w:kern w:val="0"/>
          <w:szCs w:val="21"/>
        </w:rPr>
      </w:pPr>
      <w:r>
        <w:rPr>
          <w:rFonts w:hint="eastAsia" w:ascii="宋体" w:hAnsi="宋体"/>
          <w:szCs w:val="21"/>
        </w:rPr>
        <w:t xml:space="preserve">乙方：                       </w:t>
      </w:r>
      <w:r>
        <w:rPr>
          <w:rFonts w:hint="eastAsia" w:ascii="宋体" w:hAnsi="宋体" w:cs="宋体"/>
          <w:kern w:val="0"/>
          <w:szCs w:val="21"/>
        </w:rPr>
        <w:t>法定代表人：</w:t>
      </w:r>
    </w:p>
    <w:p>
      <w:pPr>
        <w:snapToGrid w:val="0"/>
        <w:spacing w:line="360" w:lineRule="auto"/>
        <w:rPr>
          <w:rFonts w:ascii="宋体" w:hAnsi="宋体"/>
          <w:szCs w:val="21"/>
        </w:rPr>
      </w:pPr>
      <w:r>
        <w:rPr>
          <w:rFonts w:hint="eastAsia" w:ascii="宋体" w:hAnsi="宋体" w:cs="宋体"/>
          <w:color w:val="000000"/>
          <w:kern w:val="0"/>
          <w:szCs w:val="21"/>
        </w:rPr>
        <w:t>住所：</w:t>
      </w:r>
    </w:p>
    <w:p>
      <w:pPr>
        <w:snapToGrid w:val="0"/>
        <w:spacing w:line="360" w:lineRule="auto"/>
        <w:ind w:firstLine="411" w:firstLineChars="196"/>
        <w:rPr>
          <w:rFonts w:ascii="宋体" w:hAnsi="宋体"/>
          <w:szCs w:val="21"/>
        </w:rPr>
      </w:pPr>
      <w:r>
        <w:rPr>
          <w:rFonts w:hint="eastAsia" w:ascii="宋体" w:hAnsi="宋体"/>
          <w:szCs w:val="21"/>
        </w:rPr>
        <w:t>山东中烟工业有限责任公司青州卷烟厂</w:t>
      </w:r>
      <w:r>
        <w:rPr>
          <w:rFonts w:ascii="宋体" w:hAnsi="宋体"/>
          <w:szCs w:val="21"/>
        </w:rPr>
        <w:t>对</w:t>
      </w:r>
      <w:r>
        <w:rPr>
          <w:rFonts w:hint="eastAsia" w:ascii="宋体" w:hAnsi="宋体"/>
          <w:szCs w:val="21"/>
        </w:rPr>
        <w:t>项目进行了公开</w:t>
      </w:r>
      <w:r>
        <w:rPr>
          <w:rFonts w:hint="eastAsia" w:ascii="宋体" w:hAnsi="宋体"/>
          <w:szCs w:val="21"/>
          <w:u w:val="single"/>
        </w:rPr>
        <w:t>招标</w:t>
      </w:r>
      <w:r>
        <w:rPr>
          <w:rFonts w:ascii="宋体" w:hAnsi="宋体"/>
          <w:szCs w:val="21"/>
        </w:rPr>
        <w:t>，经评审确定</w:t>
      </w:r>
      <w:r>
        <w:rPr>
          <w:rFonts w:ascii="宋体" w:hAnsi="宋体"/>
          <w:szCs w:val="21"/>
          <w:u w:val="single"/>
        </w:rPr>
        <w:t>（</w:t>
      </w:r>
      <w:r>
        <w:rPr>
          <w:rFonts w:hint="eastAsia" w:ascii="宋体" w:hAnsi="宋体"/>
          <w:szCs w:val="21"/>
          <w:u w:val="single"/>
        </w:rPr>
        <w:t>乙方</w:t>
      </w:r>
      <w:r>
        <w:rPr>
          <w:rFonts w:ascii="宋体" w:hAnsi="宋体"/>
          <w:szCs w:val="21"/>
          <w:u w:val="single"/>
        </w:rPr>
        <w:t>）</w:t>
      </w:r>
      <w:r>
        <w:rPr>
          <w:rFonts w:ascii="宋体" w:hAnsi="宋体"/>
          <w:szCs w:val="21"/>
        </w:rPr>
        <w:t>为</w:t>
      </w:r>
      <w:r>
        <w:rPr>
          <w:rFonts w:hint="eastAsia" w:ascii="宋体" w:hAnsi="宋体"/>
          <w:szCs w:val="21"/>
          <w:u w:val="single"/>
        </w:rPr>
        <w:t>中标</w:t>
      </w:r>
      <w:r>
        <w:rPr>
          <w:rFonts w:ascii="宋体" w:hAnsi="宋体"/>
          <w:szCs w:val="21"/>
        </w:rPr>
        <w:t>单位。根据</w:t>
      </w:r>
      <w:r>
        <w:rPr>
          <w:rFonts w:ascii="宋体" w:hAnsi="宋体"/>
          <w:szCs w:val="21"/>
          <w:u w:val="single"/>
        </w:rPr>
        <w:t>招标投标文件</w:t>
      </w:r>
      <w:r>
        <w:rPr>
          <w:rFonts w:hint="eastAsia" w:ascii="宋体" w:hAnsi="宋体"/>
          <w:szCs w:val="21"/>
        </w:rPr>
        <w:t>及相关法律</w:t>
      </w:r>
      <w:r>
        <w:rPr>
          <w:rFonts w:ascii="宋体" w:hAnsi="宋体"/>
          <w:szCs w:val="21"/>
        </w:rPr>
        <w:t>，双方同意按照</w:t>
      </w:r>
      <w:r>
        <w:rPr>
          <w:rFonts w:hint="eastAsia" w:ascii="宋体" w:hAnsi="宋体"/>
          <w:szCs w:val="21"/>
        </w:rPr>
        <w:t>以下</w:t>
      </w:r>
      <w:r>
        <w:rPr>
          <w:rFonts w:ascii="宋体" w:hAnsi="宋体"/>
          <w:szCs w:val="21"/>
        </w:rPr>
        <w:t>条款和条件，签署本合同。</w:t>
      </w:r>
    </w:p>
    <w:p>
      <w:pPr>
        <w:adjustRightInd w:val="0"/>
        <w:snapToGrid w:val="0"/>
        <w:spacing w:line="360" w:lineRule="auto"/>
        <w:ind w:right="105" w:rightChars="50" w:firstLine="422" w:firstLineChars="200"/>
        <w:rPr>
          <w:rFonts w:ascii="宋体" w:hAnsi="宋体"/>
          <w:szCs w:val="21"/>
        </w:rPr>
      </w:pPr>
      <w:r>
        <w:rPr>
          <w:rFonts w:ascii="宋体" w:hAnsi="宋体"/>
          <w:b/>
          <w:szCs w:val="21"/>
        </w:rPr>
        <w:t>第一条</w:t>
      </w:r>
      <w:r>
        <w:rPr>
          <w:rFonts w:hint="eastAsia" w:ascii="宋体" w:hAnsi="宋体"/>
          <w:b/>
          <w:szCs w:val="21"/>
        </w:rPr>
        <w:t>合同文件及解释顺序</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1．本合同书及其附件；</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3．招标文件；</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4．乙方投标文件；</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5．标准、规范及有关技术文件。</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在本合同履行过程中，双方有关洽商、变更等书面协议或文件视为本合同的组成部分，并优先于上述解释顺序。</w:t>
      </w:r>
    </w:p>
    <w:p>
      <w:pPr>
        <w:adjustRightInd w:val="0"/>
        <w:snapToGrid w:val="0"/>
        <w:spacing w:line="360" w:lineRule="auto"/>
        <w:ind w:right="105" w:rightChars="50" w:firstLine="406" w:firstLineChars="200"/>
        <w:rPr>
          <w:rFonts w:ascii="宋体" w:hAnsi="宋体"/>
          <w:b/>
          <w:bCs/>
          <w:spacing w:val="-4"/>
          <w:szCs w:val="21"/>
        </w:rPr>
      </w:pPr>
      <w:r>
        <w:rPr>
          <w:rFonts w:hint="eastAsia" w:ascii="宋体" w:hAnsi="宋体"/>
          <w:b/>
          <w:bCs/>
          <w:spacing w:val="-4"/>
          <w:szCs w:val="21"/>
        </w:rPr>
        <w:t>第二条  项目内容及要求</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 项目名称：</w:t>
      </w:r>
      <w:r>
        <w:rPr>
          <w:rFonts w:hint="eastAsia" w:ascii="宋体" w:hAnsi="宋体"/>
          <w:szCs w:val="21"/>
          <w:u w:val="single"/>
        </w:rPr>
        <w:t>滤棒搭口胶集中制冷装置维修项目</w:t>
      </w:r>
      <w:r>
        <w:rPr>
          <w:rFonts w:hint="eastAsia" w:ascii="宋体" w:hAnsi="宋体"/>
          <w:szCs w:val="21"/>
        </w:rPr>
        <w:t>。</w:t>
      </w:r>
    </w:p>
    <w:p>
      <w:pPr>
        <w:tabs>
          <w:tab w:val="right" w:leader="middleDot" w:pos="8222"/>
        </w:tabs>
        <w:adjustRightInd w:val="0"/>
        <w:snapToGrid w:val="0"/>
        <w:spacing w:line="360" w:lineRule="auto"/>
        <w:ind w:right="105" w:rightChars="50" w:firstLine="404" w:firstLineChars="200"/>
        <w:rPr>
          <w:rFonts w:ascii="宋体" w:hAnsi="宋体"/>
          <w:szCs w:val="21"/>
        </w:rPr>
      </w:pPr>
      <w:r>
        <w:rPr>
          <w:rFonts w:hint="eastAsia" w:ascii="宋体" w:hAnsi="宋体"/>
          <w:bCs/>
          <w:spacing w:val="-4"/>
          <w:szCs w:val="21"/>
        </w:rPr>
        <w:t>2．项目内容：</w:t>
      </w:r>
      <w:r>
        <w:rPr>
          <w:rFonts w:hint="eastAsia" w:ascii="宋体" w:hAnsi="宋体"/>
          <w:bCs/>
          <w:spacing w:val="-4"/>
          <w:szCs w:val="21"/>
          <w:u w:val="single"/>
        </w:rPr>
        <w:t>见招标文件第五部分《项目需求及技术要求》</w:t>
      </w:r>
      <w:r>
        <w:rPr>
          <w:rFonts w:hint="eastAsia" w:ascii="宋体" w:hAnsi="宋体"/>
          <w:iCs/>
          <w:szCs w:val="21"/>
        </w:rPr>
        <w:t>。</w:t>
      </w:r>
    </w:p>
    <w:p>
      <w:pPr>
        <w:tabs>
          <w:tab w:val="right" w:leader="middleDot" w:pos="8222"/>
        </w:tabs>
        <w:adjustRightInd w:val="0"/>
        <w:snapToGrid w:val="0"/>
        <w:spacing w:line="360" w:lineRule="auto"/>
        <w:ind w:right="105" w:rightChars="50" w:firstLine="404" w:firstLineChars="200"/>
        <w:rPr>
          <w:rFonts w:ascii="宋体" w:hAnsi="宋体"/>
          <w:iCs/>
          <w:szCs w:val="21"/>
        </w:rPr>
      </w:pPr>
      <w:r>
        <w:rPr>
          <w:rFonts w:hint="eastAsia" w:ascii="宋体" w:hAnsi="宋体"/>
          <w:bCs/>
          <w:color w:val="000000"/>
          <w:spacing w:val="-4"/>
          <w:szCs w:val="21"/>
        </w:rPr>
        <w:t>3．项目要求：</w:t>
      </w:r>
      <w:r>
        <w:rPr>
          <w:rFonts w:hint="eastAsia" w:ascii="宋体" w:hAnsi="宋体"/>
          <w:bCs/>
          <w:spacing w:val="-4"/>
          <w:szCs w:val="21"/>
          <w:u w:val="single"/>
        </w:rPr>
        <w:t>见招标文件第五部分《项目需求及技术要求》</w:t>
      </w:r>
      <w:r>
        <w:rPr>
          <w:rFonts w:hint="eastAsia" w:ascii="宋体" w:hAnsi="宋体"/>
          <w:iCs/>
          <w:szCs w:val="21"/>
        </w:rPr>
        <w:t>。</w:t>
      </w:r>
    </w:p>
    <w:p>
      <w:pPr>
        <w:tabs>
          <w:tab w:val="right" w:leader="middleDot" w:pos="8222"/>
        </w:tabs>
        <w:adjustRightInd w:val="0"/>
        <w:snapToGrid w:val="0"/>
        <w:spacing w:line="360" w:lineRule="auto"/>
        <w:ind w:right="105" w:rightChars="50" w:firstLine="422" w:firstLineChars="200"/>
        <w:rPr>
          <w:rFonts w:ascii="宋体" w:hAnsi="宋体"/>
          <w:b/>
          <w:bCs/>
          <w:szCs w:val="21"/>
        </w:rPr>
      </w:pPr>
      <w:r>
        <w:rPr>
          <w:rFonts w:hint="eastAsia" w:ascii="宋体" w:hAnsi="宋体"/>
          <w:b/>
          <w:bCs/>
          <w:szCs w:val="21"/>
        </w:rPr>
        <w:t>第三条  合同价款</w:t>
      </w:r>
    </w:p>
    <w:p>
      <w:pPr>
        <w:adjustRightInd w:val="0"/>
        <w:snapToGrid w:val="0"/>
        <w:spacing w:line="360" w:lineRule="auto"/>
        <w:ind w:right="105" w:rightChars="50" w:firstLine="404" w:firstLineChars="200"/>
        <w:rPr>
          <w:rFonts w:ascii="宋体" w:hAnsi="宋体"/>
          <w:bCs/>
          <w:color w:val="FF0000"/>
          <w:spacing w:val="-4"/>
          <w:szCs w:val="21"/>
        </w:rPr>
      </w:pPr>
      <w:r>
        <w:rPr>
          <w:rFonts w:hint="eastAsia" w:ascii="宋体" w:hAnsi="宋体"/>
          <w:bCs/>
          <w:spacing w:val="-4"/>
          <w:szCs w:val="21"/>
        </w:rPr>
        <w:t>1. 项目总价</w:t>
      </w:r>
      <w:r>
        <w:rPr>
          <w:rFonts w:ascii="宋体" w:hAnsi="宋体"/>
          <w:bCs/>
          <w:spacing w:val="-4"/>
          <w:szCs w:val="21"/>
        </w:rPr>
        <w:t>固定，</w:t>
      </w:r>
      <w:r>
        <w:rPr>
          <w:rFonts w:hint="eastAsia" w:ascii="宋体" w:hAnsi="宋体"/>
          <w:bCs/>
          <w:spacing w:val="-4"/>
          <w:szCs w:val="21"/>
        </w:rPr>
        <w:t>结算</w:t>
      </w:r>
      <w:r>
        <w:rPr>
          <w:rFonts w:ascii="宋体" w:hAnsi="宋体"/>
          <w:bCs/>
          <w:spacing w:val="-4"/>
          <w:szCs w:val="21"/>
        </w:rPr>
        <w:t>时不再调整，项目含税价款</w:t>
      </w:r>
      <w:r>
        <w:rPr>
          <w:rFonts w:hint="eastAsia" w:ascii="宋体" w:hAnsi="宋体"/>
          <w:bCs/>
          <w:spacing w:val="-4"/>
          <w:szCs w:val="21"/>
        </w:rPr>
        <w:t>为人民币元（含增值税%），大写：；不</w:t>
      </w:r>
      <w:r>
        <w:rPr>
          <w:rFonts w:ascii="宋体" w:hAnsi="宋体"/>
          <w:bCs/>
          <w:spacing w:val="-4"/>
          <w:szCs w:val="21"/>
        </w:rPr>
        <w:t>含税价款</w:t>
      </w:r>
      <w:r>
        <w:rPr>
          <w:rFonts w:hint="eastAsia" w:ascii="宋体" w:hAnsi="宋体"/>
          <w:bCs/>
          <w:spacing w:val="-4"/>
          <w:szCs w:val="21"/>
        </w:rPr>
        <w:t>为人民币元，大写。</w:t>
      </w:r>
      <w:r>
        <w:rPr>
          <w:rFonts w:hint="eastAsia" w:ascii="宋体" w:hAnsi="宋体"/>
          <w:szCs w:val="21"/>
        </w:rPr>
        <w:t>价格明细如下表：</w:t>
      </w:r>
    </w:p>
    <w:p>
      <w:pPr>
        <w:adjustRightInd w:val="0"/>
        <w:snapToGrid w:val="0"/>
        <w:spacing w:line="360" w:lineRule="auto"/>
        <w:ind w:right="105" w:rightChars="50" w:firstLine="404" w:firstLineChars="200"/>
        <w:rPr>
          <w:rFonts w:ascii="宋体" w:hAnsi="宋体"/>
          <w:bCs/>
          <w:spacing w:val="-4"/>
          <w:szCs w:val="21"/>
        </w:rPr>
      </w:pPr>
      <w:r>
        <w:rPr>
          <w:rFonts w:hint="eastAsia" w:ascii="宋体" w:hAnsi="宋体"/>
          <w:bCs/>
          <w:spacing w:val="-4"/>
          <w:szCs w:val="21"/>
        </w:rPr>
        <w:t>2. 项目总费用包含但不限于乙方为完成本合同约定事项所发生的成本、利润、税金、保险、运费、差旅食宿等全部费用（不含本合同明确约定由甲方承担的费用）。</w:t>
      </w:r>
    </w:p>
    <w:p>
      <w:pPr>
        <w:adjustRightInd w:val="0"/>
        <w:snapToGrid w:val="0"/>
        <w:spacing w:line="360" w:lineRule="auto"/>
        <w:ind w:right="105" w:rightChars="50" w:firstLine="406" w:firstLineChars="200"/>
        <w:rPr>
          <w:rFonts w:ascii="宋体" w:hAnsi="宋体"/>
          <w:b/>
          <w:bCs/>
          <w:spacing w:val="-4"/>
          <w:szCs w:val="21"/>
        </w:rPr>
      </w:pPr>
      <w:r>
        <w:rPr>
          <w:rFonts w:hint="eastAsia" w:ascii="宋体" w:hAnsi="宋体"/>
          <w:b/>
          <w:bCs/>
          <w:spacing w:val="-4"/>
          <w:szCs w:val="21"/>
        </w:rPr>
        <w:t>第四条  维修方式、期限、履行地点</w:t>
      </w:r>
    </w:p>
    <w:p>
      <w:pPr>
        <w:adjustRightInd w:val="0"/>
        <w:snapToGrid w:val="0"/>
        <w:spacing w:line="360" w:lineRule="auto"/>
        <w:ind w:right="105" w:rightChars="50" w:firstLine="404" w:firstLineChars="200"/>
        <w:rPr>
          <w:rFonts w:ascii="宋体" w:hAnsi="宋体"/>
          <w:bCs/>
          <w:color w:val="000000"/>
          <w:spacing w:val="-4"/>
          <w:szCs w:val="21"/>
        </w:rPr>
      </w:pPr>
      <w:r>
        <w:rPr>
          <w:rFonts w:hint="eastAsia" w:ascii="宋体" w:hAnsi="宋体"/>
          <w:bCs/>
          <w:spacing w:val="-4"/>
          <w:szCs w:val="21"/>
        </w:rPr>
        <w:t>1．设备采取现场维修方式，施工地点：</w:t>
      </w:r>
      <w:r>
        <w:rPr>
          <w:rFonts w:hint="eastAsia" w:ascii="宋体" w:hAnsi="宋体"/>
          <w:bCs/>
          <w:color w:val="000000"/>
          <w:spacing w:val="-4"/>
          <w:szCs w:val="21"/>
        </w:rPr>
        <w:t>甲方所属青州卷烟厂厂区。</w:t>
      </w:r>
    </w:p>
    <w:p>
      <w:pPr>
        <w:adjustRightInd w:val="0"/>
        <w:snapToGrid w:val="0"/>
        <w:spacing w:line="360" w:lineRule="auto"/>
        <w:ind w:right="105" w:rightChars="50" w:firstLine="404" w:firstLineChars="200"/>
        <w:rPr>
          <w:rFonts w:ascii="宋体" w:hAnsi="宋体"/>
          <w:bCs/>
          <w:spacing w:val="-4"/>
          <w:szCs w:val="21"/>
        </w:rPr>
      </w:pPr>
      <w:r>
        <w:rPr>
          <w:rFonts w:hint="eastAsia" w:ascii="宋体" w:hAnsi="宋体"/>
          <w:bCs/>
          <w:spacing w:val="-4"/>
          <w:szCs w:val="21"/>
        </w:rPr>
        <w:t>2．自合同生效</w:t>
      </w:r>
      <w:r>
        <w:rPr>
          <w:rFonts w:ascii="宋体" w:hAnsi="宋体"/>
          <w:bCs/>
          <w:spacing w:val="-4"/>
          <w:szCs w:val="21"/>
        </w:rPr>
        <w:t>之日起90</w:t>
      </w:r>
      <w:r>
        <w:rPr>
          <w:rFonts w:hint="eastAsia" w:ascii="宋体" w:hAnsi="宋体"/>
          <w:bCs/>
          <w:spacing w:val="-4"/>
          <w:szCs w:val="21"/>
        </w:rPr>
        <w:t>天内具备现场维修</w:t>
      </w:r>
      <w:r>
        <w:rPr>
          <w:rFonts w:ascii="宋体" w:hAnsi="宋体"/>
          <w:bCs/>
          <w:spacing w:val="-4"/>
          <w:szCs w:val="21"/>
        </w:rPr>
        <w:t>条件</w:t>
      </w:r>
      <w:r>
        <w:rPr>
          <w:rFonts w:hint="eastAsia" w:ascii="宋体" w:hAnsi="宋体"/>
          <w:bCs/>
          <w:spacing w:val="-4"/>
          <w:szCs w:val="21"/>
        </w:rPr>
        <w:t>，具体施工日期由甲方根据实际排产情况确定并提前</w:t>
      </w:r>
      <w:r>
        <w:rPr>
          <w:rFonts w:ascii="宋体" w:hAnsi="宋体"/>
          <w:bCs/>
          <w:spacing w:val="-4"/>
          <w:szCs w:val="21"/>
        </w:rPr>
        <w:t>3</w:t>
      </w:r>
      <w:r>
        <w:rPr>
          <w:rFonts w:hint="eastAsia" w:ascii="宋体" w:hAnsi="宋体"/>
          <w:bCs/>
          <w:spacing w:val="-4"/>
          <w:szCs w:val="21"/>
        </w:rPr>
        <w:t>日通知乙方，维修总时间不超过1</w:t>
      </w:r>
      <w:r>
        <w:rPr>
          <w:rFonts w:ascii="宋体" w:hAnsi="宋体"/>
          <w:bCs/>
          <w:spacing w:val="-4"/>
          <w:szCs w:val="21"/>
        </w:rPr>
        <w:t>5</w:t>
      </w:r>
      <w:r>
        <w:rPr>
          <w:rFonts w:hint="eastAsia" w:ascii="宋体" w:hAnsi="宋体"/>
          <w:bCs/>
          <w:spacing w:val="-4"/>
          <w:szCs w:val="21"/>
        </w:rPr>
        <w:t>天。</w:t>
      </w:r>
    </w:p>
    <w:p>
      <w:pPr>
        <w:adjustRightInd w:val="0"/>
        <w:snapToGrid w:val="0"/>
        <w:spacing w:line="360" w:lineRule="auto"/>
        <w:ind w:right="105" w:rightChars="50" w:firstLine="404" w:firstLineChars="200"/>
        <w:rPr>
          <w:rFonts w:ascii="宋体" w:hAnsi="宋体"/>
          <w:bCs/>
          <w:color w:val="000000"/>
          <w:spacing w:val="-4"/>
          <w:szCs w:val="21"/>
        </w:rPr>
      </w:pPr>
      <w:r>
        <w:rPr>
          <w:rFonts w:hint="eastAsia" w:ascii="宋体" w:hAnsi="宋体"/>
          <w:bCs/>
          <w:color w:val="000000"/>
          <w:spacing w:val="-4"/>
          <w:szCs w:val="21"/>
        </w:rPr>
        <w:t>3．乙方派安装调试人员到甲方施工现场，并在约定时间内完成维修调试工作；甲方视情形可派技术人员协助乙方工作。</w:t>
      </w:r>
    </w:p>
    <w:p>
      <w:pPr>
        <w:adjustRightInd w:val="0"/>
        <w:snapToGrid w:val="0"/>
        <w:spacing w:line="360" w:lineRule="auto"/>
        <w:ind w:right="105" w:rightChars="50" w:firstLine="406" w:firstLineChars="200"/>
        <w:rPr>
          <w:rFonts w:ascii="宋体" w:hAnsi="宋体"/>
          <w:b/>
          <w:bCs/>
          <w:color w:val="000000"/>
          <w:spacing w:val="-4"/>
          <w:szCs w:val="21"/>
        </w:rPr>
      </w:pPr>
      <w:r>
        <w:rPr>
          <w:rFonts w:hint="eastAsia" w:ascii="宋体" w:hAnsi="宋体"/>
          <w:b/>
          <w:bCs/>
          <w:color w:val="000000"/>
          <w:spacing w:val="-4"/>
          <w:szCs w:val="21"/>
        </w:rPr>
        <w:t>第五条  验收标准、时间、方式</w:t>
      </w:r>
    </w:p>
    <w:p>
      <w:pPr>
        <w:adjustRightInd w:val="0"/>
        <w:snapToGrid w:val="0"/>
        <w:spacing w:line="360" w:lineRule="auto"/>
        <w:ind w:right="105" w:rightChars="50" w:firstLine="404" w:firstLineChars="200"/>
        <w:rPr>
          <w:rFonts w:ascii="宋体" w:hAnsi="宋体"/>
          <w:bCs/>
          <w:color w:val="000000"/>
          <w:spacing w:val="-4"/>
          <w:szCs w:val="21"/>
        </w:rPr>
      </w:pPr>
      <w:r>
        <w:rPr>
          <w:rFonts w:hint="eastAsia" w:ascii="宋体" w:hAnsi="宋体"/>
          <w:bCs/>
          <w:color w:val="000000"/>
          <w:spacing w:val="-4"/>
          <w:szCs w:val="21"/>
        </w:rPr>
        <w:t>1．按本合同条款第一、二条相关约定进行验收。</w:t>
      </w:r>
    </w:p>
    <w:p>
      <w:pPr>
        <w:adjustRightInd w:val="0"/>
        <w:snapToGrid w:val="0"/>
        <w:spacing w:line="360" w:lineRule="auto"/>
        <w:ind w:right="105" w:rightChars="50" w:firstLine="404" w:firstLineChars="200"/>
        <w:rPr>
          <w:rFonts w:ascii="宋体" w:hAnsi="宋体"/>
          <w:bCs/>
          <w:color w:val="FF0000"/>
          <w:spacing w:val="-4"/>
          <w:szCs w:val="21"/>
        </w:rPr>
      </w:pPr>
      <w:r>
        <w:rPr>
          <w:rFonts w:hint="eastAsia" w:ascii="宋体" w:hAnsi="宋体"/>
          <w:bCs/>
          <w:color w:val="000000"/>
          <w:spacing w:val="-4"/>
          <w:szCs w:val="21"/>
        </w:rPr>
        <w:t>2．在设备维修完毕、调试运行正常后，由甲方设备管理和使用部门对设备进行验收,并出具验收记录。</w:t>
      </w:r>
      <w:r>
        <w:rPr>
          <w:rFonts w:ascii="宋体" w:hAnsi="宋体"/>
          <w:bCs/>
          <w:color w:val="000000"/>
          <w:spacing w:val="-4"/>
          <w:szCs w:val="21"/>
        </w:rPr>
        <w:t>验收时间视</w:t>
      </w:r>
      <w:r>
        <w:rPr>
          <w:rFonts w:hint="eastAsia" w:ascii="宋体" w:hAnsi="宋体"/>
          <w:bCs/>
          <w:color w:val="000000"/>
          <w:spacing w:val="-4"/>
          <w:szCs w:val="21"/>
        </w:rPr>
        <w:t>设备</w:t>
      </w:r>
      <w:r>
        <w:rPr>
          <w:rFonts w:ascii="宋体" w:hAnsi="宋体"/>
          <w:bCs/>
          <w:color w:val="000000"/>
          <w:spacing w:val="-4"/>
          <w:szCs w:val="21"/>
        </w:rPr>
        <w:t>的安装调试情况由双方共同商定。</w:t>
      </w:r>
    </w:p>
    <w:p>
      <w:pPr>
        <w:adjustRightInd w:val="0"/>
        <w:snapToGrid w:val="0"/>
        <w:spacing w:line="360" w:lineRule="auto"/>
        <w:ind w:right="105" w:rightChars="50" w:firstLine="404" w:firstLineChars="200"/>
        <w:rPr>
          <w:rFonts w:ascii="宋体" w:hAnsi="宋体"/>
          <w:bCs/>
          <w:spacing w:val="-4"/>
          <w:szCs w:val="21"/>
        </w:rPr>
      </w:pPr>
      <w:r>
        <w:rPr>
          <w:rFonts w:hint="eastAsia" w:ascii="宋体" w:hAnsi="宋体"/>
          <w:bCs/>
          <w:spacing w:val="-4"/>
          <w:szCs w:val="21"/>
        </w:rPr>
        <w:t>3. 其他要求按《烟草机械设备通用技术要求》执行。</w:t>
      </w:r>
    </w:p>
    <w:p>
      <w:pPr>
        <w:adjustRightInd w:val="0"/>
        <w:snapToGrid w:val="0"/>
        <w:spacing w:line="360" w:lineRule="auto"/>
        <w:ind w:right="105" w:rightChars="50" w:firstLine="406" w:firstLineChars="200"/>
        <w:rPr>
          <w:rFonts w:ascii="宋体" w:hAnsi="宋体"/>
          <w:b/>
          <w:bCs/>
          <w:spacing w:val="-4"/>
          <w:szCs w:val="21"/>
        </w:rPr>
      </w:pPr>
      <w:r>
        <w:rPr>
          <w:rFonts w:hint="eastAsia" w:ascii="宋体" w:hAnsi="宋体"/>
          <w:b/>
          <w:bCs/>
          <w:spacing w:val="-4"/>
          <w:szCs w:val="21"/>
        </w:rPr>
        <w:t>第六条  结算方式</w:t>
      </w:r>
    </w:p>
    <w:p>
      <w:pPr>
        <w:adjustRightInd w:val="0"/>
        <w:snapToGrid w:val="0"/>
        <w:spacing w:line="360" w:lineRule="auto"/>
        <w:ind w:right="105" w:rightChars="50" w:firstLine="404" w:firstLineChars="200"/>
        <w:rPr>
          <w:rFonts w:ascii="宋体" w:hAnsi="宋体"/>
          <w:bCs/>
          <w:color w:val="000000"/>
          <w:spacing w:val="-4"/>
          <w:szCs w:val="21"/>
        </w:rPr>
      </w:pPr>
      <w:r>
        <w:rPr>
          <w:rFonts w:ascii="宋体" w:hAnsi="宋体"/>
          <w:bCs/>
          <w:color w:val="000000"/>
          <w:spacing w:val="-4"/>
          <w:szCs w:val="21"/>
        </w:rPr>
        <w:t>1.</w:t>
      </w:r>
      <w:r>
        <w:rPr>
          <w:rFonts w:hint="eastAsia" w:ascii="宋体" w:hAnsi="宋体"/>
          <w:bCs/>
          <w:color w:val="000000"/>
          <w:spacing w:val="-4"/>
          <w:szCs w:val="21"/>
        </w:rPr>
        <w:t>在设备维修完毕并验收合格后，乙方开具全额增值税专用发票</w:t>
      </w:r>
      <w:r>
        <w:rPr>
          <w:rFonts w:hint="eastAsia" w:ascii="宋体" w:hAnsi="宋体" w:cs="宋体"/>
          <w:bCs/>
          <w:color w:val="000000"/>
          <w:kern w:val="0"/>
          <w:szCs w:val="21"/>
        </w:rPr>
        <w:t>（税率%）并于发票开具之日起30日内送达甲方</w:t>
      </w:r>
      <w:r>
        <w:rPr>
          <w:rFonts w:hint="eastAsia" w:ascii="宋体" w:hAnsi="宋体"/>
          <w:bCs/>
          <w:color w:val="000000"/>
          <w:spacing w:val="-4"/>
          <w:szCs w:val="21"/>
        </w:rPr>
        <w:t>，甲方收到发票且审核无误60日内支付合同总额的90%；余款留作质保金，质保期满且经再次验收合格后60日内付清。</w:t>
      </w:r>
    </w:p>
    <w:p>
      <w:pPr>
        <w:adjustRightInd w:val="0"/>
        <w:snapToGrid w:val="0"/>
        <w:spacing w:line="360" w:lineRule="auto"/>
        <w:ind w:right="105" w:rightChars="50" w:firstLine="428" w:firstLineChars="200"/>
        <w:rPr>
          <w:rFonts w:ascii="宋体" w:hAnsi="宋体" w:cs="仿宋"/>
          <w:color w:val="000000"/>
          <w:spacing w:val="2"/>
          <w:szCs w:val="21"/>
        </w:rPr>
      </w:pPr>
      <w:r>
        <w:rPr>
          <w:rFonts w:hint="eastAsia" w:ascii="宋体" w:hAnsi="宋体"/>
          <w:color w:val="000000"/>
          <w:spacing w:val="2"/>
          <w:szCs w:val="21"/>
        </w:rPr>
        <w:t>2.</w:t>
      </w:r>
      <w:r>
        <w:rPr>
          <w:rFonts w:hint="eastAsia" w:ascii="宋体" w:hAnsi="宋体" w:cs="仿宋"/>
          <w:color w:val="000000"/>
          <w:spacing w:val="2"/>
          <w:szCs w:val="21"/>
        </w:rPr>
        <w:t>增值税发票开票信息：</w:t>
      </w:r>
    </w:p>
    <w:p>
      <w:pPr>
        <w:adjustRightInd w:val="0"/>
        <w:snapToGrid w:val="0"/>
        <w:spacing w:line="360" w:lineRule="auto"/>
        <w:ind w:right="105" w:rightChars="50" w:firstLine="420" w:firstLineChars="200"/>
        <w:rPr>
          <w:rFonts w:ascii="宋体" w:hAnsi="宋体"/>
          <w:bCs/>
          <w:szCs w:val="21"/>
        </w:rPr>
      </w:pPr>
      <w:r>
        <w:rPr>
          <w:rFonts w:hint="eastAsia" w:ascii="宋体" w:hAnsi="宋体"/>
          <w:bCs/>
          <w:szCs w:val="21"/>
        </w:rPr>
        <w:t>单位名称：山东中烟工业有限责任公司</w:t>
      </w:r>
    </w:p>
    <w:p>
      <w:pPr>
        <w:adjustRightInd w:val="0"/>
        <w:snapToGrid w:val="0"/>
        <w:spacing w:line="360" w:lineRule="auto"/>
        <w:ind w:right="105" w:rightChars="50" w:firstLine="420" w:firstLineChars="200"/>
        <w:rPr>
          <w:rFonts w:ascii="宋体" w:hAnsi="宋体"/>
          <w:bCs/>
          <w:szCs w:val="21"/>
        </w:rPr>
      </w:pPr>
      <w:r>
        <w:rPr>
          <w:rFonts w:hint="eastAsia" w:ascii="宋体" w:hAnsi="宋体"/>
          <w:bCs/>
          <w:szCs w:val="21"/>
        </w:rPr>
        <w:t>统一社会信用代码：91370000759162101E</w:t>
      </w:r>
    </w:p>
    <w:p>
      <w:pPr>
        <w:adjustRightInd w:val="0"/>
        <w:snapToGrid w:val="0"/>
        <w:spacing w:line="360" w:lineRule="auto"/>
        <w:ind w:right="105" w:rightChars="50" w:firstLine="420" w:firstLineChars="200"/>
        <w:rPr>
          <w:rFonts w:ascii="宋体" w:hAnsi="宋体"/>
          <w:bCs/>
          <w:szCs w:val="21"/>
        </w:rPr>
      </w:pPr>
      <w:r>
        <w:rPr>
          <w:rFonts w:hint="eastAsia" w:ascii="宋体" w:hAnsi="宋体"/>
          <w:bCs/>
          <w:szCs w:val="21"/>
        </w:rPr>
        <w:t>办公地址：济南市历下区经十路11888号</w:t>
      </w:r>
    </w:p>
    <w:p>
      <w:pPr>
        <w:adjustRightInd w:val="0"/>
        <w:snapToGrid w:val="0"/>
        <w:spacing w:line="360" w:lineRule="auto"/>
        <w:ind w:right="105" w:rightChars="50" w:firstLine="420" w:firstLineChars="200"/>
        <w:rPr>
          <w:rFonts w:ascii="宋体" w:hAnsi="宋体"/>
          <w:bCs/>
          <w:szCs w:val="21"/>
        </w:rPr>
      </w:pPr>
      <w:r>
        <w:rPr>
          <w:rFonts w:hint="eastAsia" w:ascii="宋体" w:hAnsi="宋体"/>
          <w:bCs/>
          <w:szCs w:val="21"/>
        </w:rPr>
        <w:t>联系电话：0531-58709119</w:t>
      </w:r>
    </w:p>
    <w:p>
      <w:pPr>
        <w:adjustRightInd w:val="0"/>
        <w:snapToGrid w:val="0"/>
        <w:spacing w:line="360" w:lineRule="auto"/>
        <w:ind w:right="105" w:rightChars="50" w:firstLine="420" w:firstLineChars="200"/>
        <w:rPr>
          <w:rFonts w:ascii="宋体" w:hAnsi="宋体"/>
          <w:bCs/>
          <w:szCs w:val="21"/>
        </w:rPr>
      </w:pPr>
      <w:r>
        <w:rPr>
          <w:rFonts w:hint="eastAsia" w:ascii="宋体" w:hAnsi="宋体"/>
          <w:bCs/>
          <w:szCs w:val="21"/>
        </w:rPr>
        <w:t>开户银行：工行济南高新支行</w:t>
      </w:r>
    </w:p>
    <w:p>
      <w:pPr>
        <w:adjustRightInd w:val="0"/>
        <w:snapToGrid w:val="0"/>
        <w:spacing w:line="360" w:lineRule="auto"/>
        <w:ind w:right="105" w:rightChars="50" w:firstLine="420" w:firstLineChars="200"/>
        <w:rPr>
          <w:rFonts w:ascii="宋体" w:hAnsi="宋体"/>
          <w:bCs/>
          <w:szCs w:val="21"/>
        </w:rPr>
      </w:pPr>
      <w:r>
        <w:rPr>
          <w:rFonts w:hint="eastAsia" w:ascii="宋体" w:hAnsi="宋体"/>
          <w:bCs/>
          <w:szCs w:val="21"/>
        </w:rPr>
        <w:t>银行账号：1602023629200078433</w:t>
      </w:r>
    </w:p>
    <w:p>
      <w:pPr>
        <w:adjustRightInd w:val="0"/>
        <w:snapToGrid w:val="0"/>
        <w:spacing w:line="360" w:lineRule="auto"/>
        <w:ind w:right="105" w:rightChars="50" w:firstLine="404" w:firstLineChars="200"/>
        <w:rPr>
          <w:rFonts w:ascii="宋体" w:hAnsi="宋体"/>
          <w:bCs/>
          <w:color w:val="000000"/>
          <w:szCs w:val="21"/>
        </w:rPr>
      </w:pPr>
      <w:r>
        <w:rPr>
          <w:rFonts w:hint="eastAsia" w:ascii="宋体" w:hAnsi="宋体"/>
          <w:bCs/>
          <w:spacing w:val="-4"/>
          <w:szCs w:val="21"/>
        </w:rPr>
        <w:t>3.</w:t>
      </w:r>
      <w:r>
        <w:rPr>
          <w:rFonts w:hint="eastAsia" w:ascii="宋体" w:hAnsi="宋体"/>
          <w:bCs/>
          <w:color w:val="000000"/>
          <w:szCs w:val="21"/>
        </w:rPr>
        <w:t xml:space="preserve">支付方式为网银；结算币种为人民币。 </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4. 合同有效期内如国家政策调整税率的，合同税率应按国家政策要求进行相应调整，合同价格应重新计算，计算公式为：新含税价=原含税价/(1+原税率)*（1+新税率）。</w:t>
      </w:r>
    </w:p>
    <w:p>
      <w:pPr>
        <w:adjustRightInd w:val="0"/>
        <w:snapToGrid w:val="0"/>
        <w:spacing w:line="360" w:lineRule="auto"/>
        <w:ind w:right="105" w:rightChars="50" w:firstLine="420" w:firstLineChars="200"/>
        <w:rPr>
          <w:rFonts w:ascii="宋体" w:hAnsi="宋体"/>
          <w:bCs/>
          <w:spacing w:val="-4"/>
          <w:szCs w:val="21"/>
        </w:rPr>
      </w:pPr>
      <w:r>
        <w:rPr>
          <w:rFonts w:hint="eastAsia" w:ascii="宋体" w:hAnsi="宋体" w:cs="宋体"/>
          <w:bCs/>
          <w:kern w:val="0"/>
          <w:szCs w:val="21"/>
        </w:rPr>
        <w:t>5. 乙方账户在合同履行期内进行变更的，乙方须持有效证明并经甲方审核认可后方可结算。</w:t>
      </w:r>
    </w:p>
    <w:p>
      <w:pPr>
        <w:adjustRightInd w:val="0"/>
        <w:snapToGrid w:val="0"/>
        <w:spacing w:line="360" w:lineRule="auto"/>
        <w:ind w:right="105" w:rightChars="50" w:firstLine="406" w:firstLineChars="200"/>
        <w:rPr>
          <w:rFonts w:ascii="宋体" w:hAnsi="宋体"/>
          <w:b/>
          <w:bCs/>
          <w:spacing w:val="-4"/>
          <w:szCs w:val="21"/>
        </w:rPr>
      </w:pPr>
      <w:r>
        <w:rPr>
          <w:rFonts w:hint="eastAsia" w:ascii="宋体" w:hAnsi="宋体"/>
          <w:b/>
          <w:bCs/>
          <w:spacing w:val="-4"/>
          <w:szCs w:val="21"/>
        </w:rPr>
        <w:t>第七条  质量保证及售后服务</w:t>
      </w:r>
    </w:p>
    <w:p>
      <w:pPr>
        <w:adjustRightInd w:val="0"/>
        <w:snapToGrid w:val="0"/>
        <w:spacing w:line="360" w:lineRule="auto"/>
        <w:ind w:right="105" w:rightChars="50" w:firstLine="404" w:firstLineChars="200"/>
        <w:rPr>
          <w:rFonts w:ascii="宋体" w:hAnsi="宋体"/>
          <w:bCs/>
          <w:spacing w:val="-4"/>
          <w:szCs w:val="21"/>
        </w:rPr>
      </w:pPr>
      <w:r>
        <w:rPr>
          <w:rFonts w:hint="eastAsia" w:ascii="宋体" w:hAnsi="宋体"/>
          <w:bCs/>
          <w:spacing w:val="-4"/>
          <w:szCs w:val="21"/>
        </w:rPr>
        <w:t>1. 设备质量保修期为年，自设备验收合格之日起计算。</w:t>
      </w:r>
    </w:p>
    <w:p>
      <w:pPr>
        <w:adjustRightInd w:val="0"/>
        <w:snapToGrid w:val="0"/>
        <w:spacing w:line="360" w:lineRule="auto"/>
        <w:ind w:right="105" w:rightChars="50" w:firstLine="404" w:firstLineChars="200"/>
        <w:rPr>
          <w:rFonts w:ascii="宋体" w:hAnsi="宋体"/>
          <w:bCs/>
          <w:spacing w:val="-4"/>
          <w:szCs w:val="21"/>
        </w:rPr>
      </w:pPr>
      <w:r>
        <w:rPr>
          <w:rFonts w:hint="eastAsia" w:ascii="宋体" w:hAnsi="宋体"/>
          <w:bCs/>
          <w:spacing w:val="-4"/>
          <w:szCs w:val="21"/>
        </w:rPr>
        <w:t>2. 质量保修期内，除易损件外非甲方因素导致设备故障或不能正常工作时，乙方负责在24小时内免费维修或免费更换零部件，并赔偿由此给甲方造成的一切损失。质量保修期内更换的主要部件保修期自更换验收合格后重新计算。</w:t>
      </w:r>
    </w:p>
    <w:p>
      <w:pPr>
        <w:tabs>
          <w:tab w:val="left" w:pos="360"/>
        </w:tabs>
        <w:adjustRightInd w:val="0"/>
        <w:snapToGrid w:val="0"/>
        <w:spacing w:line="360" w:lineRule="auto"/>
        <w:ind w:right="105" w:rightChars="50" w:firstLine="406" w:firstLineChars="200"/>
        <w:rPr>
          <w:rFonts w:ascii="宋体" w:hAnsi="宋体"/>
          <w:b/>
          <w:color w:val="000000"/>
          <w:spacing w:val="2"/>
          <w:kern w:val="0"/>
          <w:szCs w:val="21"/>
        </w:rPr>
      </w:pPr>
      <w:r>
        <w:rPr>
          <w:rFonts w:ascii="宋体" w:hAnsi="宋体"/>
          <w:b/>
          <w:bCs/>
          <w:spacing w:val="-4"/>
          <w:szCs w:val="21"/>
        </w:rPr>
        <w:t>第八条</w:t>
      </w:r>
      <w:r>
        <w:rPr>
          <w:rFonts w:ascii="宋体" w:hAnsi="宋体"/>
          <w:b/>
          <w:bCs/>
          <w:color w:val="000000"/>
          <w:spacing w:val="-4"/>
          <w:szCs w:val="21"/>
        </w:rPr>
        <w:t>安全、环境责任</w:t>
      </w:r>
    </w:p>
    <w:p>
      <w:pPr>
        <w:tabs>
          <w:tab w:val="left" w:pos="360"/>
        </w:tabs>
        <w:adjustRightInd w:val="0"/>
        <w:snapToGrid w:val="0"/>
        <w:spacing w:line="360" w:lineRule="auto"/>
        <w:ind w:right="105" w:rightChars="50" w:firstLine="404" w:firstLineChars="200"/>
        <w:rPr>
          <w:rFonts w:ascii="宋体" w:hAnsi="宋体"/>
          <w:bCs/>
          <w:color w:val="000000"/>
          <w:spacing w:val="-4"/>
          <w:szCs w:val="21"/>
        </w:rPr>
      </w:pPr>
      <w:r>
        <w:rPr>
          <w:rFonts w:ascii="宋体" w:hAnsi="宋体"/>
          <w:bCs/>
          <w:color w:val="000000"/>
          <w:spacing w:val="-4"/>
          <w:szCs w:val="21"/>
        </w:rPr>
        <w:t>乙方工作人员在甲方厂区工作期间，应认真遵守甲方有关安全生产、环境管理、职业健康安全方面的规章制度。乙方人员工作期间出现安全问题，由乙方完全负责，由此给甲方或第三人造成的损失，乙方予以赔偿。</w:t>
      </w:r>
    </w:p>
    <w:p>
      <w:pPr>
        <w:adjustRightInd w:val="0"/>
        <w:snapToGrid w:val="0"/>
        <w:spacing w:line="360" w:lineRule="auto"/>
        <w:ind w:right="105" w:rightChars="50" w:firstLine="406" w:firstLineChars="200"/>
        <w:rPr>
          <w:rFonts w:ascii="宋体" w:hAnsi="宋体"/>
          <w:b/>
          <w:color w:val="000000"/>
          <w:szCs w:val="21"/>
        </w:rPr>
      </w:pPr>
      <w:r>
        <w:rPr>
          <w:rFonts w:hint="eastAsia" w:ascii="宋体" w:hAnsi="宋体"/>
          <w:b/>
          <w:bCs/>
          <w:spacing w:val="-4"/>
          <w:szCs w:val="21"/>
        </w:rPr>
        <w:t xml:space="preserve">第九条  </w:t>
      </w:r>
      <w:r>
        <w:rPr>
          <w:rFonts w:hint="eastAsia" w:ascii="宋体" w:hAnsi="宋体"/>
          <w:b/>
          <w:color w:val="000000"/>
          <w:szCs w:val="21"/>
        </w:rPr>
        <w:t>知识产权保证</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 乙方须保障甲方在中国使用其货物、服务及其任何部分不受到第三方关于侵犯专利权、商标权、著作权等知识产权的指控、诉讼及索赔。</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2. 任何第三方如果对甲方提出上述侵权指控或索赔，乙方应根据甲方要求提供所有与处理这些事务有关的协助义务，并承担甲方为处理这些指控、诉讼、索赔所支付的一切费用，包括但不限于：法院判决书、仲裁裁决书及甲方经乙方事先认可而与对方签订的和解协议等所确定的甲方应支付的款项、诉讼费用、仲裁费用、执行费用、有关部门的罚款、以及甲方为处理相关事宜所支付的差旅费、律师费等全部费用。</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3. 如因乙方原因致使甲方被法院或仲裁机构、相关政府机关通过法院冻结甲方的银行存款，乙方应在七日内向甲方支付与被冻结银行存款同等金额的款项（解冻后返还乙方或甲方承担赔偿责任后抵作乙方对甲方的赔偿款），否则，在被冻结期间，乙方应按被冻结银行存款金额的日万分之二向甲方支付违约金。</w:t>
      </w:r>
    </w:p>
    <w:p>
      <w:pPr>
        <w:adjustRightInd w:val="0"/>
        <w:snapToGrid w:val="0"/>
        <w:spacing w:line="360" w:lineRule="auto"/>
        <w:ind w:right="105" w:rightChars="50" w:firstLine="406" w:firstLineChars="200"/>
        <w:rPr>
          <w:rFonts w:ascii="宋体" w:hAnsi="宋体"/>
          <w:b/>
          <w:bCs/>
          <w:spacing w:val="-4"/>
          <w:szCs w:val="21"/>
        </w:rPr>
      </w:pPr>
      <w:r>
        <w:rPr>
          <w:rFonts w:hint="eastAsia" w:ascii="宋体" w:hAnsi="宋体"/>
          <w:b/>
          <w:bCs/>
          <w:spacing w:val="-4"/>
          <w:szCs w:val="21"/>
        </w:rPr>
        <w:t>第十条  信息安全和保密</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 乙方对于在合同履行过程中所知悉的甲方商业秘密、数据信息应承担保密义务。未经甲方事先的书面许可，乙方不得利用或披露上述信息。</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2. 乙方须保证在合同履行期间严格按照甲方要求做好信息安全和保密工作。未经甲方同意，严禁将甲方任何技术资料、商业机密、电子数据、管理规定等信息以任何方式告知第三方或公开。</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3. 自合同签订之日起，乙方有义务承担保密责任，因乙方原因导致信息泄露造成甲方损失的，乙方还应赔偿甲方因此造成的损失。</w:t>
      </w:r>
    </w:p>
    <w:p>
      <w:pPr>
        <w:adjustRightInd w:val="0"/>
        <w:snapToGrid w:val="0"/>
        <w:spacing w:line="360" w:lineRule="auto"/>
        <w:ind w:right="105" w:rightChars="50" w:firstLine="406" w:firstLineChars="200"/>
        <w:rPr>
          <w:rFonts w:ascii="宋体" w:hAnsi="宋体"/>
          <w:b/>
          <w:szCs w:val="21"/>
        </w:rPr>
      </w:pPr>
      <w:r>
        <w:rPr>
          <w:rFonts w:hint="eastAsia" w:ascii="宋体" w:hAnsi="宋体"/>
          <w:b/>
          <w:bCs/>
          <w:spacing w:val="-4"/>
          <w:szCs w:val="21"/>
        </w:rPr>
        <w:t>第十一条  违约责任</w:t>
      </w:r>
    </w:p>
    <w:p>
      <w:pPr>
        <w:tabs>
          <w:tab w:val="left" w:pos="360"/>
        </w:tabs>
        <w:adjustRightInd w:val="0"/>
        <w:snapToGrid w:val="0"/>
        <w:spacing w:line="360" w:lineRule="auto"/>
        <w:ind w:right="105" w:rightChars="50" w:firstLine="404" w:firstLineChars="200"/>
        <w:rPr>
          <w:rFonts w:ascii="宋体" w:hAnsi="宋体"/>
          <w:bCs/>
          <w:spacing w:val="-4"/>
          <w:szCs w:val="21"/>
        </w:rPr>
      </w:pPr>
      <w:r>
        <w:rPr>
          <w:rFonts w:ascii="宋体" w:hAnsi="宋体"/>
          <w:bCs/>
          <w:spacing w:val="-4"/>
          <w:szCs w:val="21"/>
        </w:rPr>
        <w:t>1．由于乙方原因致使工期延误的，乙方应每日按合同总额的</w:t>
      </w:r>
      <w:r>
        <w:rPr>
          <w:rFonts w:ascii="宋体" w:hAnsi="宋体"/>
          <w:bCs/>
          <w:spacing w:val="-4"/>
          <w:szCs w:val="21"/>
          <w:u w:val="single"/>
        </w:rPr>
        <w:t>0.5%</w:t>
      </w:r>
      <w:r>
        <w:rPr>
          <w:rFonts w:ascii="宋体" w:hAnsi="宋体"/>
          <w:bCs/>
          <w:spacing w:val="-4"/>
          <w:szCs w:val="21"/>
        </w:rPr>
        <w:t>向甲方支付违约金；逾期超过</w:t>
      </w:r>
      <w:r>
        <w:rPr>
          <w:rFonts w:ascii="宋体" w:hAnsi="宋体"/>
          <w:bCs/>
          <w:spacing w:val="-4"/>
          <w:szCs w:val="21"/>
          <w:u w:val="single"/>
        </w:rPr>
        <w:t>10</w:t>
      </w:r>
      <w:r>
        <w:rPr>
          <w:rFonts w:ascii="宋体" w:hAnsi="宋体"/>
          <w:bCs/>
          <w:spacing w:val="-4"/>
          <w:szCs w:val="21"/>
        </w:rPr>
        <w:t>日的，甲方有权解除本合同。甲方解除本合同的，乙方应按合同总额的</w:t>
      </w:r>
      <w:r>
        <w:rPr>
          <w:rFonts w:ascii="宋体" w:hAnsi="宋体"/>
          <w:bCs/>
          <w:spacing w:val="-4"/>
          <w:szCs w:val="21"/>
          <w:u w:val="single"/>
        </w:rPr>
        <w:t>10%</w:t>
      </w:r>
      <w:r>
        <w:rPr>
          <w:rFonts w:ascii="宋体" w:hAnsi="宋体"/>
          <w:bCs/>
          <w:spacing w:val="-4"/>
          <w:szCs w:val="21"/>
        </w:rPr>
        <w:t>向甲方支付违约金，违约金不足以弥补甲方损失的，还应赔偿实际损失。甲方不解除合同的，乙方继续每日按合同总额的0.5%向甲方支付违约金。</w:t>
      </w:r>
    </w:p>
    <w:p>
      <w:pPr>
        <w:adjustRightInd w:val="0"/>
        <w:snapToGrid w:val="0"/>
        <w:spacing w:line="360" w:lineRule="auto"/>
        <w:ind w:right="105" w:rightChars="50" w:firstLine="404" w:firstLineChars="200"/>
        <w:rPr>
          <w:rFonts w:ascii="宋体" w:hAnsi="宋体"/>
          <w:spacing w:val="2"/>
          <w:szCs w:val="21"/>
        </w:rPr>
      </w:pPr>
      <w:r>
        <w:rPr>
          <w:rFonts w:ascii="宋体" w:hAnsi="宋体"/>
          <w:bCs/>
          <w:spacing w:val="-4"/>
          <w:szCs w:val="21"/>
        </w:rPr>
        <w:t>2．</w:t>
      </w:r>
      <w:r>
        <w:rPr>
          <w:rFonts w:hint="eastAsia" w:ascii="宋体" w:hAnsi="宋体"/>
          <w:spacing w:val="2"/>
          <w:szCs w:val="21"/>
        </w:rPr>
        <w:t>乙方维修不符合合同约定的，甲方有权要求乙方限期整改（工期不顺延），乙方</w:t>
      </w:r>
      <w:r>
        <w:rPr>
          <w:rFonts w:hint="eastAsia" w:ascii="宋体" w:hAnsi="宋体"/>
          <w:szCs w:val="21"/>
        </w:rPr>
        <w:t>应承担发生的一切费用，包括但不限于：运输和保险费、检验费、修理费、仓储和装卸费等。因质量问题给甲方造成损失的，乙方应赔偿甲方实际经济损失</w:t>
      </w:r>
      <w:r>
        <w:rPr>
          <w:rFonts w:hint="eastAsia" w:ascii="宋体" w:hAnsi="宋体"/>
          <w:spacing w:val="2"/>
          <w:szCs w:val="21"/>
        </w:rPr>
        <w:t>。经整改，</w:t>
      </w:r>
      <w:r>
        <w:rPr>
          <w:rFonts w:hint="eastAsia" w:ascii="宋体" w:hAnsi="宋体"/>
          <w:szCs w:val="21"/>
        </w:rPr>
        <w:t>仍不符合合同约定的，甲方有权解除本合同，乙方应按合同总额的</w:t>
      </w:r>
      <w:r>
        <w:rPr>
          <w:rFonts w:hint="eastAsia" w:ascii="宋体" w:hAnsi="宋体"/>
          <w:szCs w:val="21"/>
          <w:u w:val="single"/>
        </w:rPr>
        <w:t>10</w:t>
      </w:r>
      <w:r>
        <w:rPr>
          <w:rFonts w:hint="eastAsia" w:ascii="宋体" w:hAnsi="宋体"/>
          <w:szCs w:val="21"/>
        </w:rPr>
        <w:t>%向甲方支付违约金，违约金不足以弥补甲方损失的，还应赔偿实际损失。</w:t>
      </w:r>
    </w:p>
    <w:p>
      <w:pPr>
        <w:tabs>
          <w:tab w:val="left" w:pos="360"/>
        </w:tabs>
        <w:adjustRightInd w:val="0"/>
        <w:snapToGrid w:val="0"/>
        <w:spacing w:line="360" w:lineRule="auto"/>
        <w:ind w:right="105" w:rightChars="50" w:firstLine="404" w:firstLineChars="200"/>
        <w:textAlignment w:val="top"/>
        <w:rPr>
          <w:rFonts w:ascii="宋体" w:hAnsi="宋体"/>
          <w:bCs/>
          <w:spacing w:val="-4"/>
          <w:szCs w:val="21"/>
        </w:rPr>
      </w:pPr>
      <w:r>
        <w:rPr>
          <w:rFonts w:ascii="宋体" w:hAnsi="宋体"/>
          <w:bCs/>
          <w:spacing w:val="-4"/>
          <w:szCs w:val="21"/>
        </w:rPr>
        <w:t>3. 合同实施过程中，乙方安装调试人员必须是乙方单位正式技术人员，所用的机械零配件必须由正规厂家生产，并且不得将项目分包或转包给第三方修理。如违反上述情形，甲方有权解除本合同，乙方应按合同总额的</w:t>
      </w:r>
      <w:r>
        <w:rPr>
          <w:rFonts w:ascii="宋体" w:hAnsi="宋体"/>
          <w:bCs/>
          <w:spacing w:val="-4"/>
          <w:szCs w:val="21"/>
          <w:u w:val="single"/>
        </w:rPr>
        <w:t>15</w:t>
      </w:r>
      <w:r>
        <w:rPr>
          <w:rFonts w:ascii="宋体" w:hAnsi="宋体"/>
          <w:bCs/>
          <w:spacing w:val="-4"/>
          <w:szCs w:val="21"/>
        </w:rPr>
        <w:t>%向甲方支付违约金，违约金不足以弥补甲方损失的，还应赔偿实际损失。</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color w:val="000000"/>
          <w:szCs w:val="21"/>
        </w:rPr>
        <w:t>4. 若乙方向甲方开具的增值税专用发票不符合国家规定或合同约定，甲方有权拒收或者退回发票并要求乙方采取重新开具发票等补救措施，给甲方造成损失的，乙方应赔偿甲方实际损失；若因乙方开具的发票未及时送达甲方等原因导致甲方收到的增值税专用发票无法通过税务部门认证的，乙方应赔偿甲方实际损失。</w:t>
      </w:r>
      <w:r>
        <w:rPr>
          <w:rFonts w:hint="eastAsia" w:ascii="宋体" w:hAnsi="宋体"/>
          <w:color w:val="000000"/>
          <w:spacing w:val="2"/>
          <w:szCs w:val="21"/>
        </w:rPr>
        <w:t>因发票开具违</w:t>
      </w:r>
      <w:r>
        <w:rPr>
          <w:rFonts w:hint="eastAsia" w:ascii="宋体" w:hAnsi="宋体"/>
          <w:color w:val="000000"/>
          <w:szCs w:val="21"/>
        </w:rPr>
        <w:t>法违规造成的其他法律责任，由乙方自行承担。</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color w:val="000000"/>
          <w:szCs w:val="21"/>
        </w:rPr>
        <w:t>5. 赔偿金或违约金，甲方有权直接从结算金额中扣除。</w:t>
      </w:r>
    </w:p>
    <w:p>
      <w:pPr>
        <w:adjustRightInd w:val="0"/>
        <w:snapToGrid w:val="0"/>
        <w:spacing w:line="360" w:lineRule="auto"/>
        <w:ind w:right="105" w:rightChars="50" w:firstLine="420" w:firstLineChars="200"/>
        <w:rPr>
          <w:rFonts w:ascii="宋体" w:hAnsi="宋体"/>
          <w:szCs w:val="21"/>
        </w:rPr>
      </w:pPr>
      <w:r>
        <w:rPr>
          <w:rFonts w:hint="eastAsia" w:ascii="宋体" w:hAnsi="宋体"/>
          <w:color w:val="000000"/>
          <w:szCs w:val="21"/>
        </w:rPr>
        <w:t>6. 质保期内，因乙方原因产生的质量问题且乙方不能及时维修的，甲方有权委托第三人进行维修，</w:t>
      </w:r>
      <w:r>
        <w:rPr>
          <w:rFonts w:hint="eastAsia" w:ascii="宋体" w:hAnsi="宋体"/>
          <w:szCs w:val="21"/>
        </w:rPr>
        <w:t>产生的费用甲方有权直接从质保金中扣除，甲方扣除质保金之日起</w:t>
      </w:r>
      <w:r>
        <w:rPr>
          <w:rFonts w:ascii="宋体" w:hAnsi="宋体"/>
          <w:szCs w:val="21"/>
        </w:rPr>
        <w:t>7</w:t>
      </w:r>
      <w:r>
        <w:rPr>
          <w:rFonts w:hint="eastAsia" w:ascii="宋体" w:hAnsi="宋体"/>
          <w:szCs w:val="21"/>
        </w:rPr>
        <w:t>日内，乙方应将质保金补足，否则应承担违约金2</w:t>
      </w:r>
      <w:r>
        <w:rPr>
          <w:rFonts w:ascii="宋体" w:hAnsi="宋体"/>
          <w:szCs w:val="21"/>
        </w:rPr>
        <w:t>000</w:t>
      </w:r>
      <w:r>
        <w:rPr>
          <w:rFonts w:hint="eastAsia" w:ascii="宋体" w:hAnsi="宋体"/>
          <w:szCs w:val="21"/>
        </w:rPr>
        <w:t>元。甲方扣除质保金且乙方未补足的，质保期满甲方只返还质保金的余额。</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szCs w:val="21"/>
        </w:rPr>
        <w:t>7. 甲方逾期付款的，乙</w:t>
      </w:r>
      <w:r>
        <w:rPr>
          <w:rFonts w:hint="eastAsia" w:ascii="宋体" w:hAnsi="宋体"/>
          <w:color w:val="000000"/>
          <w:szCs w:val="21"/>
        </w:rPr>
        <w:t>方除有权要求甲方立即改正外，还有权要求甲方每日按应付款金额的万分之二向乙方支付违约金。</w:t>
      </w:r>
    </w:p>
    <w:p>
      <w:pPr>
        <w:adjustRightInd w:val="0"/>
        <w:snapToGrid w:val="0"/>
        <w:spacing w:line="360" w:lineRule="auto"/>
        <w:ind w:right="105" w:rightChars="50" w:firstLine="406" w:firstLineChars="200"/>
        <w:rPr>
          <w:rFonts w:ascii="宋体" w:hAnsi="宋体"/>
          <w:b/>
          <w:szCs w:val="21"/>
        </w:rPr>
      </w:pPr>
      <w:r>
        <w:rPr>
          <w:rFonts w:ascii="宋体" w:hAnsi="宋体"/>
          <w:b/>
          <w:bCs/>
          <w:spacing w:val="-4"/>
          <w:szCs w:val="21"/>
        </w:rPr>
        <w:t>第</w:t>
      </w:r>
      <w:r>
        <w:rPr>
          <w:rFonts w:hint="eastAsia" w:ascii="宋体" w:hAnsi="宋体"/>
          <w:b/>
          <w:bCs/>
          <w:spacing w:val="-4"/>
          <w:szCs w:val="21"/>
        </w:rPr>
        <w:t>十二</w:t>
      </w:r>
      <w:r>
        <w:rPr>
          <w:rFonts w:ascii="宋体" w:hAnsi="宋体"/>
          <w:b/>
          <w:bCs/>
          <w:spacing w:val="-4"/>
          <w:szCs w:val="21"/>
        </w:rPr>
        <w:t xml:space="preserve">条  </w:t>
      </w:r>
      <w:r>
        <w:rPr>
          <w:rFonts w:hint="eastAsia" w:ascii="宋体" w:hAnsi="宋体"/>
          <w:b/>
          <w:szCs w:val="21"/>
        </w:rPr>
        <w:t>不可抗力</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 不可抗力是指双方在签订合同时不可预见，在合同履行过程中不可避免且不能克服的自然灾害和社会性突发事件，如地震、海啸、洪水、台风、瘟疫、骚乱、暴动、战争等情形。</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2. 合同一方当事人遇到不可抗力事件，使其履行合同义务受到阻碍时，应立即用电话、传真或电传方式通知对方，并于不可抗力事件结束后14天内书面说明不可抗力和受阻碍的详细情况，且提供必要的证明文件。不可抗力持续发生的，合同一方当事人应每间隔14天向对方提交书面中间报告，说明不可抗力和履行合同受阻的情况，并于不可抗力事件结束后14天内提交最终报告及有关资料。</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3. 合同一方当事人遇到不可抗力事件，使其履行合同义务受到阻碍时，履行合同的期限应予以延长，延长的期限应相当于不可抗力事件所影响的时间。因不可抗力导致合同无法履行连续超过84天或累计超过140天的，双方均有权解除合同。</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4. 不可抗力发生后，双方均应采取措施尽量避免和减少损失的扩大，任何一方当事人没有采取有效措施导致损失扩大的，应对扩大的损失承担责任。</w:t>
      </w:r>
    </w:p>
    <w:p>
      <w:pPr>
        <w:adjustRightInd w:val="0"/>
        <w:snapToGrid w:val="0"/>
        <w:spacing w:line="360" w:lineRule="auto"/>
        <w:ind w:right="105" w:rightChars="50" w:firstLine="422" w:firstLineChars="200"/>
        <w:rPr>
          <w:rFonts w:ascii="宋体" w:hAnsi="宋体"/>
          <w:b/>
          <w:szCs w:val="21"/>
        </w:rPr>
      </w:pPr>
      <w:r>
        <w:rPr>
          <w:rFonts w:hint="eastAsia" w:ascii="宋体" w:hAnsi="宋体"/>
          <w:b/>
          <w:szCs w:val="21"/>
        </w:rPr>
        <w:t>第十三条  合同变更</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color w:val="000000"/>
          <w:szCs w:val="21"/>
        </w:rPr>
        <w:t>1．发生下列情况之一的，可变更合同条款：</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color w:val="000000"/>
          <w:szCs w:val="21"/>
        </w:rPr>
        <w:t>（1）双方协商达成一致意见的；</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color w:val="000000"/>
          <w:szCs w:val="21"/>
        </w:rPr>
        <w:t>（2）所依据的法律规定有改变的。</w:t>
      </w:r>
    </w:p>
    <w:p>
      <w:pPr>
        <w:adjustRightInd w:val="0"/>
        <w:snapToGrid w:val="0"/>
        <w:spacing w:line="360" w:lineRule="auto"/>
        <w:ind w:right="105" w:rightChars="50" w:firstLine="420" w:firstLineChars="200"/>
        <w:rPr>
          <w:rFonts w:ascii="宋体" w:hAnsi="宋体"/>
          <w:color w:val="000000"/>
          <w:szCs w:val="21"/>
        </w:rPr>
      </w:pPr>
      <w:r>
        <w:rPr>
          <w:rFonts w:hint="eastAsia" w:ascii="宋体" w:hAnsi="宋体"/>
          <w:color w:val="000000"/>
          <w:szCs w:val="21"/>
        </w:rPr>
        <w:t>2．变更须以书面的形式方能生效。</w:t>
      </w:r>
    </w:p>
    <w:p>
      <w:pPr>
        <w:adjustRightInd w:val="0"/>
        <w:snapToGrid w:val="0"/>
        <w:spacing w:line="360" w:lineRule="auto"/>
        <w:ind w:right="105" w:rightChars="50" w:firstLine="406" w:firstLineChars="200"/>
        <w:rPr>
          <w:rFonts w:ascii="宋体" w:hAnsi="宋体"/>
          <w:b/>
          <w:szCs w:val="21"/>
        </w:rPr>
      </w:pPr>
      <w:r>
        <w:rPr>
          <w:rFonts w:hint="eastAsia" w:ascii="宋体" w:hAnsi="宋体"/>
          <w:b/>
          <w:bCs/>
          <w:spacing w:val="-4"/>
          <w:szCs w:val="21"/>
        </w:rPr>
        <w:t xml:space="preserve">第十四条  </w:t>
      </w:r>
      <w:r>
        <w:rPr>
          <w:rFonts w:hint="eastAsia" w:ascii="宋体" w:hAnsi="宋体"/>
          <w:b/>
          <w:szCs w:val="21"/>
        </w:rPr>
        <w:t>合同解除</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1．发生下列情况之一的，可解除全部或部分合同条款：</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（1）双方协商达成一致意见的；</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（2）乙方出现任何违约行为，在收到甲方发出的纠正违约通知后10日内（或经甲方书面确认的宽限期内）仍未纠正的；</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（3）一方严重违约致使不能实现合同目的；</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（4）由于不可抗力或一方无法防止的外因，致使本合同无法履行的；</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（5）一方破产或无能力履行合同的；</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（6）本合同约定及法律法规规定的其他可解除合同的。</w:t>
      </w:r>
    </w:p>
    <w:p>
      <w:pPr>
        <w:adjustRightInd w:val="0"/>
        <w:snapToGrid w:val="0"/>
        <w:spacing w:line="360" w:lineRule="auto"/>
        <w:ind w:right="105" w:rightChars="50" w:firstLine="420" w:firstLineChars="200"/>
        <w:rPr>
          <w:rFonts w:ascii="宋体" w:hAnsi="宋体"/>
          <w:szCs w:val="21"/>
        </w:rPr>
      </w:pPr>
      <w:r>
        <w:rPr>
          <w:rFonts w:hint="eastAsia" w:ascii="宋体" w:hAnsi="宋体"/>
          <w:szCs w:val="21"/>
        </w:rPr>
        <w:t>2．解除须以书面的形式方能生效。</w:t>
      </w:r>
    </w:p>
    <w:p>
      <w:pPr>
        <w:adjustRightInd w:val="0"/>
        <w:snapToGrid w:val="0"/>
        <w:spacing w:line="360" w:lineRule="auto"/>
        <w:ind w:right="105" w:rightChars="50" w:firstLine="422" w:firstLineChars="200"/>
        <w:rPr>
          <w:rFonts w:ascii="宋体" w:hAnsi="宋体"/>
          <w:szCs w:val="21"/>
        </w:rPr>
      </w:pPr>
      <w:r>
        <w:rPr>
          <w:rFonts w:hint="eastAsia" w:ascii="宋体" w:hAnsi="宋体"/>
          <w:b/>
          <w:szCs w:val="21"/>
        </w:rPr>
        <w:t>第十五条  争议解决方式</w:t>
      </w:r>
    </w:p>
    <w:p>
      <w:pPr>
        <w:adjustRightInd w:val="0"/>
        <w:snapToGrid w:val="0"/>
        <w:spacing w:line="360" w:lineRule="auto"/>
        <w:ind w:right="105" w:rightChars="50" w:firstLine="428" w:firstLineChars="200"/>
        <w:rPr>
          <w:rFonts w:ascii="宋体" w:hAnsi="宋体"/>
          <w:bCs/>
          <w:spacing w:val="-4"/>
          <w:szCs w:val="21"/>
        </w:rPr>
      </w:pPr>
      <w:r>
        <w:rPr>
          <w:rFonts w:hint="eastAsia" w:ascii="宋体" w:hAnsi="宋体"/>
          <w:spacing w:val="2"/>
          <w:szCs w:val="21"/>
        </w:rPr>
        <w:t>在执行本合同中发生争议，双方友好协商解决，协商不成，向合同签订地人民法院提起诉讼。</w:t>
      </w:r>
    </w:p>
    <w:p>
      <w:pPr>
        <w:adjustRightInd w:val="0"/>
        <w:snapToGrid w:val="0"/>
        <w:spacing w:line="360" w:lineRule="auto"/>
        <w:ind w:right="105" w:rightChars="50" w:firstLine="422" w:firstLineChars="200"/>
        <w:rPr>
          <w:rFonts w:ascii="宋体" w:hAnsi="宋体"/>
          <w:b/>
          <w:szCs w:val="21"/>
        </w:rPr>
      </w:pPr>
      <w:r>
        <w:rPr>
          <w:rFonts w:hint="eastAsia" w:ascii="宋体" w:hAnsi="宋体" w:cs="宋体"/>
          <w:b/>
          <w:kern w:val="0"/>
          <w:szCs w:val="21"/>
        </w:rPr>
        <w:t>第十六条  其他约定</w:t>
      </w:r>
    </w:p>
    <w:p>
      <w:pPr>
        <w:adjustRightInd w:val="0"/>
        <w:snapToGrid w:val="0"/>
        <w:spacing w:line="360" w:lineRule="auto"/>
        <w:ind w:right="105" w:rightChars="50" w:firstLine="420" w:firstLineChars="200"/>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如在履约期间乙方被列入行贿黑名单的，甲方有权采取降低供货份额、缩短服务期限、终止或解除合同等处理措施。</w:t>
      </w:r>
    </w:p>
    <w:p>
      <w:pPr>
        <w:adjustRightInd w:val="0"/>
        <w:snapToGrid w:val="0"/>
        <w:spacing w:line="360" w:lineRule="auto"/>
        <w:ind w:right="105" w:rightChars="50" w:firstLine="420" w:firstLineChars="200"/>
        <w:rPr>
          <w:rFonts w:ascii="宋体" w:hAnsi="宋体" w:cs="宋体"/>
          <w:bCs/>
          <w:kern w:val="0"/>
          <w:szCs w:val="21"/>
        </w:rPr>
      </w:pPr>
      <w:r>
        <w:rPr>
          <w:rFonts w:hint="eastAsia" w:ascii="宋体" w:hAnsi="宋体" w:cs="宋体"/>
          <w:bCs/>
          <w:kern w:val="0"/>
          <w:szCs w:val="21"/>
        </w:rPr>
        <w:t>2. 本合同包含附件《廉洁协议书》。</w:t>
      </w:r>
    </w:p>
    <w:p>
      <w:pPr>
        <w:adjustRightInd w:val="0"/>
        <w:snapToGrid w:val="0"/>
        <w:spacing w:line="360" w:lineRule="auto"/>
        <w:ind w:right="105" w:rightChars="50" w:firstLine="420" w:firstLineChars="200"/>
        <w:rPr>
          <w:rFonts w:ascii="宋体" w:hAnsi="宋体" w:cs="宋体"/>
          <w:bCs/>
          <w:kern w:val="0"/>
          <w:szCs w:val="21"/>
        </w:rPr>
      </w:pPr>
      <w:r>
        <w:rPr>
          <w:rFonts w:ascii="宋体" w:hAnsi="宋体" w:cs="宋体"/>
          <w:bCs/>
          <w:kern w:val="0"/>
          <w:szCs w:val="21"/>
        </w:rPr>
        <w:t>3</w:t>
      </w:r>
      <w:r>
        <w:rPr>
          <w:rFonts w:hint="eastAsia" w:ascii="宋体" w:hAnsi="宋体" w:cs="宋体"/>
          <w:bCs/>
          <w:kern w:val="0"/>
          <w:szCs w:val="21"/>
        </w:rPr>
        <w:t>. 本合同签订后，双方还需另行签订</w:t>
      </w:r>
      <w:r>
        <w:rPr>
          <w:rFonts w:hint="eastAsia" w:ascii="宋体" w:hAnsi="宋体"/>
          <w:bCs/>
          <w:szCs w:val="21"/>
        </w:rPr>
        <w:t>《安全协议》</w:t>
      </w:r>
      <w:r>
        <w:rPr>
          <w:rFonts w:hint="eastAsia" w:ascii="宋体" w:hAnsi="宋体" w:cs="宋体"/>
          <w:bCs/>
          <w:kern w:val="0"/>
          <w:szCs w:val="21"/>
        </w:rPr>
        <w:t>。</w:t>
      </w:r>
    </w:p>
    <w:p>
      <w:pPr>
        <w:adjustRightInd w:val="0"/>
        <w:snapToGrid w:val="0"/>
        <w:spacing w:line="360" w:lineRule="auto"/>
        <w:ind w:right="105" w:rightChars="50" w:firstLine="428" w:firstLineChars="200"/>
        <w:rPr>
          <w:rFonts w:ascii="宋体" w:hAnsi="宋体"/>
          <w:spacing w:val="2"/>
          <w:szCs w:val="21"/>
        </w:rPr>
      </w:pPr>
      <w:r>
        <w:rPr>
          <w:rFonts w:ascii="宋体" w:hAnsi="宋体"/>
          <w:spacing w:val="2"/>
          <w:szCs w:val="21"/>
        </w:rPr>
        <w:t>4</w:t>
      </w:r>
      <w:r>
        <w:rPr>
          <w:rFonts w:hint="eastAsia" w:ascii="宋体" w:hAnsi="宋体"/>
          <w:spacing w:val="2"/>
          <w:szCs w:val="21"/>
        </w:rPr>
        <w:t>.</w:t>
      </w:r>
      <w:r>
        <w:rPr>
          <w:rFonts w:ascii="宋体" w:hAnsi="宋体" w:cs="宋体"/>
          <w:bCs/>
          <w:kern w:val="0"/>
          <w:szCs w:val="21"/>
        </w:rPr>
        <w:t>本合同</w:t>
      </w:r>
      <w:r>
        <w:rPr>
          <w:rFonts w:hint="eastAsia" w:ascii="宋体" w:hAnsi="宋体" w:cs="宋体"/>
          <w:bCs/>
          <w:kern w:val="0"/>
          <w:szCs w:val="21"/>
        </w:rPr>
        <w:t>自</w:t>
      </w:r>
      <w:r>
        <w:rPr>
          <w:rFonts w:ascii="宋体" w:hAnsi="宋体" w:cs="宋体"/>
          <w:bCs/>
          <w:kern w:val="0"/>
          <w:szCs w:val="21"/>
        </w:rPr>
        <w:t>双方法定代表人或委托代理人签字</w:t>
      </w:r>
      <w:r>
        <w:rPr>
          <w:rFonts w:hint="eastAsia" w:ascii="宋体" w:hAnsi="宋体" w:cs="宋体"/>
          <w:bCs/>
          <w:kern w:val="0"/>
          <w:szCs w:val="21"/>
        </w:rPr>
        <w:t>（或盖章）</w:t>
      </w:r>
      <w:r>
        <w:rPr>
          <w:rFonts w:ascii="宋体" w:hAnsi="宋体" w:cs="宋体"/>
          <w:bCs/>
          <w:kern w:val="0"/>
          <w:szCs w:val="21"/>
        </w:rPr>
        <w:t>并加盖合同专用章</w:t>
      </w:r>
      <w:r>
        <w:rPr>
          <w:rFonts w:hint="eastAsia" w:ascii="宋体" w:hAnsi="宋体" w:cs="宋体"/>
          <w:bCs/>
          <w:kern w:val="0"/>
          <w:szCs w:val="21"/>
        </w:rPr>
        <w:t>（或公章）之日起</w:t>
      </w:r>
      <w:r>
        <w:rPr>
          <w:rFonts w:ascii="宋体" w:hAnsi="宋体" w:cs="宋体"/>
          <w:bCs/>
          <w:kern w:val="0"/>
          <w:szCs w:val="21"/>
        </w:rPr>
        <w:t>生效。</w:t>
      </w:r>
      <w:r>
        <w:rPr>
          <w:rFonts w:hint="eastAsia" w:ascii="宋体" w:hAnsi="宋体"/>
          <w:spacing w:val="2"/>
          <w:szCs w:val="21"/>
        </w:rPr>
        <w:t>委托代理人签字的，提交合法有效的授权委托书。</w:t>
      </w:r>
    </w:p>
    <w:p>
      <w:pPr>
        <w:adjustRightInd w:val="0"/>
        <w:snapToGrid w:val="0"/>
        <w:spacing w:line="360" w:lineRule="auto"/>
        <w:ind w:right="105" w:rightChars="50" w:firstLine="428" w:firstLineChars="200"/>
        <w:rPr>
          <w:rFonts w:ascii="宋体" w:hAnsi="宋体"/>
          <w:spacing w:val="2"/>
          <w:szCs w:val="21"/>
        </w:rPr>
      </w:pPr>
      <w:r>
        <w:rPr>
          <w:rFonts w:ascii="宋体" w:hAnsi="宋体"/>
          <w:spacing w:val="2"/>
          <w:szCs w:val="21"/>
        </w:rPr>
        <w:t>5</w:t>
      </w:r>
      <w:r>
        <w:rPr>
          <w:rFonts w:hint="eastAsia" w:ascii="宋体" w:hAnsi="宋体"/>
          <w:spacing w:val="2"/>
          <w:szCs w:val="21"/>
        </w:rPr>
        <w:t>. 本合同一式叁份，甲方贰份，乙方壹份，</w:t>
      </w:r>
      <w:r>
        <w:rPr>
          <w:rFonts w:hint="eastAsia" w:ascii="宋体" w:hAnsi="宋体" w:cs="宋体"/>
          <w:kern w:val="0"/>
          <w:szCs w:val="21"/>
        </w:rPr>
        <w:t>具同等法律效力</w:t>
      </w:r>
      <w:r>
        <w:rPr>
          <w:rFonts w:hint="eastAsia" w:ascii="宋体" w:hAnsi="宋体"/>
          <w:spacing w:val="2"/>
          <w:szCs w:val="21"/>
        </w:rPr>
        <w:t>。</w:t>
      </w:r>
    </w:p>
    <w:p>
      <w:pPr>
        <w:adjustRightInd w:val="0"/>
        <w:snapToGrid w:val="0"/>
        <w:spacing w:line="360" w:lineRule="auto"/>
        <w:ind w:right="105" w:rightChars="50" w:firstLine="420" w:firstLineChars="200"/>
        <w:rPr>
          <w:rFonts w:ascii="宋体" w:hAnsi="宋体" w:cs="宋体"/>
          <w:kern w:val="0"/>
          <w:szCs w:val="21"/>
        </w:rPr>
      </w:pPr>
      <w:r>
        <w:rPr>
          <w:rFonts w:ascii="宋体" w:hAnsi="宋体" w:cs="宋体"/>
          <w:kern w:val="0"/>
          <w:szCs w:val="21"/>
        </w:rPr>
        <w:t>6</w:t>
      </w:r>
      <w:r>
        <w:rPr>
          <w:rFonts w:hint="eastAsia" w:ascii="宋体" w:hAnsi="宋体" w:cs="宋体"/>
          <w:kern w:val="0"/>
          <w:szCs w:val="21"/>
        </w:rPr>
        <w:t>. 未尽事宜，双方协商解决。</w:t>
      </w:r>
    </w:p>
    <w:p>
      <w:pPr>
        <w:snapToGrid w:val="0"/>
        <w:spacing w:line="360" w:lineRule="auto"/>
        <w:rPr>
          <w:rFonts w:ascii="宋体" w:hAnsi="宋体"/>
          <w:bCs/>
          <w:spacing w:val="-4"/>
          <w:szCs w:val="21"/>
        </w:rPr>
      </w:pPr>
      <w:r>
        <w:rPr>
          <w:rFonts w:hint="eastAsia" w:ascii="宋体" w:hAnsi="宋体"/>
          <w:bCs/>
          <w:spacing w:val="-4"/>
          <w:szCs w:val="21"/>
        </w:rPr>
        <w:t xml:space="preserve">甲方：（盖章）                               乙方：（盖章） </w:t>
      </w:r>
    </w:p>
    <w:p>
      <w:pPr>
        <w:snapToGrid w:val="0"/>
        <w:spacing w:line="360" w:lineRule="auto"/>
        <w:rPr>
          <w:rFonts w:ascii="宋体" w:hAnsi="宋体"/>
          <w:bCs/>
          <w:spacing w:val="-4"/>
          <w:szCs w:val="21"/>
        </w:rPr>
      </w:pPr>
    </w:p>
    <w:p>
      <w:pPr>
        <w:adjustRightInd w:val="0"/>
        <w:snapToGrid w:val="0"/>
        <w:spacing w:line="360" w:lineRule="auto"/>
        <w:rPr>
          <w:rFonts w:ascii="宋体" w:hAnsi="宋体"/>
          <w:szCs w:val="21"/>
        </w:rPr>
      </w:pPr>
      <w:r>
        <w:rPr>
          <w:rFonts w:hint="eastAsia" w:ascii="宋体" w:hAnsi="宋体"/>
          <w:szCs w:val="21"/>
        </w:rPr>
        <w:t xml:space="preserve">法定代表人/委托代理人：                   法定代表人/委托代理人：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经办人：                                  经办人：</w:t>
      </w:r>
    </w:p>
    <w:p>
      <w:pPr>
        <w:snapToGrid w:val="0"/>
        <w:spacing w:line="360" w:lineRule="auto"/>
        <w:rPr>
          <w:rFonts w:ascii="宋体" w:hAnsi="宋体"/>
          <w:szCs w:val="21"/>
        </w:rPr>
      </w:pPr>
      <w:r>
        <w:rPr>
          <w:rFonts w:hint="eastAsia" w:ascii="宋体" w:hAnsi="宋体"/>
          <w:szCs w:val="21"/>
        </w:rPr>
        <w:t>联系电话：                                联系电话：</w:t>
      </w:r>
    </w:p>
    <w:p>
      <w:pPr>
        <w:snapToGrid w:val="0"/>
        <w:spacing w:line="360" w:lineRule="auto"/>
        <w:rPr>
          <w:rFonts w:ascii="宋体" w:hAnsi="宋体"/>
          <w:szCs w:val="21"/>
        </w:rPr>
      </w:pPr>
      <w:r>
        <w:rPr>
          <w:rFonts w:hint="eastAsia" w:ascii="宋体" w:hAnsi="宋体"/>
          <w:szCs w:val="21"/>
        </w:rPr>
        <w:t>联系地址：山东省青州市玲珑山北路1818号   联系地址：</w:t>
      </w:r>
    </w:p>
    <w:p>
      <w:pPr>
        <w:snapToGrid w:val="0"/>
        <w:spacing w:line="360" w:lineRule="auto"/>
        <w:rPr>
          <w:rFonts w:ascii="宋体" w:hAnsi="宋体"/>
          <w:szCs w:val="21"/>
        </w:rPr>
      </w:pPr>
      <w:r>
        <w:rPr>
          <w:rFonts w:hint="eastAsia" w:ascii="宋体" w:hAnsi="宋体"/>
          <w:szCs w:val="21"/>
        </w:rPr>
        <w:t>付款开户银行：工行青州市支行火车站分理处  收款开户银行：</w:t>
      </w:r>
    </w:p>
    <w:p>
      <w:pPr>
        <w:snapToGrid w:val="0"/>
        <w:spacing w:line="360" w:lineRule="auto"/>
        <w:rPr>
          <w:rFonts w:ascii="宋体" w:hAnsi="宋体"/>
          <w:szCs w:val="21"/>
        </w:rPr>
      </w:pPr>
      <w:r>
        <w:rPr>
          <w:rFonts w:hint="eastAsia" w:ascii="宋体" w:hAnsi="宋体"/>
          <w:szCs w:val="21"/>
        </w:rPr>
        <w:t>付款账号：1607031409201004170             收款账号：</w:t>
      </w:r>
    </w:p>
    <w:p>
      <w:pPr>
        <w:snapToGrid w:val="0"/>
        <w:spacing w:line="360" w:lineRule="auto"/>
        <w:rPr>
          <w:rFonts w:ascii="宋体" w:hAnsi="宋体"/>
          <w:szCs w:val="21"/>
        </w:rPr>
      </w:pPr>
      <w:r>
        <w:rPr>
          <w:rFonts w:hint="eastAsia" w:ascii="宋体" w:hAnsi="宋体"/>
          <w:kern w:val="0"/>
          <w:szCs w:val="21"/>
        </w:rPr>
        <w:t>签订地点：</w:t>
      </w:r>
      <w:r>
        <w:rPr>
          <w:rFonts w:hint="eastAsia" w:ascii="宋体" w:hAnsi="宋体"/>
          <w:szCs w:val="21"/>
        </w:rPr>
        <w:t>山东省青州市玲珑山北路1818号</w:t>
      </w:r>
      <w:r>
        <w:rPr>
          <w:rFonts w:hint="eastAsia" w:ascii="宋体" w:hAnsi="宋体"/>
          <w:bCs/>
          <w:kern w:val="0"/>
          <w:szCs w:val="21"/>
        </w:rPr>
        <w:t xml:space="preserve">   签订</w:t>
      </w:r>
      <w:r>
        <w:rPr>
          <w:rFonts w:hint="eastAsia" w:ascii="宋体" w:hAnsi="宋体"/>
          <w:szCs w:val="21"/>
        </w:rPr>
        <w:t>日期：     年   月   日</w:t>
      </w:r>
    </w:p>
    <w:p>
      <w:pPr>
        <w:snapToGrid w:val="0"/>
        <w:spacing w:line="360" w:lineRule="auto"/>
        <w:ind w:firstLine="420" w:firstLineChars="200"/>
        <w:rPr>
          <w:rFonts w:ascii="宋体" w:hAnsi="宋体"/>
          <w:szCs w:val="21"/>
        </w:rPr>
      </w:pPr>
      <w:r>
        <w:rPr>
          <w:rFonts w:ascii="宋体" w:hAnsi="宋体"/>
          <w:szCs w:val="21"/>
        </w:rPr>
        <w:br w:type="page"/>
      </w:r>
    </w:p>
    <w:p>
      <w:pPr>
        <w:snapToGrid w:val="0"/>
        <w:spacing w:line="360" w:lineRule="auto"/>
        <w:ind w:firstLine="420" w:firstLineChars="200"/>
        <w:rPr>
          <w:rFonts w:ascii="宋体" w:hAnsi="宋体"/>
          <w:szCs w:val="21"/>
        </w:rPr>
      </w:pPr>
      <w:r>
        <w:rPr>
          <w:rFonts w:hint="eastAsia" w:ascii="宋体" w:hAnsi="宋体"/>
          <w:szCs w:val="21"/>
        </w:rPr>
        <w:t>附件</w:t>
      </w:r>
      <w:r>
        <w:rPr>
          <w:rFonts w:ascii="宋体" w:hAnsi="宋体"/>
          <w:szCs w:val="21"/>
        </w:rPr>
        <w:t>1：</w:t>
      </w:r>
    </w:p>
    <w:p>
      <w:pPr>
        <w:snapToGrid w:val="0"/>
        <w:spacing w:afterLines="50" w:line="360" w:lineRule="auto"/>
        <w:jc w:val="center"/>
        <w:rPr>
          <w:rFonts w:ascii="宋体" w:hAnsi="宋体"/>
          <w:b/>
          <w:sz w:val="32"/>
          <w:szCs w:val="32"/>
        </w:rPr>
      </w:pPr>
      <w:r>
        <w:rPr>
          <w:rFonts w:hint="eastAsia" w:ascii="宋体" w:hAnsi="宋体"/>
          <w:b/>
          <w:sz w:val="32"/>
          <w:szCs w:val="32"/>
        </w:rPr>
        <w:t>廉洁协议书</w:t>
      </w:r>
    </w:p>
    <w:p>
      <w:pPr>
        <w:snapToGrid w:val="0"/>
        <w:spacing w:line="360" w:lineRule="auto"/>
        <w:rPr>
          <w:rFonts w:ascii="宋体" w:hAnsi="宋体" w:cs="宋体"/>
          <w:color w:val="000000"/>
          <w:szCs w:val="21"/>
        </w:rPr>
      </w:pPr>
      <w:r>
        <w:rPr>
          <w:rFonts w:hint="eastAsia" w:ascii="宋体" w:hAnsi="宋体" w:cs="宋体"/>
          <w:color w:val="000000"/>
          <w:szCs w:val="21"/>
        </w:rPr>
        <w:t>甲方：</w:t>
      </w:r>
      <w:r>
        <w:rPr>
          <w:rFonts w:hint="eastAsia" w:ascii="宋体" w:hAnsi="宋体"/>
          <w:szCs w:val="21"/>
        </w:rPr>
        <w:t>山东中烟工业有限责任公司</w:t>
      </w:r>
    </w:p>
    <w:p>
      <w:pPr>
        <w:snapToGrid w:val="0"/>
        <w:spacing w:line="360" w:lineRule="auto"/>
        <w:rPr>
          <w:rFonts w:ascii="宋体" w:hAnsi="宋体" w:cs="宋体"/>
          <w:color w:val="000000"/>
          <w:szCs w:val="21"/>
          <w:u w:val="single"/>
        </w:rPr>
      </w:pPr>
      <w:r>
        <w:rPr>
          <w:rFonts w:hint="eastAsia" w:ascii="宋体" w:hAnsi="宋体" w:cs="宋体"/>
          <w:color w:val="000000"/>
          <w:szCs w:val="21"/>
        </w:rPr>
        <w:t>乙方：</w:t>
      </w:r>
    </w:p>
    <w:p>
      <w:pPr>
        <w:widowControl/>
        <w:snapToGrid w:val="0"/>
        <w:spacing w:line="360" w:lineRule="auto"/>
        <w:ind w:firstLine="420" w:firstLineChars="200"/>
        <w:rPr>
          <w:rFonts w:ascii="宋体" w:hAnsi="宋体"/>
          <w:szCs w:val="21"/>
        </w:rPr>
      </w:pPr>
      <w:r>
        <w:rPr>
          <w:rFonts w:hint="eastAsia" w:ascii="宋体" w:hAnsi="宋体"/>
          <w:szCs w:val="21"/>
        </w:rPr>
        <w:t>为保证甲乙双方在公开、公正、诚信、透明原则（法律认定的商业秘密和合同文件另有规定的除外）下开展业务活动，维护滤棒搭口胶集中制冷装置维修合同（合同编号：）双方及其工作人员的合法权益，保持廉洁自律的工作作风，防止各种违纪违法及不正当行为的发生，特签订本廉洁协议书。</w:t>
      </w:r>
    </w:p>
    <w:p>
      <w:pPr>
        <w:widowControl/>
        <w:spacing w:line="360" w:lineRule="auto"/>
        <w:ind w:firstLine="420" w:firstLineChars="200"/>
        <w:rPr>
          <w:rFonts w:ascii="宋体" w:hAnsi="宋体"/>
          <w:szCs w:val="21"/>
        </w:rPr>
      </w:pPr>
      <w:r>
        <w:rPr>
          <w:rFonts w:hint="eastAsia" w:ascii="宋体" w:hAnsi="宋体"/>
          <w:szCs w:val="21"/>
        </w:rPr>
        <w:t>第一条  协议双方共同的廉洁责任和义务</w:t>
      </w:r>
    </w:p>
    <w:p>
      <w:pPr>
        <w:widowControl/>
        <w:spacing w:line="360" w:lineRule="auto"/>
        <w:ind w:firstLine="420" w:firstLineChars="200"/>
        <w:rPr>
          <w:rFonts w:ascii="宋体" w:hAnsi="宋体"/>
          <w:szCs w:val="21"/>
        </w:rPr>
      </w:pPr>
      <w:r>
        <w:rPr>
          <w:rFonts w:hint="eastAsia" w:ascii="宋体" w:hAnsi="宋体"/>
          <w:szCs w:val="21"/>
        </w:rPr>
        <w:t>（一）协议双方及其工作人员应当自觉遵守国家有关廉洁工作的法律、法规及有关规定。</w:t>
      </w:r>
    </w:p>
    <w:p>
      <w:pPr>
        <w:widowControl/>
        <w:spacing w:line="360" w:lineRule="auto"/>
        <w:ind w:firstLine="420" w:firstLineChars="200"/>
        <w:rPr>
          <w:rFonts w:ascii="宋体" w:hAnsi="宋体"/>
          <w:szCs w:val="21"/>
        </w:rPr>
      </w:pPr>
      <w:r>
        <w:rPr>
          <w:rFonts w:hint="eastAsia" w:ascii="宋体" w:hAnsi="宋体"/>
          <w:szCs w:val="21"/>
        </w:rPr>
        <w:t>（二）协议双方应严格执行合同和本协议书。</w:t>
      </w:r>
    </w:p>
    <w:p>
      <w:pPr>
        <w:widowControl/>
        <w:spacing w:line="360" w:lineRule="auto"/>
        <w:ind w:firstLine="420" w:firstLineChars="200"/>
        <w:rPr>
          <w:rFonts w:ascii="宋体" w:hAnsi="宋体"/>
          <w:szCs w:val="21"/>
        </w:rPr>
      </w:pPr>
      <w:r>
        <w:rPr>
          <w:rFonts w:hint="eastAsia" w:ascii="宋体" w:hAnsi="宋体"/>
          <w:szCs w:val="21"/>
        </w:rPr>
        <w:t>（三）业务活动不得损害国家、社会、集体、他人及本协议各方利益，不得违反有关的法律法规、项目管理规章制度。</w:t>
      </w:r>
    </w:p>
    <w:p>
      <w:pPr>
        <w:widowControl/>
        <w:spacing w:line="360" w:lineRule="auto"/>
        <w:ind w:firstLine="420" w:firstLineChars="200"/>
        <w:rPr>
          <w:rFonts w:ascii="宋体" w:hAnsi="宋体"/>
          <w:szCs w:val="21"/>
        </w:rPr>
      </w:pPr>
      <w:r>
        <w:rPr>
          <w:rFonts w:hint="eastAsia" w:ascii="宋体" w:hAnsi="宋体"/>
          <w:szCs w:val="21"/>
        </w:rPr>
        <w:t>第二条  甲方及其工作人员在业务活动中应遵守以下规定</w:t>
      </w:r>
    </w:p>
    <w:p>
      <w:pPr>
        <w:widowControl/>
        <w:spacing w:line="360" w:lineRule="auto"/>
        <w:ind w:firstLine="420" w:firstLineChars="200"/>
        <w:rPr>
          <w:rFonts w:ascii="宋体" w:hAnsi="宋体"/>
          <w:szCs w:val="21"/>
        </w:rPr>
      </w:pPr>
      <w:r>
        <w:rPr>
          <w:rFonts w:hint="eastAsia" w:ascii="宋体" w:hAnsi="宋体"/>
          <w:szCs w:val="21"/>
        </w:rPr>
        <w:t>（一）甲方有权对乙方履行合同过程中的廉洁情况进行监督，组织协议双方人员参加廉洁工作会议。</w:t>
      </w:r>
    </w:p>
    <w:p>
      <w:pPr>
        <w:widowControl/>
        <w:spacing w:line="360" w:lineRule="auto"/>
        <w:ind w:firstLine="420" w:firstLineChars="200"/>
        <w:rPr>
          <w:rFonts w:ascii="宋体" w:hAnsi="宋体"/>
          <w:szCs w:val="21"/>
        </w:rPr>
      </w:pPr>
      <w:r>
        <w:rPr>
          <w:rFonts w:hint="eastAsia" w:ascii="宋体" w:hAnsi="宋体"/>
          <w:szCs w:val="21"/>
        </w:rPr>
        <w:t>（二）甲方应向乙方介绍甲方有关廉洁工作制度和规定。</w:t>
      </w:r>
    </w:p>
    <w:p>
      <w:pPr>
        <w:widowControl/>
        <w:spacing w:line="360" w:lineRule="auto"/>
        <w:ind w:firstLine="420" w:firstLineChars="200"/>
        <w:rPr>
          <w:rFonts w:ascii="宋体" w:hAnsi="宋体"/>
          <w:szCs w:val="21"/>
        </w:rPr>
      </w:pPr>
      <w:r>
        <w:rPr>
          <w:rFonts w:hint="eastAsia" w:ascii="宋体" w:hAnsi="宋体"/>
          <w:szCs w:val="21"/>
        </w:rPr>
        <w:t>（三）甲方应建立健全廉洁制度，对本单位人员开展廉洁教育，监督并认真查处违法违纪行为。</w:t>
      </w:r>
    </w:p>
    <w:p>
      <w:pPr>
        <w:widowControl/>
        <w:spacing w:line="360" w:lineRule="auto"/>
        <w:ind w:firstLine="420" w:firstLineChars="200"/>
        <w:rPr>
          <w:rFonts w:ascii="宋体" w:hAnsi="宋体"/>
          <w:szCs w:val="21"/>
        </w:rPr>
      </w:pPr>
      <w:r>
        <w:rPr>
          <w:rFonts w:hint="eastAsia" w:ascii="宋体" w:hAnsi="宋体"/>
          <w:szCs w:val="21"/>
        </w:rPr>
        <w:t>（四）甲方及其工作人员不得在乙方及其相关单位报销任何应由甲方及其工作人员支付的费用。</w:t>
      </w:r>
    </w:p>
    <w:p>
      <w:pPr>
        <w:widowControl/>
        <w:spacing w:line="360" w:lineRule="auto"/>
        <w:ind w:firstLine="420" w:firstLineChars="200"/>
        <w:rPr>
          <w:rFonts w:ascii="宋体" w:hAnsi="宋体"/>
          <w:szCs w:val="21"/>
        </w:rPr>
      </w:pPr>
      <w:r>
        <w:rPr>
          <w:rFonts w:hint="eastAsia" w:ascii="宋体" w:hAnsi="宋体"/>
          <w:szCs w:val="21"/>
        </w:rPr>
        <w:t>（五）甲方及其工作人员不得向乙方及其相关单位索要或接受回扣、礼金、有价证券、贵重物品和好处费、感谢费等。</w:t>
      </w:r>
    </w:p>
    <w:p>
      <w:pPr>
        <w:widowControl/>
        <w:spacing w:line="360" w:lineRule="auto"/>
        <w:ind w:firstLine="420" w:firstLineChars="200"/>
        <w:rPr>
          <w:rFonts w:ascii="宋体" w:hAnsi="宋体"/>
          <w:szCs w:val="21"/>
        </w:rPr>
      </w:pPr>
      <w:r>
        <w:rPr>
          <w:rFonts w:hint="eastAsia" w:ascii="宋体" w:hAnsi="宋体"/>
          <w:szCs w:val="21"/>
        </w:rPr>
        <w:t>（六）甲方及其工作人员不得要求、暗示和接受乙方及其相关单位为个人装修住房、婚丧嫁娶、配偶子女的工作安排以及出国（境）、旅游等提供方便。</w:t>
      </w:r>
    </w:p>
    <w:p>
      <w:pPr>
        <w:widowControl/>
        <w:spacing w:line="360" w:lineRule="auto"/>
        <w:ind w:firstLine="420" w:firstLineChars="200"/>
        <w:rPr>
          <w:rFonts w:ascii="宋体" w:hAnsi="宋体"/>
          <w:szCs w:val="21"/>
        </w:rPr>
      </w:pPr>
      <w:r>
        <w:rPr>
          <w:rFonts w:hint="eastAsia" w:ascii="宋体" w:hAnsi="宋体"/>
          <w:szCs w:val="21"/>
        </w:rPr>
        <w:t>（七）甲方及其工作人员不得参加有可能影响廉洁开展业务活动的乙方及其相关单位的宴请、健身、娱乐等活动；不得接受乙方提供的通讯工具、交通工具和办公用品等。</w:t>
      </w:r>
    </w:p>
    <w:p>
      <w:pPr>
        <w:widowControl/>
        <w:spacing w:line="360" w:lineRule="auto"/>
        <w:ind w:firstLine="420" w:firstLineChars="200"/>
        <w:rPr>
          <w:rFonts w:ascii="宋体" w:hAnsi="宋体"/>
          <w:szCs w:val="21"/>
        </w:rPr>
      </w:pPr>
      <w:r>
        <w:rPr>
          <w:rFonts w:hint="eastAsia" w:ascii="宋体" w:hAnsi="宋体"/>
          <w:szCs w:val="21"/>
        </w:rPr>
        <w:t>（八）甲方及其工作人员不得向乙方介绍或为配偶、子女、亲属参与同甲方项目合同有关的设备、材料、工程分包、劳务等业务活动。不得以任何理由向乙方推荐分包单位或要求乙方购买合同规定以外的材料、设备等。</w:t>
      </w:r>
    </w:p>
    <w:p>
      <w:pPr>
        <w:widowControl/>
        <w:spacing w:line="360" w:lineRule="auto"/>
        <w:ind w:firstLine="420" w:firstLineChars="200"/>
        <w:rPr>
          <w:rFonts w:ascii="宋体" w:hAnsi="宋体"/>
          <w:szCs w:val="21"/>
        </w:rPr>
      </w:pPr>
      <w:r>
        <w:rPr>
          <w:rFonts w:hint="eastAsia" w:ascii="宋体" w:hAnsi="宋体"/>
          <w:szCs w:val="21"/>
        </w:rPr>
        <w:t>（九）甲方及其工作人员不得实施其他任何违反法律法规、党规党纪、有关规章制度的行为。</w:t>
      </w:r>
    </w:p>
    <w:p>
      <w:pPr>
        <w:widowControl/>
        <w:spacing w:line="360" w:lineRule="auto"/>
        <w:ind w:firstLine="420" w:firstLineChars="200"/>
        <w:rPr>
          <w:rFonts w:ascii="宋体" w:hAnsi="宋体"/>
          <w:szCs w:val="21"/>
        </w:rPr>
      </w:pPr>
      <w:r>
        <w:rPr>
          <w:rFonts w:hint="eastAsia" w:ascii="宋体" w:hAnsi="宋体"/>
          <w:szCs w:val="21"/>
        </w:rPr>
        <w:t>第三条 乙方及其工作人员应依法廉洁开展业务活动，并遵守以下规定：</w:t>
      </w:r>
    </w:p>
    <w:p>
      <w:pPr>
        <w:widowControl/>
        <w:spacing w:line="360" w:lineRule="auto"/>
        <w:ind w:firstLine="420" w:firstLineChars="200"/>
        <w:rPr>
          <w:rFonts w:ascii="宋体" w:hAnsi="宋体"/>
          <w:szCs w:val="21"/>
        </w:rPr>
      </w:pPr>
      <w:r>
        <w:rPr>
          <w:rFonts w:hint="eastAsia" w:ascii="宋体" w:hAnsi="宋体"/>
          <w:szCs w:val="21"/>
        </w:rPr>
        <w:t>（一）乙方应了解甲方单位有关廉洁工作制度和规定，并遵照执行。</w:t>
      </w:r>
    </w:p>
    <w:p>
      <w:pPr>
        <w:widowControl/>
        <w:spacing w:line="360" w:lineRule="auto"/>
        <w:ind w:firstLine="420" w:firstLineChars="200"/>
        <w:rPr>
          <w:rFonts w:ascii="宋体" w:hAnsi="宋体"/>
          <w:szCs w:val="21"/>
        </w:rPr>
      </w:pPr>
      <w:r>
        <w:rPr>
          <w:rFonts w:hint="eastAsia" w:ascii="宋体" w:hAnsi="宋体"/>
          <w:szCs w:val="21"/>
        </w:rPr>
        <w:t>（二）乙方应建立健全廉洁制度，对本单位人员开展廉洁教育，监督并认真查处违法违纪行为。</w:t>
      </w:r>
    </w:p>
    <w:p>
      <w:pPr>
        <w:widowControl/>
        <w:spacing w:line="360" w:lineRule="auto"/>
        <w:ind w:firstLine="420" w:firstLineChars="200"/>
        <w:rPr>
          <w:rFonts w:ascii="宋体" w:hAnsi="宋体"/>
          <w:szCs w:val="21"/>
        </w:rPr>
      </w:pPr>
      <w:r>
        <w:rPr>
          <w:rFonts w:hint="eastAsia" w:ascii="宋体" w:hAnsi="宋体"/>
          <w:szCs w:val="21"/>
        </w:rPr>
        <w:t>（三）乙方及其工作人员有权拒绝甲方人员提出的任何违反廉洁工作的要求。</w:t>
      </w:r>
    </w:p>
    <w:p>
      <w:pPr>
        <w:widowControl/>
        <w:spacing w:line="360" w:lineRule="auto"/>
        <w:ind w:firstLine="420" w:firstLineChars="200"/>
        <w:rPr>
          <w:rFonts w:ascii="宋体" w:hAnsi="宋体"/>
          <w:szCs w:val="21"/>
        </w:rPr>
      </w:pPr>
      <w:r>
        <w:rPr>
          <w:rFonts w:hint="eastAsia" w:ascii="宋体" w:hAnsi="宋体"/>
          <w:szCs w:val="21"/>
        </w:rPr>
        <w:t>（四）乙方及其工作人员不得以任何理由向甲方人员赠送礼金、有价证券、贵重物品和回扣、好处费、感谢费等。</w:t>
      </w:r>
    </w:p>
    <w:p>
      <w:pPr>
        <w:widowControl/>
        <w:spacing w:line="360" w:lineRule="auto"/>
        <w:ind w:firstLine="420" w:firstLineChars="200"/>
        <w:rPr>
          <w:rFonts w:ascii="宋体" w:hAnsi="宋体"/>
          <w:szCs w:val="21"/>
        </w:rPr>
      </w:pPr>
      <w:r>
        <w:rPr>
          <w:rFonts w:hint="eastAsia" w:ascii="宋体" w:hAnsi="宋体"/>
          <w:szCs w:val="21"/>
        </w:rPr>
        <w:t>（五）乙方及其工作人员不得以任何理由为甲方人员报销应由对方或个人支付的费用。</w:t>
      </w:r>
    </w:p>
    <w:p>
      <w:pPr>
        <w:widowControl/>
        <w:spacing w:line="360" w:lineRule="auto"/>
        <w:ind w:firstLine="420" w:firstLineChars="200"/>
        <w:rPr>
          <w:rFonts w:ascii="宋体" w:hAnsi="宋体"/>
          <w:szCs w:val="21"/>
        </w:rPr>
      </w:pPr>
      <w:r>
        <w:rPr>
          <w:rFonts w:hint="eastAsia" w:ascii="宋体" w:hAnsi="宋体"/>
          <w:szCs w:val="21"/>
        </w:rPr>
        <w:t>（六）乙方及其工作人员不得接受或暗示为甲方人员装修住房、婚丧嫁娶、配偶子女的工作安排以及出国（境）、旅游等提供方便。</w:t>
      </w:r>
    </w:p>
    <w:p>
      <w:pPr>
        <w:widowControl/>
        <w:spacing w:line="360" w:lineRule="auto"/>
        <w:ind w:firstLine="420" w:firstLineChars="200"/>
        <w:rPr>
          <w:rFonts w:ascii="宋体" w:hAnsi="宋体"/>
          <w:szCs w:val="21"/>
        </w:rPr>
      </w:pPr>
      <w:r>
        <w:rPr>
          <w:rFonts w:hint="eastAsia" w:ascii="宋体" w:hAnsi="宋体"/>
          <w:szCs w:val="21"/>
        </w:rPr>
        <w:t>（七）乙方及其工作人员不得以任何理由为甲方人员组织有可能影响廉洁开展业务活动的宴请、健身、娱乐等活动；不得为甲方人员购置或提供通讯工具、交通工具和办公用品等。</w:t>
      </w:r>
    </w:p>
    <w:p>
      <w:pPr>
        <w:widowControl/>
        <w:spacing w:line="360" w:lineRule="auto"/>
        <w:ind w:firstLine="420" w:firstLineChars="200"/>
        <w:rPr>
          <w:rFonts w:ascii="宋体" w:hAnsi="宋体"/>
          <w:szCs w:val="21"/>
        </w:rPr>
      </w:pPr>
      <w:r>
        <w:rPr>
          <w:rFonts w:hint="eastAsia" w:ascii="宋体" w:hAnsi="宋体"/>
          <w:szCs w:val="21"/>
        </w:rPr>
        <w:t>（八）乙方及其工作人员不得进行任何其他影响甲方及其工作人员廉洁从业的不正当行为。</w:t>
      </w:r>
    </w:p>
    <w:p>
      <w:pPr>
        <w:widowControl/>
        <w:spacing w:line="360" w:lineRule="auto"/>
        <w:ind w:firstLine="420" w:firstLineChars="200"/>
        <w:rPr>
          <w:rFonts w:ascii="宋体" w:hAnsi="宋体"/>
          <w:szCs w:val="21"/>
        </w:rPr>
      </w:pPr>
      <w:r>
        <w:rPr>
          <w:rFonts w:hint="eastAsia" w:ascii="宋体" w:hAnsi="宋体"/>
          <w:szCs w:val="21"/>
        </w:rPr>
        <w:t>（九）乙方及其工作人员不得实施其他任何违反法律法规、党规党纪或双方相关规章制度的行为。</w:t>
      </w:r>
    </w:p>
    <w:p>
      <w:pPr>
        <w:widowControl/>
        <w:spacing w:line="360" w:lineRule="auto"/>
        <w:ind w:firstLine="420" w:firstLineChars="200"/>
        <w:rPr>
          <w:rFonts w:ascii="宋体" w:hAnsi="宋体"/>
          <w:szCs w:val="21"/>
        </w:rPr>
      </w:pPr>
      <w:r>
        <w:rPr>
          <w:rFonts w:hint="eastAsia" w:ascii="宋体" w:hAnsi="宋体"/>
          <w:szCs w:val="21"/>
        </w:rPr>
        <w:t>第四条  违约责任</w:t>
      </w:r>
    </w:p>
    <w:p>
      <w:pPr>
        <w:widowControl/>
        <w:spacing w:line="360" w:lineRule="auto"/>
        <w:ind w:firstLine="420" w:firstLineChars="200"/>
        <w:rPr>
          <w:rFonts w:ascii="宋体" w:hAnsi="宋体"/>
          <w:szCs w:val="21"/>
        </w:rPr>
      </w:pPr>
      <w:r>
        <w:rPr>
          <w:rFonts w:hint="eastAsia" w:ascii="宋体" w:hAnsi="宋体"/>
          <w:szCs w:val="21"/>
        </w:rPr>
        <w:t>（一）任何一方发现对方或其工作人员在业务活动中有违法、违纪、违规行为的，均有权提醒对方，收到提醒的一方应积极查实，并将查实及整改处理情况及时告知对方。</w:t>
      </w:r>
    </w:p>
    <w:p>
      <w:pPr>
        <w:widowControl/>
        <w:spacing w:line="360" w:lineRule="auto"/>
        <w:ind w:firstLine="420" w:firstLineChars="200"/>
        <w:rPr>
          <w:rFonts w:ascii="宋体" w:hAnsi="宋体"/>
          <w:szCs w:val="21"/>
        </w:rPr>
      </w:pPr>
      <w:r>
        <w:rPr>
          <w:rFonts w:hint="eastAsia" w:ascii="宋体" w:hAnsi="宋体"/>
          <w:szCs w:val="21"/>
        </w:rPr>
        <w:t>（二）甲方人员违反本协议书第二条约定的，按照管理权限，由甲方依据有关法律、法规、规定等视情节轻重给予党纪、政纪处分或组织调整，涉嫌违法犯罪的，移交司法机关追究刑事责任。</w:t>
      </w:r>
    </w:p>
    <w:p>
      <w:pPr>
        <w:spacing w:line="360" w:lineRule="auto"/>
        <w:ind w:firstLine="420" w:firstLineChars="200"/>
        <w:rPr>
          <w:rFonts w:ascii="宋体" w:hAnsi="宋体"/>
          <w:szCs w:val="21"/>
        </w:rPr>
      </w:pPr>
      <w:r>
        <w:rPr>
          <w:rFonts w:hint="eastAsia" w:ascii="宋体" w:hAnsi="宋体"/>
          <w:szCs w:val="21"/>
        </w:rPr>
        <w:t>（三）乙方及其工作人员违反本协议书第三条约定的，一经查实，依据有关规定，由乙方或乙方上级主管部门给予党纪、政纪或组织处理，甲方可提出相关意见建议，涉嫌违法犯罪的，应当移交司法机关追究刑事责任。</w:t>
      </w:r>
    </w:p>
    <w:p>
      <w:pPr>
        <w:spacing w:line="360" w:lineRule="auto"/>
        <w:ind w:firstLine="420" w:firstLineChars="200"/>
        <w:rPr>
          <w:rFonts w:ascii="宋体" w:hAnsi="宋体"/>
          <w:szCs w:val="21"/>
        </w:rPr>
      </w:pPr>
      <w:r>
        <w:rPr>
          <w:rFonts w:hint="eastAsia" w:ascii="宋体" w:hAnsi="宋体"/>
          <w:szCs w:val="21"/>
        </w:rPr>
        <w:t>（四）按照烟草行业和山东中烟有关规定，对发生行贿行为的，供应商及其法定代表人、主要负责人和行贿人，将列入烟草行业及所属单位行贿行为供应商名单，实施全烟草行业禁入。</w:t>
      </w:r>
    </w:p>
    <w:p>
      <w:pPr>
        <w:spacing w:line="360" w:lineRule="auto"/>
        <w:ind w:firstLine="420" w:firstLineChars="200"/>
        <w:rPr>
          <w:rFonts w:ascii="宋体" w:hAnsi="宋体"/>
          <w:szCs w:val="21"/>
        </w:rPr>
      </w:pPr>
      <w:r>
        <w:rPr>
          <w:rFonts w:hint="eastAsia" w:ascii="宋体" w:hAnsi="宋体"/>
          <w:szCs w:val="21"/>
        </w:rPr>
        <w:t>第五条  在相关案件查办时，乙方有配合提供证据、作证的义务，如果发生拒不配合监委调查工作的情形，甲方有权采取警示约谈、降低考核评价分数、降低供货份额、缩短服务期限、终止或解除合同等多种处理措施。</w:t>
      </w:r>
    </w:p>
    <w:p>
      <w:pPr>
        <w:widowControl/>
        <w:spacing w:line="360" w:lineRule="auto"/>
        <w:ind w:firstLine="420" w:firstLineChars="200"/>
        <w:rPr>
          <w:rFonts w:ascii="宋体" w:hAnsi="宋体"/>
          <w:szCs w:val="21"/>
        </w:rPr>
      </w:pPr>
      <w:r>
        <w:rPr>
          <w:rFonts w:hint="eastAsia" w:ascii="宋体" w:hAnsi="宋体"/>
          <w:szCs w:val="21"/>
        </w:rPr>
        <w:t>第六条  本协议书为滤棒搭口胶集中制冷装置维修合同（合同编号：）的附件，双方法定代表人或委托代理人签字后生效。</w:t>
      </w:r>
    </w:p>
    <w:p>
      <w:pPr>
        <w:widowControl/>
        <w:spacing w:line="360" w:lineRule="auto"/>
        <w:ind w:firstLine="420" w:firstLineChars="200"/>
        <w:rPr>
          <w:rFonts w:ascii="宋体" w:hAnsi="宋体"/>
          <w:szCs w:val="21"/>
        </w:rPr>
      </w:pPr>
      <w:r>
        <w:rPr>
          <w:rFonts w:hint="eastAsia" w:ascii="宋体" w:hAnsi="宋体"/>
          <w:szCs w:val="21"/>
        </w:rPr>
        <w:t>第七条  本协议书一式叁份，甲方贰份，乙方壹份，并对合同履行直接相关人员进行公开，以共同自觉遵守。</w:t>
      </w:r>
    </w:p>
    <w:p>
      <w:pPr>
        <w:widowControl/>
        <w:jc w:val="left"/>
        <w:rPr>
          <w:rFonts w:ascii="宋体" w:hAnsi="宋体" w:cs="宋体"/>
          <w:sz w:val="22"/>
          <w:szCs w:val="22"/>
        </w:rPr>
      </w:pPr>
    </w:p>
    <w:p>
      <w:pPr>
        <w:widowControl/>
        <w:spacing w:line="360" w:lineRule="auto"/>
        <w:jc w:val="left"/>
        <w:rPr>
          <w:rFonts w:ascii="宋体" w:hAnsi="宋体" w:cs="宋体"/>
          <w:szCs w:val="21"/>
        </w:rPr>
      </w:pPr>
      <w:r>
        <w:rPr>
          <w:rFonts w:hint="eastAsia" w:ascii="宋体" w:hAnsi="宋体" w:cs="宋体"/>
          <w:szCs w:val="21"/>
        </w:rPr>
        <w:t>甲方举报联系人：王伟                      乙方举报联系人：</w:t>
      </w:r>
    </w:p>
    <w:p>
      <w:pPr>
        <w:widowControl/>
        <w:spacing w:line="360" w:lineRule="auto"/>
        <w:jc w:val="left"/>
        <w:rPr>
          <w:rFonts w:ascii="宋体" w:hAnsi="宋体" w:cs="宋体"/>
          <w:szCs w:val="21"/>
        </w:rPr>
      </w:pPr>
      <w:r>
        <w:rPr>
          <w:rFonts w:hint="eastAsia" w:ascii="宋体" w:hAnsi="宋体" w:cs="宋体"/>
          <w:szCs w:val="21"/>
        </w:rPr>
        <w:t>联系方式：</w:t>
      </w:r>
      <w:r>
        <w:rPr>
          <w:rFonts w:hint="eastAsia" w:ascii="宋体" w:hAnsi="宋体"/>
          <w:szCs w:val="21"/>
        </w:rPr>
        <w:t>0536—3239213</w:t>
      </w:r>
      <w:r>
        <w:rPr>
          <w:rFonts w:hint="eastAsia" w:ascii="宋体" w:hAnsi="宋体" w:cs="宋体"/>
          <w:szCs w:val="21"/>
        </w:rPr>
        <w:t xml:space="preserve">                   联系方式：</w:t>
      </w:r>
    </w:p>
    <w:p>
      <w:pPr>
        <w:widowControl/>
        <w:spacing w:line="360" w:lineRule="auto"/>
        <w:jc w:val="left"/>
        <w:rPr>
          <w:rFonts w:ascii="宋体" w:hAnsi="宋体" w:cs="宋体"/>
          <w:szCs w:val="21"/>
        </w:rPr>
      </w:pPr>
      <w:r>
        <w:rPr>
          <w:rFonts w:hint="eastAsia" w:ascii="宋体" w:hAnsi="宋体" w:cs="宋体"/>
          <w:szCs w:val="21"/>
        </w:rPr>
        <w:t>邮    箱：</w:t>
      </w:r>
      <w:r>
        <w:fldChar w:fldCharType="begin"/>
      </w:r>
      <w:r>
        <w:instrText xml:space="preserve"> HYPERLINK "mailto:QZJYCJJJCC@163.com" </w:instrText>
      </w:r>
      <w:r>
        <w:fldChar w:fldCharType="separate"/>
      </w:r>
      <w:r>
        <w:rPr>
          <w:rFonts w:hint="eastAsia" w:ascii="宋体" w:hAnsi="宋体" w:cs="宋体"/>
          <w:szCs w:val="21"/>
        </w:rPr>
        <w:t>QZJYCJJJCC@163.com</w:t>
      </w:r>
      <w:r>
        <w:rPr>
          <w:rFonts w:hint="eastAsia" w:ascii="宋体" w:hAnsi="宋体" w:cs="宋体"/>
          <w:szCs w:val="21"/>
        </w:rPr>
        <w:fldChar w:fldCharType="end"/>
      </w:r>
      <w:r>
        <w:fldChar w:fldCharType="begin"/>
      </w:r>
      <w:r>
        <w:instrText xml:space="preserve"> HYPERLINK "mailto:*****@tobacco.gov.cn" </w:instrText>
      </w:r>
      <w:r>
        <w:fldChar w:fldCharType="separate"/>
      </w:r>
      <w:r>
        <w:fldChar w:fldCharType="end"/>
      </w:r>
      <w:r>
        <w:fldChar w:fldCharType="begin"/>
      </w:r>
      <w:r>
        <w:instrText xml:space="preserve"> HYPERLINK "mailto:sdgy-jjjc@tobacco.gov.cn" </w:instrText>
      </w:r>
      <w:r>
        <w:fldChar w:fldCharType="separate"/>
      </w:r>
      <w:r>
        <w:fldChar w:fldCharType="end"/>
      </w:r>
      <w:r>
        <w:rPr>
          <w:rFonts w:hint="eastAsia" w:ascii="宋体" w:hAnsi="宋体" w:cs="宋体"/>
          <w:szCs w:val="21"/>
        </w:rPr>
        <w:t>邮    箱：</w:t>
      </w:r>
    </w:p>
    <w:p>
      <w:pPr>
        <w:widowControl/>
        <w:spacing w:line="360" w:lineRule="auto"/>
        <w:jc w:val="left"/>
        <w:rPr>
          <w:rFonts w:ascii="宋体" w:hAnsi="宋体" w:cs="宋体"/>
          <w:szCs w:val="21"/>
        </w:rPr>
      </w:pPr>
    </w:p>
    <w:p>
      <w:pPr>
        <w:tabs>
          <w:tab w:val="left" w:pos="5845"/>
        </w:tabs>
        <w:snapToGrid w:val="0"/>
        <w:spacing w:line="360" w:lineRule="auto"/>
        <w:rPr>
          <w:rFonts w:ascii="宋体" w:hAnsi="宋体" w:cs="宋体"/>
          <w:szCs w:val="21"/>
        </w:rPr>
      </w:pPr>
      <w:r>
        <w:rPr>
          <w:rFonts w:hint="eastAsia" w:ascii="宋体" w:hAnsi="宋体" w:cs="宋体"/>
          <w:szCs w:val="21"/>
        </w:rPr>
        <w:t>甲方单位（盖章）：                         乙方单位（盖章）：</w:t>
      </w:r>
    </w:p>
    <w:p>
      <w:pPr>
        <w:tabs>
          <w:tab w:val="left" w:pos="4535"/>
        </w:tabs>
        <w:snapToGrid w:val="0"/>
        <w:spacing w:line="360" w:lineRule="auto"/>
        <w:rPr>
          <w:rFonts w:ascii="宋体" w:hAnsi="宋体" w:cs="宋体"/>
          <w:szCs w:val="21"/>
        </w:rPr>
      </w:pPr>
      <w:r>
        <w:rPr>
          <w:rFonts w:hint="eastAsia" w:ascii="宋体" w:hAnsi="宋体" w:cs="宋体"/>
          <w:szCs w:val="21"/>
        </w:rPr>
        <w:t>法定代表人/委托代理人：                   法定代表人/委托代理人：</w:t>
      </w:r>
    </w:p>
    <w:p>
      <w:pPr>
        <w:snapToGrid w:val="0"/>
        <w:spacing w:line="360" w:lineRule="auto"/>
        <w:rPr>
          <w:rFonts w:ascii="宋体" w:hAnsi="宋体" w:cs="宋体"/>
          <w:szCs w:val="21"/>
        </w:rPr>
      </w:pPr>
      <w:r>
        <w:rPr>
          <w:rFonts w:hint="eastAsia" w:ascii="宋体" w:hAnsi="宋体" w:cs="宋体"/>
          <w:szCs w:val="21"/>
        </w:rPr>
        <w:t xml:space="preserve">经办人：                                  经办人： </w:t>
      </w:r>
    </w:p>
    <w:p>
      <w:pPr>
        <w:tabs>
          <w:tab w:val="left" w:pos="4660"/>
        </w:tabs>
        <w:snapToGrid w:val="0"/>
        <w:spacing w:line="360" w:lineRule="auto"/>
        <w:rPr>
          <w:rFonts w:ascii="宋体" w:hAnsi="宋体" w:cs="宋体"/>
          <w:szCs w:val="21"/>
        </w:rPr>
      </w:pPr>
      <w:r>
        <w:rPr>
          <w:rFonts w:hint="eastAsia" w:ascii="宋体" w:hAnsi="宋体" w:cs="宋体"/>
          <w:szCs w:val="21"/>
        </w:rPr>
        <w:t xml:space="preserve">电话：                                    电话：                    </w:t>
      </w:r>
    </w:p>
    <w:p>
      <w:pPr>
        <w:tabs>
          <w:tab w:val="left" w:pos="4670"/>
        </w:tabs>
        <w:snapToGrid w:val="0"/>
        <w:spacing w:line="360" w:lineRule="auto"/>
        <w:rPr>
          <w:rFonts w:ascii="宋体" w:hAnsi="宋体" w:cs="宋体"/>
          <w:szCs w:val="21"/>
        </w:rPr>
      </w:pPr>
      <w:r>
        <w:rPr>
          <w:rFonts w:hint="eastAsia" w:ascii="宋体" w:hAnsi="宋体" w:cs="宋体"/>
          <w:szCs w:val="21"/>
        </w:rPr>
        <w:t>地址：山东省青州市玲珑山北路1818号       地址：</w:t>
      </w:r>
    </w:p>
    <w:p>
      <w:pPr>
        <w:tabs>
          <w:tab w:val="left" w:pos="4320"/>
        </w:tabs>
        <w:snapToGrid w:val="0"/>
        <w:spacing w:line="360" w:lineRule="auto"/>
        <w:ind w:firstLine="840" w:firstLineChars="400"/>
        <w:rPr>
          <w:rFonts w:ascii="宋体" w:hAnsi="宋体" w:cs="宋体"/>
          <w:szCs w:val="21"/>
          <w:u w:val="single"/>
        </w:rPr>
      </w:pPr>
      <w:r>
        <w:rPr>
          <w:rFonts w:hint="eastAsia" w:ascii="宋体" w:hAnsi="宋体" w:cs="宋体"/>
          <w:szCs w:val="21"/>
        </w:rPr>
        <w:t xml:space="preserve">年   月   日      </w:t>
      </w:r>
      <w:r>
        <w:rPr>
          <w:rFonts w:hint="eastAsia" w:ascii="宋体" w:hAnsi="宋体" w:cs="宋体"/>
          <w:szCs w:val="21"/>
        </w:rPr>
        <w:tab/>
      </w:r>
      <w:r>
        <w:rPr>
          <w:rFonts w:hint="eastAsia" w:ascii="宋体" w:hAnsi="宋体" w:cs="宋体"/>
          <w:szCs w:val="21"/>
        </w:rPr>
        <w:t xml:space="preserve">       年   月   日</w:t>
      </w:r>
    </w:p>
    <w:p>
      <w:pPr>
        <w:snapToGrid w:val="0"/>
        <w:spacing w:line="360" w:lineRule="auto"/>
        <w:rPr>
          <w:rFonts w:ascii="宋体" w:hAnsi="宋体"/>
          <w:bCs/>
          <w:kern w:val="0"/>
          <w:sz w:val="24"/>
        </w:rPr>
      </w:pPr>
    </w:p>
    <w:p>
      <w:pPr>
        <w:pStyle w:val="16"/>
        <w:adjustRightInd w:val="0"/>
        <w:snapToGrid w:val="0"/>
        <w:spacing w:line="360" w:lineRule="auto"/>
        <w:rPr>
          <w:rFonts w:ascii="宋体" w:hAnsi="宋体"/>
          <w:sz w:val="24"/>
        </w:rPr>
      </w:pPr>
    </w:p>
    <w:p>
      <w:pPr>
        <w:pStyle w:val="16"/>
        <w:adjustRightInd w:val="0"/>
        <w:snapToGrid w:val="0"/>
        <w:spacing w:line="360" w:lineRule="auto"/>
        <w:rPr>
          <w:rFonts w:ascii="宋体" w:hAnsi="宋体"/>
          <w:sz w:val="24"/>
        </w:rPr>
      </w:pPr>
    </w:p>
    <w:p>
      <w:pPr>
        <w:pStyle w:val="16"/>
        <w:adjustRightInd w:val="0"/>
        <w:snapToGrid w:val="0"/>
        <w:spacing w:line="360" w:lineRule="auto"/>
        <w:rPr>
          <w:rFonts w:ascii="宋体" w:hAnsi="宋体"/>
          <w:sz w:val="24"/>
        </w:rPr>
      </w:pPr>
    </w:p>
    <w:p>
      <w:pPr>
        <w:widowControl/>
        <w:jc w:val="left"/>
        <w:rPr>
          <w:rFonts w:ascii="宋体" w:hAnsi="宋体"/>
          <w:b/>
          <w:sz w:val="32"/>
          <w:szCs w:val="32"/>
        </w:rPr>
      </w:pPr>
      <w:r>
        <w:rPr>
          <w:rFonts w:ascii="宋体" w:hAnsi="宋体"/>
          <w:b/>
          <w:sz w:val="32"/>
          <w:szCs w:val="32"/>
        </w:rPr>
        <w:br w:type="page"/>
      </w:r>
    </w:p>
    <w:p>
      <w:pPr>
        <w:tabs>
          <w:tab w:val="left" w:pos="4320"/>
        </w:tabs>
        <w:snapToGrid w:val="0"/>
        <w:spacing w:line="440" w:lineRule="exact"/>
        <w:jc w:val="center"/>
        <w:rPr>
          <w:rFonts w:ascii="宋体" w:hAnsi="宋体"/>
          <w:b/>
          <w:sz w:val="32"/>
          <w:szCs w:val="32"/>
        </w:rPr>
      </w:pPr>
      <w:r>
        <w:rPr>
          <w:rFonts w:hint="eastAsia" w:ascii="宋体" w:hAnsi="宋体"/>
          <w:b/>
          <w:sz w:val="32"/>
          <w:szCs w:val="32"/>
        </w:rPr>
        <w:t>警示约谈书</w:t>
      </w:r>
    </w:p>
    <w:p>
      <w:pPr>
        <w:spacing w:line="400" w:lineRule="atLeast"/>
        <w:ind w:firstLine="420" w:firstLineChars="200"/>
        <w:jc w:val="left"/>
        <w:rPr>
          <w:rFonts w:ascii="宋体" w:hAnsi="宋体"/>
          <w:szCs w:val="21"/>
        </w:rPr>
      </w:pPr>
      <w:r>
        <w:rPr>
          <w:rFonts w:hint="eastAsia" w:ascii="宋体" w:hAnsi="宋体"/>
          <w:szCs w:val="21"/>
        </w:rPr>
        <w:t>约谈地点：</w:t>
      </w:r>
    </w:p>
    <w:p>
      <w:pPr>
        <w:spacing w:line="400" w:lineRule="atLeast"/>
        <w:ind w:firstLine="420" w:firstLineChars="200"/>
        <w:jc w:val="left"/>
        <w:rPr>
          <w:rFonts w:ascii="宋体" w:hAnsi="宋体"/>
          <w:szCs w:val="21"/>
        </w:rPr>
      </w:pPr>
      <w:r>
        <w:rPr>
          <w:rFonts w:hint="eastAsia" w:ascii="宋体" w:hAnsi="宋体"/>
          <w:szCs w:val="21"/>
        </w:rPr>
        <w:t xml:space="preserve">约谈对象： </w:t>
      </w:r>
    </w:p>
    <w:p>
      <w:pPr>
        <w:spacing w:line="400" w:lineRule="atLeast"/>
        <w:ind w:firstLine="420" w:firstLineChars="200"/>
        <w:jc w:val="left"/>
        <w:rPr>
          <w:rFonts w:ascii="宋体" w:hAnsi="宋体"/>
          <w:szCs w:val="21"/>
        </w:rPr>
      </w:pPr>
      <w:r>
        <w:rPr>
          <w:rFonts w:hint="eastAsia" w:ascii="宋体" w:hAnsi="宋体"/>
          <w:szCs w:val="21"/>
        </w:rPr>
        <w:t>约谈方式：</w:t>
      </w:r>
    </w:p>
    <w:p>
      <w:pPr>
        <w:spacing w:line="400" w:lineRule="atLeast"/>
        <w:ind w:firstLine="420" w:firstLineChars="200"/>
        <w:jc w:val="left"/>
        <w:rPr>
          <w:rFonts w:ascii="宋体" w:hAnsi="宋体"/>
          <w:szCs w:val="21"/>
        </w:rPr>
      </w:pPr>
      <w:r>
        <w:rPr>
          <w:rFonts w:hint="eastAsia" w:ascii="宋体" w:hAnsi="宋体"/>
          <w:szCs w:val="21"/>
        </w:rPr>
        <w:t>约谈内容：</w:t>
      </w:r>
    </w:p>
    <w:p>
      <w:pPr>
        <w:spacing w:line="400" w:lineRule="atLeast"/>
        <w:ind w:firstLine="420" w:firstLineChars="200"/>
        <w:jc w:val="left"/>
        <w:rPr>
          <w:rFonts w:ascii="宋体" w:hAnsi="宋体"/>
          <w:szCs w:val="21"/>
        </w:rPr>
      </w:pPr>
      <w:r>
        <w:rPr>
          <w:rFonts w:hint="eastAsia" w:ascii="宋体" w:hAnsi="宋体"/>
          <w:szCs w:val="21"/>
        </w:rPr>
        <w:t>为确保采购工作依法依规顺利进行，维护采购活动各方合法权益，防范廉洁风险，按照要求，现进行警示约谈。</w:t>
      </w:r>
    </w:p>
    <w:p>
      <w:pPr>
        <w:spacing w:line="400" w:lineRule="atLeast"/>
        <w:ind w:firstLine="420" w:firstLineChars="200"/>
        <w:jc w:val="left"/>
        <w:rPr>
          <w:rFonts w:ascii="宋体" w:hAnsi="宋体"/>
          <w:szCs w:val="21"/>
        </w:rPr>
      </w:pPr>
      <w:r>
        <w:rPr>
          <w:rFonts w:hint="eastAsia" w:ascii="宋体" w:hAnsi="宋体"/>
          <w:szCs w:val="21"/>
        </w:rPr>
        <w:t>供应商行贿行为腐蚀性、危害性极大，严重破坏市场公平竞争和社会正常秩序，损害山东中烟利益和形象。保持廉洁自律的工作作风，防止各种违纪违法及不正当行为的发生，是提高采购质量、防范廉洁风险的需要。山东中烟对行贿等不法行为始终坚持“零容忍”态度，请贵方严格履行有关法律法规、采购合同和廉洁协议等要求。</w:t>
      </w:r>
    </w:p>
    <w:p>
      <w:pPr>
        <w:spacing w:line="400" w:lineRule="atLeast"/>
        <w:ind w:firstLine="420" w:firstLineChars="200"/>
        <w:jc w:val="left"/>
        <w:rPr>
          <w:rFonts w:ascii="宋体" w:hAnsi="宋体"/>
          <w:szCs w:val="21"/>
        </w:rPr>
      </w:pPr>
      <w:r>
        <w:rPr>
          <w:rFonts w:hint="eastAsia" w:ascii="宋体" w:hAnsi="宋体"/>
          <w:szCs w:val="21"/>
        </w:rPr>
        <w:t>一、贵方在采购活动中，应严格遵守法律法规规章和烟草行业和山东中烟有关规定，违反相应规定时，应承担相应责任及后果。</w:t>
      </w:r>
    </w:p>
    <w:p>
      <w:pPr>
        <w:spacing w:line="400" w:lineRule="atLeast"/>
        <w:ind w:firstLine="420" w:firstLineChars="200"/>
        <w:jc w:val="left"/>
        <w:rPr>
          <w:rFonts w:ascii="宋体" w:hAnsi="宋体"/>
          <w:szCs w:val="21"/>
        </w:rPr>
      </w:pPr>
      <w:r>
        <w:rPr>
          <w:rFonts w:hint="eastAsia" w:ascii="宋体" w:hAnsi="宋体"/>
          <w:szCs w:val="21"/>
        </w:rPr>
        <w:t>二、供应商被列入烟草行业“黑名单”或在山东中烟系统采购活动中发生行贿行为或通过中国裁判文书网查询等存在行贿行为的，有权将其列入山东中烟“黑名单”，并按照规定上报行业主管部门，根据情节轻重在一定时间内禁止参加采购活动,对在供的，可采取警示约谈、降低考核评价分数、降低供货份额、缩短服务期限、终止或解除合同等处理措施。在列入“黑名单”期限内，行贿供应商的法定代表人、主要负责人和行贿人担任法定代表人、主要负责人或实际控制人的其他企业，均不得参加新采购项目。</w:t>
      </w:r>
    </w:p>
    <w:p>
      <w:pPr>
        <w:spacing w:line="400" w:lineRule="atLeast"/>
        <w:ind w:firstLine="420" w:firstLineChars="200"/>
        <w:jc w:val="left"/>
        <w:rPr>
          <w:rFonts w:ascii="宋体" w:hAnsi="宋体"/>
          <w:szCs w:val="21"/>
        </w:rPr>
      </w:pPr>
      <w:r>
        <w:rPr>
          <w:rFonts w:hint="eastAsia" w:ascii="宋体" w:hAnsi="宋体"/>
          <w:szCs w:val="21"/>
        </w:rPr>
        <w:t>三、在参加采购活动时，山东中烟将严格进行资格审查，关注“黑名单”供应商企业信息变更情况，对存在“换马甲”、“换壳”行为的，将予以拒绝。</w:t>
      </w:r>
    </w:p>
    <w:p>
      <w:pPr>
        <w:spacing w:line="400" w:lineRule="atLeast"/>
        <w:ind w:firstLine="420" w:firstLineChars="200"/>
        <w:jc w:val="left"/>
        <w:rPr>
          <w:rFonts w:ascii="宋体" w:hAnsi="宋体"/>
          <w:szCs w:val="21"/>
        </w:rPr>
      </w:pPr>
      <w:r>
        <w:rPr>
          <w:rFonts w:hint="eastAsia" w:ascii="宋体" w:hAnsi="宋体"/>
          <w:szCs w:val="21"/>
        </w:rPr>
        <w:t>四、在相关案件查办时，贵方有配合提供证据、作证的义务，如果发生拒不配合监委调查工作的情形，我方有权采取降低考核评价分数、降低供货份额、缩短服务期限、终止或解除合同等多种处理措施。</w:t>
      </w:r>
    </w:p>
    <w:p>
      <w:pPr>
        <w:spacing w:line="400" w:lineRule="atLeast"/>
        <w:ind w:firstLine="420" w:firstLineChars="200"/>
        <w:jc w:val="left"/>
        <w:rPr>
          <w:rFonts w:ascii="宋体" w:hAnsi="宋体"/>
          <w:szCs w:val="21"/>
        </w:rPr>
      </w:pPr>
      <w:r>
        <w:rPr>
          <w:rFonts w:hint="eastAsia" w:ascii="宋体" w:hAnsi="宋体"/>
          <w:szCs w:val="21"/>
        </w:rPr>
        <w:t>请贵方知悉以上内容，在参加山东中烟系统采购活动或采购项目实施过程中，接受上述警示约谈内容，并愿意承担相应责任及后果。</w:t>
      </w:r>
    </w:p>
    <w:p>
      <w:pPr>
        <w:spacing w:line="400" w:lineRule="atLeast"/>
        <w:ind w:firstLine="400" w:firstLineChars="200"/>
        <w:jc w:val="left"/>
        <w:rPr>
          <w:rFonts w:ascii="宋体" w:hAnsi="宋体"/>
          <w:sz w:val="20"/>
          <w:szCs w:val="20"/>
        </w:rPr>
      </w:pPr>
      <w:r>
        <w:rPr>
          <w:rFonts w:hint="eastAsia" w:ascii="宋体" w:hAnsi="宋体"/>
          <w:sz w:val="20"/>
          <w:szCs w:val="20"/>
        </w:rPr>
        <w:t>约谈方参加人签字：</w:t>
      </w:r>
    </w:p>
    <w:p>
      <w:pPr>
        <w:spacing w:line="400" w:lineRule="atLeast"/>
        <w:ind w:firstLine="400" w:firstLineChars="200"/>
        <w:jc w:val="left"/>
        <w:rPr>
          <w:rFonts w:ascii="宋体" w:hAnsi="宋体"/>
          <w:sz w:val="20"/>
          <w:szCs w:val="20"/>
        </w:rPr>
      </w:pPr>
      <w:r>
        <w:rPr>
          <w:rFonts w:hint="eastAsia" w:ascii="宋体" w:hAnsi="宋体"/>
          <w:sz w:val="20"/>
          <w:szCs w:val="20"/>
        </w:rPr>
        <w:t>被约谈方参加人签字：</w:t>
      </w:r>
    </w:p>
    <w:p>
      <w:pPr>
        <w:spacing w:line="400" w:lineRule="atLeast"/>
        <w:ind w:firstLine="400" w:firstLineChars="200"/>
        <w:jc w:val="left"/>
        <w:rPr>
          <w:rFonts w:ascii="宋体" w:hAnsi="宋体"/>
          <w:sz w:val="20"/>
          <w:szCs w:val="20"/>
        </w:rPr>
      </w:pPr>
      <w:r>
        <w:rPr>
          <w:rFonts w:hint="eastAsia" w:ascii="宋体" w:hAnsi="宋体"/>
          <w:sz w:val="20"/>
          <w:szCs w:val="20"/>
        </w:rPr>
        <w:t>被约谈方单位名称（盖章）：</w:t>
      </w:r>
    </w:p>
    <w:p>
      <w:pPr>
        <w:spacing w:line="400" w:lineRule="atLeast"/>
        <w:ind w:firstLine="3400" w:firstLineChars="1700"/>
        <w:jc w:val="left"/>
        <w:rPr>
          <w:sz w:val="18"/>
          <w:szCs w:val="21"/>
        </w:rPr>
        <w:sectPr>
          <w:headerReference r:id="rId3" w:type="default"/>
          <w:footerReference r:id="rId4" w:type="default"/>
          <w:pgSz w:w="11906" w:h="16838"/>
          <w:pgMar w:top="1440" w:right="1800" w:bottom="1440" w:left="1800" w:header="851" w:footer="992" w:gutter="0"/>
          <w:pgNumType w:fmt="numberInDash"/>
          <w:cols w:space="425" w:num="1"/>
          <w:titlePg/>
          <w:docGrid w:type="lines" w:linePitch="312" w:charSpace="0"/>
        </w:sectPr>
      </w:pPr>
      <w:r>
        <w:rPr>
          <w:rFonts w:hint="eastAsia" w:ascii="宋体" w:hAnsi="宋体"/>
          <w:sz w:val="20"/>
          <w:szCs w:val="20"/>
        </w:rPr>
        <w:t>日期：  年  月  日</w:t>
      </w:r>
    </w:p>
    <w:p>
      <w:pPr>
        <w:rPr>
          <w:rFonts w:ascii="宋体" w:hAnsi="宋体" w:cs="宋体"/>
          <w:bCs/>
          <w:color w:val="000000"/>
          <w:kern w:val="0"/>
          <w:szCs w:val="21"/>
        </w:rPr>
      </w:pPr>
    </w:p>
    <w:p>
      <w:pPr>
        <w:pStyle w:val="40"/>
      </w:pPr>
      <w:bookmarkStart w:id="39" w:name="_Toc16725"/>
      <w:r>
        <w:rPr>
          <w:rFonts w:hint="eastAsia"/>
        </w:rPr>
        <w:t>第五部分</w:t>
      </w:r>
      <w:bookmarkEnd w:id="38"/>
      <w:r>
        <w:rPr>
          <w:rFonts w:hint="eastAsia"/>
        </w:rPr>
        <w:t>项目需求及技术要求</w:t>
      </w:r>
      <w:bookmarkEnd w:id="39"/>
    </w:p>
    <w:p>
      <w:pPr>
        <w:spacing w:line="360" w:lineRule="auto"/>
        <w:ind w:firstLine="422" w:firstLineChars="200"/>
        <w:rPr>
          <w:rFonts w:ascii="宋体" w:hAnsi="宋体"/>
          <w:b/>
          <w:szCs w:val="21"/>
        </w:rPr>
      </w:pPr>
      <w:r>
        <w:rPr>
          <w:rFonts w:hint="eastAsia" w:ascii="宋体" w:hAnsi="宋体"/>
          <w:b/>
          <w:szCs w:val="21"/>
        </w:rPr>
        <w:t>一、项目概况</w:t>
      </w:r>
    </w:p>
    <w:p>
      <w:pPr>
        <w:spacing w:line="360" w:lineRule="auto"/>
        <w:ind w:firstLine="420" w:firstLineChars="200"/>
        <w:rPr>
          <w:rFonts w:ascii="宋体" w:hAnsi="宋体"/>
          <w:szCs w:val="21"/>
        </w:rPr>
      </w:pPr>
      <w:r>
        <w:rPr>
          <w:rFonts w:hint="eastAsia" w:ascii="宋体" w:hAnsi="宋体"/>
          <w:szCs w:val="21"/>
        </w:rPr>
        <w:t>招标人成型机组滤棒搭口使用热熔胶粘贴，需要8°至12°和15°至20°的冷却水分别对压条、烟枪等部件进行冷却，实现热熔胶的快速凝固，避免出现搭口粘接不牢、滤棒爆口等质量问题。目前采用集中制冷的方式，该制冷机组为2008年安装，运行至今未进行过系统维修，使用过程中频繁出现温压缩机工作压力异常、启动卡顿、噪音较大、运行电流接近报警临界值等问题，对滤棒质量产生不好的影响，需要对该集中制冷装置进行维修。</w:t>
      </w:r>
    </w:p>
    <w:p>
      <w:pPr>
        <w:spacing w:line="360" w:lineRule="auto"/>
        <w:ind w:firstLine="422" w:firstLineChars="200"/>
        <w:rPr>
          <w:rFonts w:ascii="宋体" w:hAnsi="宋体"/>
          <w:b/>
          <w:szCs w:val="21"/>
        </w:rPr>
      </w:pPr>
      <w:r>
        <w:rPr>
          <w:rFonts w:hint="eastAsia" w:ascii="宋体" w:hAnsi="宋体"/>
          <w:b/>
          <w:szCs w:val="21"/>
        </w:rPr>
        <w:t>二、项目内容及</w:t>
      </w:r>
      <w:r>
        <w:rPr>
          <w:rFonts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项目实施内容为对滤棒搭口胶集中制冷装置进行维修，更换压缩机、压机冷冻油、油液分离器、膨胀系统、循环水泵、水压传感器、温度传感器等零部件，维修电控系统，恢复设备性能。详细维修内容及功能要求如下：</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.制冷冷水机组维修</w:t>
      </w:r>
      <w:r>
        <w:rPr>
          <w:rFonts w:hint="eastAsia" w:ascii="宋体" w:hAnsi="宋体"/>
          <w:szCs w:val="21"/>
        </w:rPr>
        <w:t>。维修</w:t>
      </w:r>
      <w:r>
        <w:rPr>
          <w:rFonts w:hint="eastAsia" w:ascii="宋体"/>
          <w:color w:val="000000"/>
          <w:szCs w:val="21"/>
        </w:rPr>
        <w:t>制冷系统、水循环系统、水箱、电气控制系统组成，检修和更换以下部件：压缩机、蒸发器采用高效蒸发器、冷凝器、冷凝风机、节流装置、水泵、闭式水箱、电控系统、水过滤系统、设备底座、外壳、减震垫等。</w:t>
      </w:r>
      <w:r>
        <w:rPr>
          <w:rFonts w:ascii="宋体" w:hAnsi="宋体"/>
          <w:szCs w:val="21"/>
        </w:rPr>
        <w:t>设备维修后</w:t>
      </w:r>
      <w:r>
        <w:rPr>
          <w:rFonts w:hint="eastAsia" w:ascii="宋体" w:hAnsi="宋体"/>
          <w:szCs w:val="21"/>
        </w:rPr>
        <w:t>，</w:t>
      </w:r>
      <w:r>
        <w:rPr>
          <w:rFonts w:ascii="宋体" w:hAnsi="宋体"/>
          <w:szCs w:val="21"/>
        </w:rPr>
        <w:t>制冷冷水机组</w:t>
      </w:r>
      <w:r>
        <w:rPr>
          <w:rFonts w:hint="eastAsia" w:ascii="宋体" w:hAnsi="宋体"/>
          <w:szCs w:val="21"/>
        </w:rPr>
        <w:t>必须能够保证8纤维滤棒成型机组工艺要求的冷却水。标准制冷量为91kW(低温水箱供水温度4℃～8℃﹑高温水箱供水温度（15℃～25℃)。供应滤棒成型机冷却压条进水温度要求小于等于6℃，考虑到管路沿管程的热损失，冷水机组进水温度应小于6℃，出水温度精度范围要求达到±1℃。</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.控制系统维修</w:t>
      </w:r>
      <w:r>
        <w:rPr>
          <w:rFonts w:hint="eastAsia" w:ascii="宋体" w:hAnsi="宋体"/>
          <w:szCs w:val="21"/>
        </w:rPr>
        <w:t>。</w:t>
      </w:r>
      <w:r>
        <w:rPr>
          <w:rFonts w:ascii="宋体" w:hAnsi="宋体"/>
          <w:szCs w:val="21"/>
        </w:rPr>
        <w:t>要求更换控制系统</w:t>
      </w:r>
      <w:r>
        <w:rPr>
          <w:rFonts w:hint="eastAsia" w:ascii="宋体" w:hAnsi="宋体"/>
          <w:szCs w:val="21"/>
        </w:rPr>
        <w:t>机柜、触摸屏、主控制器、数字量和模拟量模块、通信模块、断路器等全部零器件。维修后使用S7-1200PLC可编程序控制器，实现机组程序集中控制，并能实现温度、压力等数字与模拟信号的采集、传输和控制。</w:t>
      </w:r>
    </w:p>
    <w:p>
      <w:pPr>
        <w:spacing w:line="360" w:lineRule="auto"/>
        <w:ind w:firstLine="420" w:firstLineChars="200"/>
        <w:rPr>
          <w:rFonts w:ascii="宋体" w:hAnsi="宋体"/>
          <w:szCs w:val="21"/>
        </w:rPr>
      </w:pPr>
      <w:r>
        <w:rPr>
          <w:rFonts w:ascii="宋体" w:hAnsi="宋体"/>
          <w:szCs w:val="21"/>
        </w:rPr>
        <w:t>要求维修后</w:t>
      </w:r>
      <w:r>
        <w:rPr>
          <w:rFonts w:hint="eastAsia" w:ascii="宋体" w:hAnsi="宋体"/>
          <w:szCs w:val="21"/>
        </w:rPr>
        <w:t>制冷机电气控制系统采用双PLC一备一用系统模式，主PLC系统作为自动控制，备用PLC作为手动备用控制，两套系统完全独立，以保障生产的连续性。两套系统的操作界面均在触摸屏上完成，可视化程度高，面板整洁，操作方便。</w:t>
      </w:r>
    </w:p>
    <w:p>
      <w:pPr>
        <w:spacing w:line="360" w:lineRule="auto"/>
        <w:ind w:firstLine="420" w:firstLineChars="200"/>
        <w:rPr>
          <w:rFonts w:ascii="宋体" w:hAnsi="宋体"/>
          <w:szCs w:val="21"/>
        </w:rPr>
      </w:pPr>
      <w:r>
        <w:rPr>
          <w:rFonts w:ascii="宋体" w:hAnsi="宋体"/>
          <w:szCs w:val="21"/>
        </w:rPr>
        <w:t>3.更换</w:t>
      </w:r>
      <w:r>
        <w:rPr>
          <w:rFonts w:hint="eastAsia" w:ascii="宋体" w:hAnsi="宋体"/>
          <w:szCs w:val="21"/>
        </w:rPr>
        <w:t>循环水系统4台压缩机和水泵，压缩机要求选用封闭式涡旋压缩机，采用一线知名品牌。</w:t>
      </w:r>
    </w:p>
    <w:p>
      <w:pPr>
        <w:spacing w:line="360" w:lineRule="auto"/>
        <w:ind w:firstLine="420" w:firstLineChars="200"/>
        <w:rPr>
          <w:rFonts w:ascii="宋体" w:hAnsi="宋体"/>
          <w:szCs w:val="21"/>
        </w:rPr>
      </w:pPr>
      <w:r>
        <w:rPr>
          <w:rFonts w:ascii="宋体" w:hAnsi="宋体"/>
          <w:szCs w:val="21"/>
        </w:rPr>
        <w:t>4.更换</w:t>
      </w:r>
      <w:r>
        <w:rPr>
          <w:rFonts w:hint="eastAsia" w:ascii="宋体" w:hAnsi="宋体"/>
          <w:szCs w:val="21"/>
        </w:rPr>
        <w:t>设备壳体，材质要求采用不锈钢(SUS304)。</w:t>
      </w:r>
    </w:p>
    <w:p>
      <w:pPr>
        <w:spacing w:line="360" w:lineRule="auto"/>
        <w:ind w:firstLine="420" w:firstLineChars="200"/>
        <w:rPr>
          <w:rFonts w:ascii="宋体"/>
          <w:color w:val="000000"/>
          <w:szCs w:val="21"/>
        </w:rPr>
      </w:pPr>
      <w:r>
        <w:rPr>
          <w:rFonts w:ascii="宋体" w:hAnsi="宋体"/>
          <w:szCs w:val="21"/>
        </w:rPr>
        <w:t>5.</w:t>
      </w:r>
      <w:r>
        <w:rPr>
          <w:rFonts w:hint="eastAsia" w:ascii="宋体"/>
          <w:color w:val="000000"/>
          <w:szCs w:val="21"/>
        </w:rPr>
        <w:t>系统需具有故障报警、故障自动转换和记录备案功能，以确保不影响滤棒成型机的正常生产。</w:t>
      </w:r>
    </w:p>
    <w:p>
      <w:pPr>
        <w:spacing w:line="360" w:lineRule="auto"/>
        <w:ind w:firstLine="420" w:firstLineChars="200"/>
        <w:rPr>
          <w:rFonts w:ascii="宋体"/>
          <w:color w:val="000000"/>
          <w:szCs w:val="21"/>
        </w:rPr>
      </w:pPr>
      <w:r>
        <w:rPr>
          <w:rFonts w:ascii="宋体"/>
          <w:color w:val="000000"/>
          <w:szCs w:val="21"/>
        </w:rPr>
        <w:t>6.要求维修后</w:t>
      </w:r>
      <w:r>
        <w:rPr>
          <w:rFonts w:hint="eastAsia" w:ascii="宋体"/>
          <w:color w:val="000000"/>
          <w:szCs w:val="21"/>
        </w:rPr>
        <w:t>制冷冷水机组实现双温双控，能根据实际冷负荷需求自动完成对压缩机及冷水机组台数的启停控制，实现系统的自动控制。</w:t>
      </w:r>
    </w:p>
    <w:p>
      <w:pPr>
        <w:spacing w:line="360" w:lineRule="auto"/>
        <w:ind w:firstLine="420" w:firstLineChars="200"/>
        <w:rPr>
          <w:rFonts w:ascii="宋体"/>
          <w:color w:val="000000"/>
          <w:szCs w:val="21"/>
        </w:rPr>
      </w:pPr>
      <w:r>
        <w:rPr>
          <w:rFonts w:hint="eastAsia" w:ascii="宋体"/>
          <w:color w:val="000000"/>
          <w:szCs w:val="21"/>
        </w:rPr>
        <w:t>7</w:t>
      </w:r>
      <w:r>
        <w:rPr>
          <w:rFonts w:ascii="宋体"/>
          <w:color w:val="000000"/>
          <w:szCs w:val="21"/>
        </w:rPr>
        <w:t>.</w:t>
      </w:r>
      <w:r>
        <w:rPr>
          <w:rFonts w:hint="eastAsia" w:ascii="宋体"/>
          <w:color w:val="000000"/>
          <w:szCs w:val="21"/>
        </w:rPr>
        <w:t>操作界面友好，操作面板要求采用彩色触摸屏工控机，具有机组启停功能，设备运行状态、故障报警、供水流量、出水温度等显示功能及参数设置功能。</w:t>
      </w:r>
    </w:p>
    <w:p>
      <w:pPr>
        <w:spacing w:line="360" w:lineRule="auto"/>
        <w:ind w:firstLine="420" w:firstLineChars="200"/>
        <w:rPr>
          <w:rFonts w:ascii="宋体"/>
          <w:color w:val="000000"/>
          <w:szCs w:val="21"/>
        </w:rPr>
      </w:pPr>
      <w:r>
        <w:rPr>
          <w:rFonts w:ascii="宋体"/>
          <w:color w:val="000000"/>
          <w:szCs w:val="21"/>
        </w:rPr>
        <w:t>8.</w:t>
      </w:r>
      <w:r>
        <w:rPr>
          <w:rFonts w:hint="eastAsia" w:ascii="宋体"/>
          <w:color w:val="000000"/>
          <w:szCs w:val="21"/>
        </w:rPr>
        <w:t>要求机组维修后至少具有以下保护功能：高压保护、低压保护、排气温度过高保护、吸气温度过低保护、出水压力过低保护、水流量过小保护、水位过低保护等功能。</w:t>
      </w:r>
    </w:p>
    <w:p>
      <w:pPr>
        <w:spacing w:line="360" w:lineRule="auto"/>
        <w:ind w:firstLine="420" w:firstLineChars="200"/>
        <w:rPr>
          <w:rFonts w:ascii="宋体"/>
          <w:color w:val="000000"/>
          <w:szCs w:val="21"/>
        </w:rPr>
      </w:pPr>
      <w:r>
        <w:rPr>
          <w:rFonts w:hint="eastAsia" w:ascii="宋体"/>
          <w:color w:val="000000"/>
          <w:szCs w:val="21"/>
        </w:rPr>
        <w:t>9</w:t>
      </w:r>
      <w:r>
        <w:rPr>
          <w:rFonts w:ascii="宋体"/>
          <w:color w:val="000000"/>
          <w:szCs w:val="21"/>
        </w:rPr>
        <w:t>.</w:t>
      </w:r>
      <w:r>
        <w:rPr>
          <w:rFonts w:hint="eastAsia" w:ascii="宋体"/>
          <w:color w:val="000000"/>
          <w:szCs w:val="21"/>
        </w:rPr>
        <w:t>要求维修后制冷冷水机组具备稳定运行能力，系统具备总管冷水流量保护及显示功能。</w:t>
      </w:r>
    </w:p>
    <w:p>
      <w:pPr>
        <w:spacing w:line="360" w:lineRule="auto"/>
        <w:ind w:firstLine="420" w:firstLineChars="200"/>
        <w:rPr>
          <w:rFonts w:ascii="宋体"/>
          <w:color w:val="FF0000"/>
          <w:szCs w:val="21"/>
        </w:rPr>
      </w:pPr>
      <w:r>
        <w:rPr>
          <w:rFonts w:hint="eastAsia" w:ascii="宋体"/>
          <w:color w:val="000000"/>
          <w:szCs w:val="21"/>
        </w:rPr>
        <w:t>1</w:t>
      </w:r>
      <w:r>
        <w:rPr>
          <w:rFonts w:ascii="宋体"/>
          <w:color w:val="000000"/>
          <w:szCs w:val="21"/>
        </w:rPr>
        <w:t>0.设备维修完成且安装调试完成后</w:t>
      </w:r>
      <w:r>
        <w:rPr>
          <w:rFonts w:hint="eastAsia" w:ascii="宋体"/>
          <w:color w:val="000000"/>
          <w:szCs w:val="21"/>
        </w:rPr>
        <w:t>，必须满足滤棒成型机组控制要求，</w:t>
      </w:r>
      <w:r>
        <w:rPr>
          <w:rFonts w:hint="eastAsia" w:ascii="宋体"/>
          <w:szCs w:val="21"/>
        </w:rPr>
        <w:t>且需提供一份完整的控制操作方案。</w:t>
      </w:r>
    </w:p>
    <w:p>
      <w:pPr>
        <w:spacing w:line="360" w:lineRule="auto"/>
        <w:ind w:firstLine="420" w:firstLineChars="200"/>
        <w:rPr>
          <w:rFonts w:ascii="宋体" w:hAnsi="宋体"/>
          <w:szCs w:val="21"/>
        </w:rPr>
      </w:pPr>
      <w:r>
        <w:rPr>
          <w:rFonts w:hint="eastAsia" w:ascii="宋体" w:hAnsi="宋体"/>
          <w:szCs w:val="21"/>
        </w:rPr>
        <w:t>维修更换的零配件清单如下：</w:t>
      </w:r>
    </w:p>
    <w:tbl>
      <w:tblPr>
        <w:tblStyle w:val="26"/>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320"/>
        <w:gridCol w:w="2648"/>
        <w:gridCol w:w="1462"/>
        <w:gridCol w:w="70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2"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序号</w:t>
            </w:r>
          </w:p>
        </w:tc>
        <w:tc>
          <w:tcPr>
            <w:tcW w:w="2320"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配件名称</w:t>
            </w:r>
          </w:p>
        </w:tc>
        <w:tc>
          <w:tcPr>
            <w:tcW w:w="2648"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在用规格型号</w:t>
            </w:r>
          </w:p>
        </w:tc>
        <w:tc>
          <w:tcPr>
            <w:tcW w:w="1462" w:type="dxa"/>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在用品牌</w:t>
            </w:r>
          </w:p>
        </w:tc>
        <w:tc>
          <w:tcPr>
            <w:tcW w:w="709"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单位</w:t>
            </w:r>
          </w:p>
        </w:tc>
        <w:tc>
          <w:tcPr>
            <w:tcW w:w="726"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center"/>
          </w:tcPr>
          <w:p>
            <w:pPr>
              <w:widowControl/>
              <w:jc w:val="center"/>
              <w:textAlignment w:val="bottom"/>
              <w:rPr>
                <w:rFonts w:ascii="宋体" w:hAnsi="宋体" w:cs="宋体"/>
                <w:color w:val="000000"/>
                <w:szCs w:val="21"/>
              </w:rPr>
            </w:pPr>
            <w:r>
              <w:rPr>
                <w:color w:val="000000"/>
                <w:kern w:val="0"/>
                <w:szCs w:val="21"/>
              </w:rPr>
              <w:t>1</w:t>
            </w:r>
          </w:p>
        </w:tc>
        <w:tc>
          <w:tcPr>
            <w:tcW w:w="2320" w:type="dxa"/>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电控机柜</w:t>
            </w:r>
          </w:p>
        </w:tc>
        <w:tc>
          <w:tcPr>
            <w:tcW w:w="2648" w:type="dxa"/>
            <w:vAlign w:val="center"/>
          </w:tcPr>
          <w:p>
            <w:pPr>
              <w:widowControl/>
              <w:jc w:val="center"/>
              <w:textAlignment w:val="center"/>
              <w:rPr>
                <w:kern w:val="0"/>
                <w:szCs w:val="21"/>
              </w:rPr>
            </w:pPr>
            <w:r>
              <w:rPr>
                <w:color w:val="000000"/>
                <w:kern w:val="0"/>
                <w:szCs w:val="21"/>
              </w:rPr>
              <w:t>标准机柜 2000×1200×600（mm）</w:t>
            </w:r>
          </w:p>
        </w:tc>
        <w:tc>
          <w:tcPr>
            <w:tcW w:w="1462" w:type="dxa"/>
            <w:noWrap/>
            <w:vAlign w:val="center"/>
          </w:tcPr>
          <w:p>
            <w:pPr>
              <w:widowControl/>
              <w:jc w:val="center"/>
              <w:textAlignment w:val="center"/>
              <w:rPr>
                <w:color w:val="000000"/>
                <w:kern w:val="0"/>
                <w:szCs w:val="21"/>
              </w:rPr>
            </w:pPr>
            <w:r>
              <w:rPr>
                <w:rFonts w:hint="eastAsia"/>
                <w:color w:val="000000"/>
                <w:kern w:val="0"/>
                <w:szCs w:val="21"/>
              </w:rPr>
              <w:t>——</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触摸屏</w:t>
            </w:r>
          </w:p>
        </w:tc>
        <w:tc>
          <w:tcPr>
            <w:tcW w:w="2648" w:type="dxa"/>
            <w:vAlign w:val="center"/>
          </w:tcPr>
          <w:p>
            <w:pPr>
              <w:widowControl/>
              <w:jc w:val="center"/>
              <w:textAlignment w:val="bottom"/>
              <w:rPr>
                <w:color w:val="000000"/>
                <w:szCs w:val="21"/>
              </w:rPr>
            </w:pPr>
            <w:r>
              <w:rPr>
                <w:color w:val="000000"/>
                <w:kern w:val="0"/>
                <w:szCs w:val="21"/>
              </w:rPr>
              <w:t>KTP1200</w:t>
            </w:r>
          </w:p>
        </w:tc>
        <w:tc>
          <w:tcPr>
            <w:tcW w:w="1462" w:type="dxa"/>
            <w:noWrap/>
            <w:vAlign w:val="center"/>
          </w:tcPr>
          <w:p>
            <w:pPr>
              <w:widowControl/>
              <w:jc w:val="center"/>
              <w:textAlignment w:val="bottom"/>
              <w:rPr>
                <w:color w:val="000000"/>
                <w:kern w:val="0"/>
                <w:szCs w:val="21"/>
              </w:rPr>
            </w:pPr>
            <w:r>
              <w:rPr>
                <w:color w:val="000000"/>
                <w:kern w:val="0"/>
                <w:szCs w:val="21"/>
              </w:rPr>
              <w:t>SIEMENS</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w:t>
            </w:r>
          </w:p>
        </w:tc>
        <w:tc>
          <w:tcPr>
            <w:tcW w:w="2320" w:type="dxa"/>
            <w:noWrap/>
            <w:vAlign w:val="center"/>
          </w:tcPr>
          <w:p>
            <w:pPr>
              <w:widowControl/>
              <w:jc w:val="center"/>
              <w:textAlignment w:val="bottom"/>
              <w:rPr>
                <w:rFonts w:ascii="宋体" w:hAnsi="宋体" w:cs="宋体"/>
                <w:color w:val="000000"/>
                <w:szCs w:val="21"/>
              </w:rPr>
            </w:pPr>
            <w:r>
              <w:rPr>
                <w:color w:val="000000"/>
                <w:kern w:val="0"/>
                <w:szCs w:val="21"/>
              </w:rPr>
              <w:t>PLC</w:t>
            </w:r>
            <w:r>
              <w:rPr>
                <w:rFonts w:ascii="宋体" w:hAnsi="宋体" w:cs="宋体"/>
                <w:color w:val="000000"/>
                <w:szCs w:val="21"/>
              </w:rPr>
              <w:t>主控制器</w:t>
            </w:r>
          </w:p>
        </w:tc>
        <w:tc>
          <w:tcPr>
            <w:tcW w:w="2648" w:type="dxa"/>
            <w:vAlign w:val="center"/>
          </w:tcPr>
          <w:p>
            <w:pPr>
              <w:widowControl/>
              <w:jc w:val="center"/>
              <w:textAlignment w:val="bottom"/>
              <w:rPr>
                <w:color w:val="000000"/>
                <w:szCs w:val="21"/>
              </w:rPr>
            </w:pPr>
            <w:r>
              <w:rPr>
                <w:color w:val="000000"/>
                <w:kern w:val="0"/>
                <w:szCs w:val="21"/>
              </w:rPr>
              <w:t>1214C</w:t>
            </w:r>
          </w:p>
        </w:tc>
        <w:tc>
          <w:tcPr>
            <w:tcW w:w="1462" w:type="dxa"/>
            <w:noWrap/>
            <w:vAlign w:val="center"/>
          </w:tcPr>
          <w:p>
            <w:pPr>
              <w:widowControl/>
              <w:jc w:val="center"/>
              <w:textAlignment w:val="bottom"/>
              <w:rPr>
                <w:color w:val="000000"/>
                <w:kern w:val="0"/>
                <w:szCs w:val="21"/>
              </w:rPr>
            </w:pPr>
            <w:r>
              <w:rPr>
                <w:color w:val="000000"/>
                <w:kern w:val="0"/>
                <w:szCs w:val="21"/>
              </w:rPr>
              <w:t>SIEMENS</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4</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数字量模块</w:t>
            </w:r>
          </w:p>
        </w:tc>
        <w:tc>
          <w:tcPr>
            <w:tcW w:w="2648" w:type="dxa"/>
            <w:vAlign w:val="center"/>
          </w:tcPr>
          <w:p>
            <w:pPr>
              <w:widowControl/>
              <w:jc w:val="center"/>
              <w:textAlignment w:val="bottom"/>
              <w:rPr>
                <w:color w:val="000000"/>
                <w:szCs w:val="21"/>
              </w:rPr>
            </w:pPr>
            <w:r>
              <w:rPr>
                <w:color w:val="000000"/>
                <w:kern w:val="0"/>
                <w:szCs w:val="21"/>
              </w:rPr>
              <w:t>1223</w:t>
            </w:r>
          </w:p>
        </w:tc>
        <w:tc>
          <w:tcPr>
            <w:tcW w:w="1462" w:type="dxa"/>
            <w:noWrap/>
            <w:vAlign w:val="center"/>
          </w:tcPr>
          <w:p>
            <w:pPr>
              <w:widowControl/>
              <w:jc w:val="center"/>
              <w:textAlignment w:val="bottom"/>
              <w:rPr>
                <w:color w:val="000000"/>
                <w:kern w:val="0"/>
                <w:szCs w:val="21"/>
              </w:rPr>
            </w:pPr>
            <w:r>
              <w:rPr>
                <w:color w:val="000000"/>
                <w:kern w:val="0"/>
                <w:szCs w:val="21"/>
              </w:rPr>
              <w:t>SIEMENS</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5</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模拟量模块</w:t>
            </w:r>
          </w:p>
        </w:tc>
        <w:tc>
          <w:tcPr>
            <w:tcW w:w="2648" w:type="dxa"/>
            <w:vAlign w:val="center"/>
          </w:tcPr>
          <w:p>
            <w:pPr>
              <w:widowControl/>
              <w:jc w:val="center"/>
              <w:textAlignment w:val="bottom"/>
              <w:rPr>
                <w:color w:val="000000"/>
                <w:szCs w:val="21"/>
              </w:rPr>
            </w:pPr>
            <w:r>
              <w:rPr>
                <w:color w:val="000000"/>
                <w:kern w:val="0"/>
                <w:szCs w:val="21"/>
              </w:rPr>
              <w:t>1234</w:t>
            </w:r>
          </w:p>
        </w:tc>
        <w:tc>
          <w:tcPr>
            <w:tcW w:w="1462" w:type="dxa"/>
            <w:noWrap/>
            <w:vAlign w:val="center"/>
          </w:tcPr>
          <w:p>
            <w:pPr>
              <w:widowControl/>
              <w:jc w:val="center"/>
              <w:textAlignment w:val="bottom"/>
              <w:rPr>
                <w:color w:val="000000"/>
                <w:kern w:val="0"/>
                <w:szCs w:val="21"/>
              </w:rPr>
            </w:pPr>
            <w:r>
              <w:rPr>
                <w:color w:val="000000"/>
                <w:kern w:val="0"/>
                <w:szCs w:val="21"/>
              </w:rPr>
              <w:t>SIEMENS</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6</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模拟量模块</w:t>
            </w:r>
          </w:p>
        </w:tc>
        <w:tc>
          <w:tcPr>
            <w:tcW w:w="2648" w:type="dxa"/>
            <w:vAlign w:val="center"/>
          </w:tcPr>
          <w:p>
            <w:pPr>
              <w:widowControl/>
              <w:jc w:val="center"/>
              <w:textAlignment w:val="bottom"/>
              <w:rPr>
                <w:color w:val="000000"/>
                <w:szCs w:val="21"/>
              </w:rPr>
            </w:pPr>
            <w:r>
              <w:rPr>
                <w:color w:val="000000"/>
                <w:kern w:val="0"/>
                <w:szCs w:val="21"/>
              </w:rPr>
              <w:t>1231</w:t>
            </w:r>
          </w:p>
        </w:tc>
        <w:tc>
          <w:tcPr>
            <w:tcW w:w="1462" w:type="dxa"/>
            <w:noWrap/>
            <w:vAlign w:val="center"/>
          </w:tcPr>
          <w:p>
            <w:pPr>
              <w:widowControl/>
              <w:jc w:val="center"/>
              <w:textAlignment w:val="bottom"/>
              <w:rPr>
                <w:color w:val="000000"/>
                <w:kern w:val="0"/>
                <w:szCs w:val="21"/>
              </w:rPr>
            </w:pPr>
            <w:r>
              <w:rPr>
                <w:color w:val="000000"/>
                <w:kern w:val="0"/>
                <w:szCs w:val="21"/>
              </w:rPr>
              <w:t>SIEMENS</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7</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通信模块</w:t>
            </w:r>
          </w:p>
        </w:tc>
        <w:tc>
          <w:tcPr>
            <w:tcW w:w="2648" w:type="dxa"/>
            <w:noWrap/>
            <w:vAlign w:val="center"/>
          </w:tcPr>
          <w:p>
            <w:pPr>
              <w:widowControl/>
              <w:jc w:val="center"/>
              <w:textAlignment w:val="bottom"/>
              <w:rPr>
                <w:color w:val="000000"/>
                <w:szCs w:val="21"/>
              </w:rPr>
            </w:pPr>
            <w:r>
              <w:rPr>
                <w:color w:val="000000"/>
                <w:kern w:val="0"/>
                <w:szCs w:val="21"/>
              </w:rPr>
              <w:t xml:space="preserve">  CSM1277</w:t>
            </w:r>
          </w:p>
        </w:tc>
        <w:tc>
          <w:tcPr>
            <w:tcW w:w="1462" w:type="dxa"/>
            <w:noWrap/>
            <w:vAlign w:val="center"/>
          </w:tcPr>
          <w:p>
            <w:pPr>
              <w:widowControl/>
              <w:jc w:val="center"/>
              <w:textAlignment w:val="bottom"/>
              <w:rPr>
                <w:color w:val="000000"/>
                <w:kern w:val="0"/>
                <w:szCs w:val="21"/>
              </w:rPr>
            </w:pPr>
            <w:r>
              <w:rPr>
                <w:color w:val="000000"/>
                <w:kern w:val="0"/>
                <w:szCs w:val="21"/>
              </w:rPr>
              <w:t>SIEMENS</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8</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开关电源</w:t>
            </w:r>
          </w:p>
        </w:tc>
        <w:tc>
          <w:tcPr>
            <w:tcW w:w="2648" w:type="dxa"/>
            <w:noWrap/>
            <w:vAlign w:val="center"/>
          </w:tcPr>
          <w:p>
            <w:pPr>
              <w:widowControl/>
              <w:jc w:val="center"/>
              <w:textAlignment w:val="bottom"/>
              <w:rPr>
                <w:color w:val="000000"/>
                <w:szCs w:val="21"/>
              </w:rPr>
            </w:pPr>
            <w:r>
              <w:rPr>
                <w:color w:val="000000"/>
                <w:kern w:val="0"/>
                <w:szCs w:val="21"/>
              </w:rPr>
              <w:t>NDR-240-24</w:t>
            </w:r>
          </w:p>
        </w:tc>
        <w:tc>
          <w:tcPr>
            <w:tcW w:w="1462" w:type="dxa"/>
            <w:noWrap/>
            <w:vAlign w:val="center"/>
          </w:tcPr>
          <w:p>
            <w:pPr>
              <w:widowControl/>
              <w:jc w:val="center"/>
              <w:textAlignment w:val="bottom"/>
              <w:rPr>
                <w:color w:val="000000"/>
                <w:kern w:val="0"/>
                <w:szCs w:val="21"/>
              </w:rPr>
            </w:pPr>
            <w:r>
              <w:rPr>
                <w:rFonts w:hint="eastAsia"/>
                <w:color w:val="000000"/>
                <w:kern w:val="0"/>
                <w:szCs w:val="21"/>
              </w:rPr>
              <w:t>——</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9</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继电器</w:t>
            </w:r>
          </w:p>
        </w:tc>
        <w:tc>
          <w:tcPr>
            <w:tcW w:w="2648" w:type="dxa"/>
            <w:noWrap/>
            <w:vAlign w:val="center"/>
          </w:tcPr>
          <w:p>
            <w:pPr>
              <w:widowControl/>
              <w:jc w:val="center"/>
              <w:textAlignment w:val="bottom"/>
              <w:rPr>
                <w:color w:val="000000"/>
                <w:szCs w:val="21"/>
              </w:rPr>
            </w:pPr>
            <w:r>
              <w:rPr>
                <w:color w:val="000000"/>
                <w:kern w:val="0"/>
                <w:szCs w:val="21"/>
              </w:rPr>
              <w:t>4P DC24V</w:t>
            </w:r>
          </w:p>
        </w:tc>
        <w:tc>
          <w:tcPr>
            <w:tcW w:w="1462" w:type="dxa"/>
            <w:noWrap/>
            <w:vAlign w:val="center"/>
          </w:tcPr>
          <w:p>
            <w:pPr>
              <w:widowControl/>
              <w:jc w:val="center"/>
              <w:textAlignment w:val="bottom"/>
              <w:rPr>
                <w:color w:val="000000"/>
                <w:kern w:val="0"/>
                <w:szCs w:val="21"/>
              </w:rPr>
            </w:pPr>
            <w:r>
              <w:rPr>
                <w:color w:val="000000"/>
                <w:kern w:val="0"/>
                <w:szCs w:val="21"/>
              </w:rPr>
              <w:t>SCHNEIDER</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10</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继电器</w:t>
            </w:r>
          </w:p>
        </w:tc>
        <w:tc>
          <w:tcPr>
            <w:tcW w:w="2648" w:type="dxa"/>
            <w:noWrap/>
            <w:vAlign w:val="center"/>
          </w:tcPr>
          <w:p>
            <w:pPr>
              <w:widowControl/>
              <w:jc w:val="center"/>
              <w:textAlignment w:val="bottom"/>
              <w:rPr>
                <w:color w:val="000000"/>
                <w:szCs w:val="21"/>
              </w:rPr>
            </w:pPr>
            <w:r>
              <w:rPr>
                <w:color w:val="000000"/>
                <w:kern w:val="0"/>
                <w:szCs w:val="21"/>
              </w:rPr>
              <w:t>2P DC24V</w:t>
            </w:r>
          </w:p>
        </w:tc>
        <w:tc>
          <w:tcPr>
            <w:tcW w:w="1462" w:type="dxa"/>
            <w:noWrap/>
            <w:vAlign w:val="center"/>
          </w:tcPr>
          <w:p>
            <w:pPr>
              <w:widowControl/>
              <w:jc w:val="center"/>
              <w:textAlignment w:val="bottom"/>
              <w:rPr>
                <w:color w:val="000000"/>
                <w:kern w:val="0"/>
                <w:szCs w:val="21"/>
              </w:rPr>
            </w:pPr>
            <w:r>
              <w:rPr>
                <w:color w:val="000000"/>
                <w:kern w:val="0"/>
                <w:szCs w:val="21"/>
              </w:rPr>
              <w:t>SCHNEIDER</w:t>
            </w:r>
          </w:p>
        </w:tc>
        <w:tc>
          <w:tcPr>
            <w:tcW w:w="709"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noWrap/>
            <w:vAlign w:val="center"/>
          </w:tcPr>
          <w:p>
            <w:pPr>
              <w:widowControl/>
              <w:jc w:val="center"/>
              <w:textAlignment w:val="bottom"/>
              <w:rPr>
                <w:rFonts w:ascii="宋体" w:hAnsi="宋体" w:cs="宋体"/>
                <w:color w:val="000000"/>
                <w:szCs w:val="21"/>
              </w:rPr>
            </w:pPr>
            <w:r>
              <w:rPr>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11</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指示灯</w:t>
            </w:r>
          </w:p>
        </w:tc>
        <w:tc>
          <w:tcPr>
            <w:tcW w:w="2648" w:type="dxa"/>
            <w:noWrap/>
            <w:vAlign w:val="center"/>
          </w:tcPr>
          <w:p>
            <w:pPr>
              <w:widowControl/>
              <w:jc w:val="center"/>
              <w:textAlignment w:val="bottom"/>
              <w:rPr>
                <w:color w:val="000000"/>
                <w:szCs w:val="21"/>
              </w:rPr>
            </w:pPr>
            <w:r>
              <w:rPr>
                <w:color w:val="000000"/>
                <w:kern w:val="0"/>
                <w:szCs w:val="21"/>
              </w:rPr>
              <w:t>绿色</w:t>
            </w:r>
            <w:r>
              <w:rPr>
                <w:color w:val="000000"/>
                <w:szCs w:val="21"/>
              </w:rPr>
              <w:t>DC24V</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12</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指示灯</w:t>
            </w:r>
          </w:p>
        </w:tc>
        <w:tc>
          <w:tcPr>
            <w:tcW w:w="2648" w:type="dxa"/>
            <w:noWrap/>
            <w:vAlign w:val="center"/>
          </w:tcPr>
          <w:p>
            <w:pPr>
              <w:widowControl/>
              <w:jc w:val="center"/>
              <w:textAlignment w:val="bottom"/>
              <w:rPr>
                <w:color w:val="000000"/>
                <w:szCs w:val="21"/>
              </w:rPr>
            </w:pPr>
            <w:r>
              <w:rPr>
                <w:color w:val="000000"/>
                <w:kern w:val="0"/>
                <w:szCs w:val="21"/>
              </w:rPr>
              <w:t>红色</w:t>
            </w:r>
            <w:r>
              <w:rPr>
                <w:color w:val="000000"/>
                <w:szCs w:val="21"/>
              </w:rPr>
              <w:t>DC24V</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13</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急停旋钮（带自锁）</w:t>
            </w:r>
          </w:p>
        </w:tc>
        <w:tc>
          <w:tcPr>
            <w:tcW w:w="2648" w:type="dxa"/>
            <w:noWrap/>
            <w:vAlign w:val="center"/>
          </w:tcPr>
          <w:p>
            <w:pPr>
              <w:widowControl/>
              <w:jc w:val="center"/>
              <w:textAlignment w:val="bottom"/>
              <w:rPr>
                <w:color w:val="000000"/>
                <w:szCs w:val="21"/>
              </w:rPr>
            </w:pPr>
            <w:r>
              <w:rPr>
                <w:color w:val="000000"/>
                <w:kern w:val="0"/>
                <w:szCs w:val="21"/>
              </w:rPr>
              <w:t>配常闭触点</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14</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旋钮（带触电）</w:t>
            </w:r>
          </w:p>
        </w:tc>
        <w:tc>
          <w:tcPr>
            <w:tcW w:w="2648" w:type="dxa"/>
            <w:noWrap/>
            <w:vAlign w:val="center"/>
          </w:tcPr>
          <w:p>
            <w:pPr>
              <w:widowControl/>
              <w:jc w:val="center"/>
              <w:textAlignment w:val="bottom"/>
              <w:rPr>
                <w:color w:val="000000"/>
                <w:szCs w:val="21"/>
              </w:rPr>
            </w:pPr>
            <w:r>
              <w:rPr>
                <w:color w:val="000000"/>
                <w:kern w:val="0"/>
                <w:szCs w:val="21"/>
              </w:rPr>
              <w:t>两位</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15</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塑壳断路器</w:t>
            </w:r>
          </w:p>
        </w:tc>
        <w:tc>
          <w:tcPr>
            <w:tcW w:w="2648" w:type="dxa"/>
            <w:noWrap/>
            <w:vAlign w:val="center"/>
          </w:tcPr>
          <w:p>
            <w:pPr>
              <w:widowControl/>
              <w:jc w:val="center"/>
              <w:textAlignment w:val="bottom"/>
              <w:rPr>
                <w:color w:val="000000"/>
                <w:szCs w:val="21"/>
              </w:rPr>
            </w:pPr>
            <w:r>
              <w:rPr>
                <w:color w:val="000000"/>
                <w:kern w:val="0"/>
                <w:szCs w:val="21"/>
              </w:rPr>
              <w:t>250A 3P</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16</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交流接触器</w:t>
            </w:r>
            <w:r>
              <w:rPr>
                <w:color w:val="000000"/>
                <w:szCs w:val="21"/>
              </w:rPr>
              <w:t>(</w:t>
            </w:r>
            <w:r>
              <w:rPr>
                <w:rFonts w:ascii="宋体" w:hAnsi="宋体" w:cs="宋体"/>
                <w:color w:val="000000"/>
                <w:szCs w:val="21"/>
              </w:rPr>
              <w:t>带热保护）</w:t>
            </w:r>
          </w:p>
        </w:tc>
        <w:tc>
          <w:tcPr>
            <w:tcW w:w="2648" w:type="dxa"/>
            <w:noWrap/>
            <w:vAlign w:val="center"/>
          </w:tcPr>
          <w:p>
            <w:pPr>
              <w:widowControl/>
              <w:jc w:val="center"/>
              <w:textAlignment w:val="bottom"/>
              <w:rPr>
                <w:color w:val="000000"/>
                <w:szCs w:val="21"/>
              </w:rPr>
            </w:pPr>
            <w:r>
              <w:rPr>
                <w:color w:val="000000"/>
                <w:kern w:val="0"/>
                <w:szCs w:val="21"/>
              </w:rPr>
              <w:t>3TF45+3UA55 32A</w:t>
            </w:r>
          </w:p>
        </w:tc>
        <w:tc>
          <w:tcPr>
            <w:tcW w:w="1462" w:type="dxa"/>
            <w:vAlign w:val="center"/>
          </w:tcPr>
          <w:p>
            <w:pPr>
              <w:widowControl/>
              <w:jc w:val="center"/>
              <w:textAlignment w:val="bottom"/>
              <w:rPr>
                <w:color w:val="000000"/>
                <w:kern w:val="0"/>
                <w:szCs w:val="21"/>
              </w:rPr>
            </w:pPr>
            <w:r>
              <w:rPr>
                <w:color w:val="000000"/>
                <w:kern w:val="0"/>
                <w:szCs w:val="21"/>
              </w:rPr>
              <w:t>SIEMENS</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726" w:type="dxa"/>
            <w:vAlign w:val="center"/>
          </w:tcPr>
          <w:p>
            <w:pPr>
              <w:widowControl/>
              <w:jc w:val="center"/>
              <w:textAlignment w:val="bottom"/>
              <w:rPr>
                <w:rFonts w:ascii="宋体" w:hAnsi="宋体" w:cs="宋体"/>
                <w:color w:val="00000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17</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交流接触器</w:t>
            </w:r>
            <w:r>
              <w:rPr>
                <w:color w:val="000000"/>
                <w:szCs w:val="21"/>
              </w:rPr>
              <w:t>(</w:t>
            </w:r>
            <w:r>
              <w:rPr>
                <w:rFonts w:ascii="宋体" w:hAnsi="宋体" w:cs="宋体"/>
                <w:color w:val="000000"/>
                <w:szCs w:val="21"/>
              </w:rPr>
              <w:t>带热保护）</w:t>
            </w:r>
          </w:p>
        </w:tc>
        <w:tc>
          <w:tcPr>
            <w:tcW w:w="2648" w:type="dxa"/>
            <w:noWrap/>
            <w:vAlign w:val="center"/>
          </w:tcPr>
          <w:p>
            <w:pPr>
              <w:widowControl/>
              <w:jc w:val="center"/>
              <w:textAlignment w:val="bottom"/>
              <w:rPr>
                <w:color w:val="000000"/>
                <w:szCs w:val="21"/>
              </w:rPr>
            </w:pPr>
            <w:r>
              <w:rPr>
                <w:color w:val="000000"/>
                <w:kern w:val="0"/>
                <w:szCs w:val="21"/>
              </w:rPr>
              <w:t>3TB40+3UA52 16A</w:t>
            </w:r>
          </w:p>
        </w:tc>
        <w:tc>
          <w:tcPr>
            <w:tcW w:w="1462" w:type="dxa"/>
            <w:vAlign w:val="center"/>
          </w:tcPr>
          <w:p>
            <w:pPr>
              <w:widowControl/>
              <w:jc w:val="center"/>
              <w:textAlignment w:val="bottom"/>
              <w:rPr>
                <w:color w:val="000000"/>
                <w:kern w:val="0"/>
                <w:szCs w:val="21"/>
              </w:rPr>
            </w:pPr>
            <w:r>
              <w:rPr>
                <w:color w:val="000000"/>
                <w:kern w:val="0"/>
                <w:szCs w:val="21"/>
              </w:rPr>
              <w:t>SIEMENS</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726" w:type="dxa"/>
            <w:vAlign w:val="center"/>
          </w:tcPr>
          <w:p>
            <w:pPr>
              <w:widowControl/>
              <w:jc w:val="center"/>
              <w:textAlignment w:val="bottom"/>
              <w:rPr>
                <w:rFonts w:ascii="宋体" w:hAnsi="宋体" w:cs="宋体"/>
                <w:color w:val="00000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18</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交流接触器</w:t>
            </w:r>
            <w:r>
              <w:rPr>
                <w:color w:val="000000"/>
                <w:szCs w:val="21"/>
              </w:rPr>
              <w:t>(</w:t>
            </w:r>
            <w:r>
              <w:rPr>
                <w:rFonts w:ascii="宋体" w:hAnsi="宋体" w:cs="宋体"/>
                <w:color w:val="000000"/>
                <w:szCs w:val="21"/>
              </w:rPr>
              <w:t>带热保护）</w:t>
            </w:r>
          </w:p>
        </w:tc>
        <w:tc>
          <w:tcPr>
            <w:tcW w:w="2648" w:type="dxa"/>
            <w:noWrap/>
            <w:vAlign w:val="center"/>
          </w:tcPr>
          <w:p>
            <w:pPr>
              <w:widowControl/>
              <w:jc w:val="center"/>
              <w:textAlignment w:val="bottom"/>
              <w:rPr>
                <w:color w:val="000000"/>
                <w:szCs w:val="21"/>
              </w:rPr>
            </w:pPr>
            <w:r>
              <w:rPr>
                <w:color w:val="000000"/>
                <w:kern w:val="0"/>
                <w:szCs w:val="21"/>
              </w:rPr>
              <w:t>LC1D09+LRD03C 10A</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726" w:type="dxa"/>
            <w:vAlign w:val="center"/>
          </w:tcPr>
          <w:p>
            <w:pPr>
              <w:widowControl/>
              <w:jc w:val="center"/>
              <w:textAlignment w:val="bottom"/>
              <w:rPr>
                <w:rFonts w:ascii="宋体" w:hAnsi="宋体" w:cs="宋体"/>
                <w:color w:val="000000"/>
                <w:szCs w:val="21"/>
              </w:rPr>
            </w:pPr>
            <w:r>
              <w:rPr>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19</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小型断路器</w:t>
            </w:r>
          </w:p>
        </w:tc>
        <w:tc>
          <w:tcPr>
            <w:tcW w:w="2648" w:type="dxa"/>
            <w:noWrap/>
            <w:vAlign w:val="center"/>
          </w:tcPr>
          <w:p>
            <w:pPr>
              <w:widowControl/>
              <w:jc w:val="center"/>
              <w:textAlignment w:val="bottom"/>
              <w:rPr>
                <w:color w:val="000000"/>
                <w:szCs w:val="21"/>
              </w:rPr>
            </w:pPr>
            <w:r>
              <w:rPr>
                <w:color w:val="000000"/>
                <w:kern w:val="0"/>
                <w:szCs w:val="21"/>
              </w:rPr>
              <w:t>2P C10A</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20</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小型断路器</w:t>
            </w:r>
          </w:p>
        </w:tc>
        <w:tc>
          <w:tcPr>
            <w:tcW w:w="2648" w:type="dxa"/>
            <w:noWrap/>
            <w:vAlign w:val="center"/>
          </w:tcPr>
          <w:p>
            <w:pPr>
              <w:widowControl/>
              <w:jc w:val="center"/>
              <w:textAlignment w:val="bottom"/>
              <w:rPr>
                <w:color w:val="000000"/>
                <w:szCs w:val="21"/>
              </w:rPr>
            </w:pPr>
            <w:r>
              <w:rPr>
                <w:color w:val="000000"/>
                <w:kern w:val="0"/>
                <w:szCs w:val="21"/>
              </w:rPr>
              <w:t>3P D40A</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21</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小型断路器</w:t>
            </w:r>
          </w:p>
        </w:tc>
        <w:tc>
          <w:tcPr>
            <w:tcW w:w="2648" w:type="dxa"/>
            <w:noWrap/>
            <w:vAlign w:val="center"/>
          </w:tcPr>
          <w:p>
            <w:pPr>
              <w:widowControl/>
              <w:jc w:val="center"/>
              <w:textAlignment w:val="bottom"/>
              <w:rPr>
                <w:color w:val="000000"/>
                <w:szCs w:val="21"/>
              </w:rPr>
            </w:pPr>
            <w:r>
              <w:rPr>
                <w:color w:val="000000"/>
                <w:kern w:val="0"/>
                <w:szCs w:val="21"/>
              </w:rPr>
              <w:t>3P D16A</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22</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小型断路器</w:t>
            </w:r>
          </w:p>
        </w:tc>
        <w:tc>
          <w:tcPr>
            <w:tcW w:w="2648" w:type="dxa"/>
            <w:noWrap/>
            <w:vAlign w:val="center"/>
          </w:tcPr>
          <w:p>
            <w:pPr>
              <w:widowControl/>
              <w:jc w:val="center"/>
              <w:textAlignment w:val="bottom"/>
              <w:rPr>
                <w:color w:val="000000"/>
                <w:szCs w:val="21"/>
              </w:rPr>
            </w:pPr>
            <w:r>
              <w:rPr>
                <w:color w:val="000000"/>
                <w:kern w:val="0"/>
                <w:szCs w:val="21"/>
              </w:rPr>
              <w:t>3P D10A</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23</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电流采集模块</w:t>
            </w:r>
          </w:p>
        </w:tc>
        <w:tc>
          <w:tcPr>
            <w:tcW w:w="2648" w:type="dxa"/>
            <w:noWrap/>
            <w:vAlign w:val="center"/>
          </w:tcPr>
          <w:p>
            <w:pPr>
              <w:widowControl/>
              <w:jc w:val="center"/>
              <w:textAlignment w:val="bottom"/>
              <w:rPr>
                <w:color w:val="000000"/>
                <w:szCs w:val="21"/>
              </w:rPr>
            </w:pPr>
            <w:r>
              <w:rPr>
                <w:color w:val="000000"/>
                <w:kern w:val="0"/>
                <w:szCs w:val="21"/>
              </w:rPr>
              <w:t>0-30A</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24</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电压采集模块</w:t>
            </w:r>
          </w:p>
        </w:tc>
        <w:tc>
          <w:tcPr>
            <w:tcW w:w="2648" w:type="dxa"/>
            <w:noWrap/>
            <w:vAlign w:val="center"/>
          </w:tcPr>
          <w:p>
            <w:pPr>
              <w:widowControl/>
              <w:jc w:val="center"/>
              <w:textAlignment w:val="bottom"/>
              <w:rPr>
                <w:color w:val="000000"/>
                <w:szCs w:val="21"/>
              </w:rPr>
            </w:pPr>
            <w:r>
              <w:rPr>
                <w:color w:val="000000"/>
                <w:kern w:val="0"/>
                <w:szCs w:val="21"/>
              </w:rPr>
              <w:t>0-500V</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25</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相序继电器</w:t>
            </w:r>
          </w:p>
        </w:tc>
        <w:tc>
          <w:tcPr>
            <w:tcW w:w="2648" w:type="dxa"/>
            <w:noWrap/>
            <w:vAlign w:val="center"/>
          </w:tcPr>
          <w:p>
            <w:pPr>
              <w:widowControl/>
              <w:jc w:val="center"/>
              <w:textAlignment w:val="bottom"/>
              <w:rPr>
                <w:color w:val="000000"/>
                <w:szCs w:val="21"/>
              </w:rPr>
            </w:pPr>
            <w:r>
              <w:rPr>
                <w:color w:val="000000"/>
                <w:kern w:val="0"/>
                <w:szCs w:val="21"/>
              </w:rPr>
              <w:t>RM22TG20</w:t>
            </w:r>
          </w:p>
        </w:tc>
        <w:tc>
          <w:tcPr>
            <w:tcW w:w="1462" w:type="dxa"/>
            <w:vAlign w:val="center"/>
          </w:tcPr>
          <w:p>
            <w:pPr>
              <w:widowControl/>
              <w:jc w:val="center"/>
              <w:textAlignment w:val="bottom"/>
              <w:rPr>
                <w:color w:val="000000"/>
                <w:kern w:val="0"/>
                <w:szCs w:val="21"/>
              </w:rPr>
            </w:pPr>
            <w:r>
              <w:rPr>
                <w:color w:val="000000"/>
                <w:kern w:val="0"/>
                <w:szCs w:val="21"/>
              </w:rPr>
              <w:t>SCHNEIDER</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26</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汇流排</w:t>
            </w:r>
          </w:p>
        </w:tc>
        <w:tc>
          <w:tcPr>
            <w:tcW w:w="2648" w:type="dxa"/>
            <w:noWrap/>
            <w:vAlign w:val="center"/>
          </w:tcPr>
          <w:p>
            <w:pPr>
              <w:widowControl/>
              <w:jc w:val="center"/>
              <w:textAlignment w:val="bottom"/>
              <w:rPr>
                <w:color w:val="000000"/>
                <w:szCs w:val="21"/>
              </w:rPr>
            </w:pPr>
            <w:r>
              <w:rPr>
                <w:color w:val="000000"/>
                <w:kern w:val="0"/>
                <w:szCs w:val="21"/>
              </w:rPr>
              <w:t>100A</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726" w:type="dxa"/>
            <w:vAlign w:val="center"/>
          </w:tcPr>
          <w:p>
            <w:pPr>
              <w:widowControl/>
              <w:jc w:val="center"/>
              <w:textAlignment w:val="bottom"/>
              <w:rPr>
                <w:rFonts w:ascii="宋体" w:hAnsi="宋体" w:cs="宋体"/>
                <w:color w:val="000000"/>
                <w:szCs w:val="21"/>
              </w:rPr>
            </w:pPr>
            <w:r>
              <w:rPr>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27</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接线端子</w:t>
            </w:r>
          </w:p>
        </w:tc>
        <w:tc>
          <w:tcPr>
            <w:tcW w:w="2648" w:type="dxa"/>
            <w:noWrap/>
            <w:vAlign w:val="center"/>
          </w:tcPr>
          <w:p>
            <w:pPr>
              <w:widowControl/>
              <w:jc w:val="center"/>
              <w:textAlignment w:val="bottom"/>
              <w:rPr>
                <w:color w:val="000000"/>
                <w:szCs w:val="21"/>
              </w:rPr>
            </w:pPr>
            <w:r>
              <w:rPr>
                <w:color w:val="000000"/>
                <w:kern w:val="0"/>
                <w:szCs w:val="21"/>
              </w:rPr>
              <w:t>UK 2,5B</w:t>
            </w:r>
          </w:p>
        </w:tc>
        <w:tc>
          <w:tcPr>
            <w:tcW w:w="1462" w:type="dxa"/>
            <w:vAlign w:val="center"/>
          </w:tcPr>
          <w:p>
            <w:pPr>
              <w:widowControl/>
              <w:jc w:val="center"/>
              <w:textAlignment w:val="bottom"/>
              <w:rPr>
                <w:color w:val="000000"/>
                <w:kern w:val="0"/>
                <w:szCs w:val="21"/>
              </w:rPr>
            </w:pPr>
            <w:r>
              <w:rPr>
                <w:color w:val="000000"/>
                <w:kern w:val="0"/>
                <w:szCs w:val="21"/>
              </w:rPr>
              <w:t>FENIX</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28</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接线端子</w:t>
            </w:r>
          </w:p>
        </w:tc>
        <w:tc>
          <w:tcPr>
            <w:tcW w:w="2648" w:type="dxa"/>
            <w:noWrap/>
            <w:vAlign w:val="center"/>
          </w:tcPr>
          <w:p>
            <w:pPr>
              <w:widowControl/>
              <w:jc w:val="center"/>
              <w:textAlignment w:val="bottom"/>
              <w:rPr>
                <w:color w:val="000000"/>
                <w:szCs w:val="21"/>
              </w:rPr>
            </w:pPr>
            <w:r>
              <w:rPr>
                <w:color w:val="000000"/>
                <w:kern w:val="0"/>
                <w:szCs w:val="21"/>
              </w:rPr>
              <w:t>UK 6 N</w:t>
            </w:r>
          </w:p>
        </w:tc>
        <w:tc>
          <w:tcPr>
            <w:tcW w:w="1462" w:type="dxa"/>
            <w:vAlign w:val="center"/>
          </w:tcPr>
          <w:p>
            <w:pPr>
              <w:widowControl/>
              <w:jc w:val="center"/>
              <w:textAlignment w:val="bottom"/>
              <w:rPr>
                <w:color w:val="000000"/>
                <w:kern w:val="0"/>
                <w:szCs w:val="21"/>
              </w:rPr>
            </w:pPr>
            <w:r>
              <w:rPr>
                <w:color w:val="000000"/>
                <w:kern w:val="0"/>
                <w:szCs w:val="21"/>
              </w:rPr>
              <w:t>FENIX</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29</w:t>
            </w:r>
          </w:p>
        </w:tc>
        <w:tc>
          <w:tcPr>
            <w:tcW w:w="2320"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接地端子</w:t>
            </w:r>
          </w:p>
        </w:tc>
        <w:tc>
          <w:tcPr>
            <w:tcW w:w="2648" w:type="dxa"/>
            <w:noWrap/>
            <w:vAlign w:val="center"/>
          </w:tcPr>
          <w:p>
            <w:pPr>
              <w:jc w:val="center"/>
              <w:rPr>
                <w:color w:val="000000"/>
                <w:szCs w:val="21"/>
              </w:rPr>
            </w:pPr>
            <w:r>
              <w:rPr>
                <w:rFonts w:hint="eastAsia"/>
                <w:color w:val="000000"/>
                <w:szCs w:val="21"/>
              </w:rPr>
              <w:t>——</w:t>
            </w:r>
          </w:p>
        </w:tc>
        <w:tc>
          <w:tcPr>
            <w:tcW w:w="1462" w:type="dxa"/>
            <w:vAlign w:val="center"/>
          </w:tcPr>
          <w:p>
            <w:pPr>
              <w:jc w:val="center"/>
              <w:rPr>
                <w:color w:val="000000"/>
                <w:szCs w:val="21"/>
              </w:rPr>
            </w:pPr>
            <w:r>
              <w:rPr>
                <w:rFonts w:hint="eastAsia"/>
                <w:color w:val="00000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726" w:type="dxa"/>
            <w:vAlign w:val="center"/>
          </w:tcPr>
          <w:p>
            <w:pPr>
              <w:widowControl/>
              <w:jc w:val="center"/>
              <w:textAlignment w:val="bottom"/>
              <w:rPr>
                <w:rFonts w:ascii="宋体" w:hAnsi="宋体" w:cs="宋体"/>
                <w:color w:val="000000"/>
                <w:szCs w:val="21"/>
              </w:rPr>
            </w:pPr>
            <w:r>
              <w:rPr>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30</w:t>
            </w:r>
          </w:p>
        </w:tc>
        <w:tc>
          <w:tcPr>
            <w:tcW w:w="2320" w:type="dxa"/>
            <w:noWrap/>
            <w:vAlign w:val="center"/>
          </w:tcPr>
          <w:p>
            <w:pPr>
              <w:widowControl/>
              <w:jc w:val="center"/>
              <w:textAlignment w:val="bottom"/>
              <w:rPr>
                <w:color w:val="000000"/>
                <w:szCs w:val="21"/>
              </w:rPr>
            </w:pPr>
            <w:r>
              <w:rPr>
                <w:rFonts w:hint="eastAsia" w:ascii="宋体" w:hAnsi="宋体" w:cs="宋体"/>
                <w:color w:val="000000"/>
                <w:kern w:val="0"/>
                <w:szCs w:val="21"/>
              </w:rPr>
              <w:t>屏蔽电缆</w:t>
            </w:r>
          </w:p>
        </w:tc>
        <w:tc>
          <w:tcPr>
            <w:tcW w:w="2648" w:type="dxa"/>
            <w:noWrap/>
            <w:vAlign w:val="center"/>
          </w:tcPr>
          <w:p>
            <w:pPr>
              <w:widowControl/>
              <w:jc w:val="center"/>
              <w:textAlignment w:val="bottom"/>
              <w:rPr>
                <w:color w:val="000000"/>
                <w:szCs w:val="21"/>
              </w:rPr>
            </w:pPr>
            <w:r>
              <w:rPr>
                <w:color w:val="000000"/>
                <w:kern w:val="0"/>
                <w:szCs w:val="21"/>
              </w:rPr>
              <w:t>RVVP 3*0.75</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color w:val="000000"/>
                <w:szCs w:val="21"/>
              </w:rPr>
            </w:pPr>
            <w:r>
              <w:rPr>
                <w:rFonts w:hint="eastAsia" w:ascii="宋体" w:hAnsi="宋体" w:cs="宋体"/>
                <w:color w:val="000000"/>
                <w:kern w:val="0"/>
                <w:szCs w:val="21"/>
              </w:rPr>
              <w:t>卷</w:t>
            </w:r>
          </w:p>
        </w:tc>
        <w:tc>
          <w:tcPr>
            <w:tcW w:w="726" w:type="dxa"/>
            <w:vAlign w:val="center"/>
          </w:tcPr>
          <w:p>
            <w:pPr>
              <w:widowControl/>
              <w:jc w:val="center"/>
              <w:textAlignment w:val="bottom"/>
              <w:rPr>
                <w:color w:val="000000"/>
                <w:szCs w:val="21"/>
              </w:rPr>
            </w:pPr>
            <w:r>
              <w:rPr>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31</w:t>
            </w:r>
          </w:p>
        </w:tc>
        <w:tc>
          <w:tcPr>
            <w:tcW w:w="2320" w:type="dxa"/>
            <w:noWrap/>
            <w:vAlign w:val="center"/>
          </w:tcPr>
          <w:p>
            <w:pPr>
              <w:widowControl/>
              <w:jc w:val="center"/>
              <w:textAlignment w:val="bottom"/>
              <w:rPr>
                <w:rFonts w:ascii="宋体" w:hAnsi="宋体" w:cs="宋体"/>
                <w:kern w:val="0"/>
                <w:szCs w:val="21"/>
              </w:rPr>
            </w:pPr>
            <w:r>
              <w:rPr>
                <w:rFonts w:hint="eastAsia" w:ascii="宋体" w:hAnsi="宋体" w:cs="宋体"/>
                <w:color w:val="000000"/>
                <w:kern w:val="0"/>
                <w:szCs w:val="21"/>
              </w:rPr>
              <w:t>电缆线</w:t>
            </w:r>
          </w:p>
        </w:tc>
        <w:tc>
          <w:tcPr>
            <w:tcW w:w="2648" w:type="dxa"/>
            <w:noWrap/>
            <w:vAlign w:val="center"/>
          </w:tcPr>
          <w:p>
            <w:pPr>
              <w:widowControl/>
              <w:jc w:val="center"/>
              <w:textAlignment w:val="bottom"/>
              <w:rPr>
                <w:kern w:val="0"/>
                <w:szCs w:val="21"/>
              </w:rPr>
            </w:pPr>
            <w:r>
              <w:rPr>
                <w:color w:val="000000"/>
                <w:kern w:val="0"/>
                <w:szCs w:val="21"/>
              </w:rPr>
              <w:t>VVR 3×6+1×4mm2</w:t>
            </w:r>
          </w:p>
        </w:tc>
        <w:tc>
          <w:tcPr>
            <w:tcW w:w="1462" w:type="dxa"/>
            <w:vAlign w:val="center"/>
          </w:tcPr>
          <w:p>
            <w:pPr>
              <w:widowControl/>
              <w:jc w:val="center"/>
              <w:textAlignment w:val="bottom"/>
              <w:rPr>
                <w:color w:val="000000"/>
                <w:kern w:val="0"/>
                <w:szCs w:val="21"/>
              </w:rPr>
            </w:pPr>
            <w:r>
              <w:rPr>
                <w:rFonts w:hint="eastAsia"/>
                <w:color w:val="000000"/>
                <w:kern w:val="0"/>
                <w:szCs w:val="21"/>
              </w:rPr>
              <w:t>——</w:t>
            </w:r>
          </w:p>
        </w:tc>
        <w:tc>
          <w:tcPr>
            <w:tcW w:w="709" w:type="dxa"/>
            <w:vAlign w:val="center"/>
          </w:tcPr>
          <w:p>
            <w:pPr>
              <w:widowControl/>
              <w:jc w:val="center"/>
              <w:textAlignment w:val="bottom"/>
              <w:rPr>
                <w:color w:val="000000"/>
                <w:szCs w:val="21"/>
              </w:rPr>
            </w:pPr>
            <w:r>
              <w:rPr>
                <w:rFonts w:hint="eastAsia" w:ascii="宋体" w:hAnsi="宋体" w:cs="宋体"/>
                <w:color w:val="000000"/>
                <w:kern w:val="0"/>
                <w:szCs w:val="21"/>
              </w:rPr>
              <w:t>米</w:t>
            </w:r>
          </w:p>
        </w:tc>
        <w:tc>
          <w:tcPr>
            <w:tcW w:w="726" w:type="dxa"/>
            <w:vAlign w:val="center"/>
          </w:tcPr>
          <w:p>
            <w:pPr>
              <w:widowControl/>
              <w:jc w:val="center"/>
              <w:textAlignment w:val="bottom"/>
              <w:rPr>
                <w:color w:val="000000"/>
                <w:szCs w:val="21"/>
              </w:rPr>
            </w:pPr>
            <w:r>
              <w:rPr>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32</w:t>
            </w:r>
          </w:p>
        </w:tc>
        <w:tc>
          <w:tcPr>
            <w:tcW w:w="2320" w:type="dxa"/>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电缆</w:t>
            </w:r>
          </w:p>
        </w:tc>
        <w:tc>
          <w:tcPr>
            <w:tcW w:w="2648" w:type="dxa"/>
            <w:noWrap/>
            <w:vAlign w:val="center"/>
          </w:tcPr>
          <w:p>
            <w:pPr>
              <w:widowControl/>
              <w:jc w:val="center"/>
              <w:textAlignment w:val="center"/>
              <w:rPr>
                <w:color w:val="000000"/>
                <w:szCs w:val="21"/>
              </w:rPr>
            </w:pPr>
            <w:r>
              <w:rPr>
                <w:color w:val="000000"/>
                <w:kern w:val="0"/>
                <w:szCs w:val="21"/>
              </w:rPr>
              <w:t>VVR 3×4+1</w:t>
            </w:r>
          </w:p>
        </w:tc>
        <w:tc>
          <w:tcPr>
            <w:tcW w:w="1462" w:type="dxa"/>
            <w:vAlign w:val="center"/>
          </w:tcPr>
          <w:p>
            <w:pPr>
              <w:widowControl/>
              <w:jc w:val="center"/>
              <w:textAlignment w:val="center"/>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米</w:t>
            </w:r>
          </w:p>
        </w:tc>
        <w:tc>
          <w:tcPr>
            <w:tcW w:w="726" w:type="dxa"/>
            <w:vAlign w:val="center"/>
          </w:tcPr>
          <w:p>
            <w:pPr>
              <w:widowControl/>
              <w:jc w:val="center"/>
              <w:textAlignment w:val="bottom"/>
              <w:rPr>
                <w:rFonts w:ascii="宋体" w:hAnsi="宋体" w:cs="宋体"/>
                <w:color w:val="000000"/>
                <w:szCs w:val="21"/>
              </w:rPr>
            </w:pPr>
            <w:r>
              <w:rPr>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33</w:t>
            </w:r>
          </w:p>
        </w:tc>
        <w:tc>
          <w:tcPr>
            <w:tcW w:w="2320" w:type="dxa"/>
            <w:noWrap/>
            <w:vAlign w:val="center"/>
          </w:tcPr>
          <w:p>
            <w:pPr>
              <w:widowControl/>
              <w:jc w:val="center"/>
              <w:textAlignment w:val="bottom"/>
              <w:rPr>
                <w:color w:val="000000"/>
                <w:szCs w:val="21"/>
              </w:rPr>
            </w:pPr>
            <w:r>
              <w:rPr>
                <w:rFonts w:hint="eastAsia" w:ascii="宋体" w:hAnsi="宋体" w:cs="宋体"/>
                <w:color w:val="000000"/>
                <w:kern w:val="0"/>
                <w:szCs w:val="21"/>
              </w:rPr>
              <w:t>机械式压力保护器</w:t>
            </w:r>
          </w:p>
        </w:tc>
        <w:tc>
          <w:tcPr>
            <w:tcW w:w="264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color w:val="000000"/>
                <w:szCs w:val="21"/>
              </w:rPr>
              <w:t>LP830HLM</w:t>
            </w:r>
          </w:p>
        </w:tc>
        <w:tc>
          <w:tcPr>
            <w:tcW w:w="1462" w:type="dxa"/>
            <w:vAlign w:val="center"/>
          </w:tcPr>
          <w:p>
            <w:pPr>
              <w:jc w:val="center"/>
              <w:rPr>
                <w:color w:val="000000"/>
                <w:szCs w:val="21"/>
              </w:rPr>
            </w:pPr>
            <w:r>
              <w:rPr>
                <w:rFonts w:hint="eastAsia"/>
                <w:color w:val="00000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726"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34</w:t>
            </w:r>
          </w:p>
        </w:tc>
        <w:tc>
          <w:tcPr>
            <w:tcW w:w="2320" w:type="dxa"/>
            <w:noWrap/>
            <w:vAlign w:val="center"/>
          </w:tcPr>
          <w:p>
            <w:pPr>
              <w:widowControl/>
              <w:jc w:val="center"/>
              <w:textAlignment w:val="bottom"/>
              <w:rPr>
                <w:rFonts w:ascii="宋体" w:hAnsi="宋体" w:cs="宋体"/>
                <w:kern w:val="0"/>
                <w:szCs w:val="21"/>
              </w:rPr>
            </w:pPr>
            <w:r>
              <w:rPr>
                <w:rFonts w:hint="eastAsia" w:ascii="宋体" w:hAnsi="宋体" w:cs="宋体"/>
                <w:color w:val="000000"/>
                <w:kern w:val="0"/>
                <w:szCs w:val="21"/>
              </w:rPr>
              <w:t>温控表</w:t>
            </w:r>
          </w:p>
        </w:tc>
        <w:tc>
          <w:tcPr>
            <w:tcW w:w="2648"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color w:val="000000"/>
                <w:szCs w:val="21"/>
              </w:rPr>
              <w:t>FKB3-623</w:t>
            </w:r>
          </w:p>
        </w:tc>
        <w:tc>
          <w:tcPr>
            <w:tcW w:w="1462" w:type="dxa"/>
            <w:vAlign w:val="center"/>
          </w:tcPr>
          <w:p>
            <w:pPr>
              <w:jc w:val="center"/>
              <w:rPr>
                <w:color w:val="000000"/>
                <w:szCs w:val="21"/>
              </w:rPr>
            </w:pPr>
            <w:r>
              <w:rPr>
                <w:rFonts w:hint="eastAsia"/>
                <w:color w:val="00000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726"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color w:val="000000"/>
                <w:szCs w:val="21"/>
              </w:rPr>
            </w:pPr>
            <w:r>
              <w:rPr>
                <w:color w:val="000000"/>
                <w:kern w:val="0"/>
                <w:szCs w:val="21"/>
              </w:rPr>
              <w:t>35</w:t>
            </w:r>
          </w:p>
        </w:tc>
        <w:tc>
          <w:tcPr>
            <w:tcW w:w="2320" w:type="dxa"/>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变频器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kern w:val="0"/>
                <w:szCs w:val="21"/>
              </w:rPr>
            </w:pPr>
            <w:r>
              <w:rPr>
                <w:color w:val="000000"/>
                <w:kern w:val="0"/>
                <w:szCs w:val="21"/>
              </w:rPr>
              <w:t>G120 1.5KW</w:t>
            </w:r>
          </w:p>
        </w:tc>
        <w:tc>
          <w:tcPr>
            <w:tcW w:w="1462" w:type="dxa"/>
            <w:vAlign w:val="center"/>
          </w:tcPr>
          <w:p>
            <w:pPr>
              <w:widowControl/>
              <w:jc w:val="center"/>
              <w:textAlignment w:val="center"/>
              <w:rPr>
                <w:color w:val="000000"/>
                <w:kern w:val="0"/>
                <w:szCs w:val="21"/>
              </w:rPr>
            </w:pPr>
            <w:r>
              <w:rPr>
                <w:rFonts w:hint="eastAsia"/>
                <w:color w:val="000000"/>
                <w:kern w:val="0"/>
                <w:szCs w:val="21"/>
              </w:rPr>
              <w:t>——</w:t>
            </w:r>
          </w:p>
        </w:tc>
        <w:tc>
          <w:tcPr>
            <w:tcW w:w="709"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台</w:t>
            </w:r>
          </w:p>
        </w:tc>
        <w:tc>
          <w:tcPr>
            <w:tcW w:w="726"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rFonts w:ascii="宋体" w:hAnsi="宋体" w:cs="宋体"/>
                <w:kern w:val="0"/>
                <w:szCs w:val="21"/>
              </w:rPr>
            </w:pPr>
            <w:r>
              <w:rPr>
                <w:color w:val="000000"/>
                <w:kern w:val="0"/>
                <w:szCs w:val="21"/>
              </w:rPr>
              <w:t>36</w:t>
            </w:r>
          </w:p>
        </w:tc>
        <w:tc>
          <w:tcPr>
            <w:tcW w:w="2320" w:type="dxa"/>
            <w:noWrap/>
            <w:vAlign w:val="bottom"/>
          </w:tcPr>
          <w:p>
            <w:pPr>
              <w:widowControl/>
              <w:jc w:val="center"/>
              <w:textAlignment w:val="bottom"/>
              <w:rPr>
                <w:rFonts w:ascii="宋体" w:hAnsi="宋体" w:cs="宋体"/>
                <w:kern w:val="0"/>
                <w:szCs w:val="21"/>
              </w:rPr>
            </w:pPr>
            <w:r>
              <w:rPr>
                <w:rFonts w:hint="eastAsia" w:ascii="宋体" w:hAnsi="宋体" w:cs="宋体"/>
                <w:color w:val="000000"/>
                <w:kern w:val="0"/>
                <w:szCs w:val="21"/>
              </w:rPr>
              <w:t>变压器</w:t>
            </w:r>
          </w:p>
        </w:tc>
        <w:tc>
          <w:tcPr>
            <w:tcW w:w="2648" w:type="dxa"/>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kern w:val="0"/>
                <w:szCs w:val="21"/>
              </w:rPr>
            </w:pPr>
            <w:r>
              <w:rPr>
                <w:color w:val="000000"/>
                <w:kern w:val="0"/>
                <w:szCs w:val="21"/>
              </w:rPr>
              <w:t>380-220v</w:t>
            </w:r>
          </w:p>
        </w:tc>
        <w:tc>
          <w:tcPr>
            <w:tcW w:w="1462" w:type="dxa"/>
            <w:noWrap/>
            <w:vAlign w:val="bottom"/>
          </w:tcPr>
          <w:p>
            <w:pPr>
              <w:widowControl/>
              <w:jc w:val="center"/>
              <w:textAlignment w:val="bottom"/>
              <w:rPr>
                <w:color w:val="000000"/>
                <w:kern w:val="0"/>
                <w:szCs w:val="21"/>
              </w:rPr>
            </w:pPr>
            <w:r>
              <w:rPr>
                <w:rFonts w:hint="eastAsia"/>
                <w:color w:val="000000"/>
                <w:kern w:val="0"/>
                <w:szCs w:val="21"/>
              </w:rPr>
              <w:t>——</w:t>
            </w:r>
          </w:p>
        </w:tc>
        <w:tc>
          <w:tcPr>
            <w:tcW w:w="709" w:type="dxa"/>
            <w:noWrap/>
            <w:vAlign w:val="bottom"/>
          </w:tcPr>
          <w:p>
            <w:pPr>
              <w:widowControl/>
              <w:jc w:val="center"/>
              <w:textAlignment w:val="bottom"/>
              <w:rPr>
                <w:szCs w:val="21"/>
              </w:rPr>
            </w:pPr>
            <w:r>
              <w:rPr>
                <w:rFonts w:hint="eastAsia" w:ascii="宋体" w:hAnsi="宋体" w:cs="宋体"/>
                <w:color w:val="000000"/>
                <w:kern w:val="0"/>
                <w:szCs w:val="21"/>
              </w:rPr>
              <w:t>个</w:t>
            </w:r>
          </w:p>
        </w:tc>
        <w:tc>
          <w:tcPr>
            <w:tcW w:w="726" w:type="dxa"/>
            <w:noWrap/>
            <w:vAlign w:val="bottom"/>
          </w:tcPr>
          <w:p>
            <w:pPr>
              <w:widowControl/>
              <w:jc w:val="center"/>
              <w:textAlignment w:val="bottom"/>
              <w:rPr>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3</w:t>
            </w:r>
            <w:r>
              <w:rPr>
                <w:color w:val="000000"/>
                <w:kern w:val="0"/>
                <w:szCs w:val="21"/>
              </w:rPr>
              <w:t>7</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蒸发器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制冷量</w:t>
            </w:r>
            <w:r>
              <w:rPr>
                <w:kern w:val="0"/>
                <w:szCs w:val="21"/>
              </w:rPr>
              <w:t>100KW</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3</w:t>
            </w:r>
            <w:r>
              <w:rPr>
                <w:color w:val="000000"/>
                <w:kern w:val="0"/>
                <w:szCs w:val="21"/>
              </w:rPr>
              <w:t>8</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不锈钢机壳</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304</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3</w:t>
            </w:r>
            <w:r>
              <w:rPr>
                <w:color w:val="000000"/>
                <w:kern w:val="0"/>
                <w:szCs w:val="21"/>
              </w:rPr>
              <w:t>9</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不锈钢保温水箱</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2.5m</w:t>
            </w:r>
            <w:r>
              <w:rPr>
                <w:kern w:val="0"/>
                <w:szCs w:val="21"/>
                <w:vertAlign w:val="superscript"/>
              </w:rPr>
              <w:t>3</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0</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不锈钢水泵底座</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304</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1</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不锈钢水泵罩</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304</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2</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压缩机</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SM147A4CLB</w:t>
            </w:r>
          </w:p>
        </w:tc>
        <w:tc>
          <w:tcPr>
            <w:tcW w:w="1462" w:type="dxa"/>
            <w:noWrap/>
            <w:vAlign w:val="center"/>
          </w:tcPr>
          <w:p>
            <w:pPr>
              <w:widowControl/>
              <w:jc w:val="center"/>
              <w:rPr>
                <w:kern w:val="0"/>
                <w:szCs w:val="21"/>
              </w:rPr>
            </w:pPr>
            <w:r>
              <w:rPr>
                <w:rFonts w:hint="eastAsia"/>
                <w:kern w:val="0"/>
                <w:szCs w:val="21"/>
              </w:rPr>
              <w:t>百福马</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3</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制冷剂</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4</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压机冷冻油</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桶</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5</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油液分离器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ascii="宋体" w:hAnsi="宋体" w:cs="宋体"/>
                <w:kern w:val="0"/>
                <w:szCs w:val="21"/>
              </w:rPr>
              <w:t>BF-NS-1007</w:t>
            </w:r>
          </w:p>
        </w:tc>
        <w:tc>
          <w:tcPr>
            <w:tcW w:w="1462" w:type="dxa"/>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6</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气液分离器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ascii="宋体" w:hAnsi="宋体" w:cs="宋体"/>
                <w:kern w:val="0"/>
                <w:szCs w:val="21"/>
              </w:rPr>
              <w:t>BF-209</w:t>
            </w:r>
          </w:p>
        </w:tc>
        <w:tc>
          <w:tcPr>
            <w:tcW w:w="1462" w:type="dxa"/>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7</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回气过滤器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ascii="宋体" w:hAnsi="宋体" w:cs="宋体"/>
                <w:kern w:val="0"/>
                <w:szCs w:val="21"/>
              </w:rPr>
              <w:t>ASF50S9VV</w:t>
            </w:r>
          </w:p>
        </w:tc>
        <w:tc>
          <w:tcPr>
            <w:tcW w:w="1462" w:type="dxa"/>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8</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排气过滤器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DCL305S</w:t>
            </w:r>
          </w:p>
        </w:tc>
        <w:tc>
          <w:tcPr>
            <w:tcW w:w="1462" w:type="dxa"/>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4</w:t>
            </w:r>
            <w:r>
              <w:rPr>
                <w:color w:val="000000"/>
                <w:kern w:val="0"/>
                <w:szCs w:val="21"/>
              </w:rPr>
              <w:t>9</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减震器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Φ22</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支</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0</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减震器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Φ16</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支</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1</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膨胀系统</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2</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管道截止阀</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GBC28S</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3</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管道截止阀</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GBC16S</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4</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管道截止阀</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GBC22S</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5</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不锈钢循环水泵</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定制产品</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6</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不锈钢止回阀</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DN50</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7</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带盘油压表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1</w:t>
            </w:r>
            <w:r>
              <w:rPr>
                <w:rFonts w:hint="eastAsia"/>
                <w:kern w:val="0"/>
                <w:szCs w:val="21"/>
              </w:rPr>
              <w:t>～</w:t>
            </w:r>
            <w:r>
              <w:rPr>
                <w:kern w:val="0"/>
                <w:szCs w:val="21"/>
              </w:rPr>
              <w:t>30Kg    0.2</w:t>
            </w:r>
            <w:r>
              <w:rPr>
                <w:rFonts w:hint="eastAsia"/>
                <w:kern w:val="0"/>
                <w:szCs w:val="21"/>
              </w:rPr>
              <w:t>～</w:t>
            </w:r>
            <w:r>
              <w:rPr>
                <w:kern w:val="0"/>
                <w:szCs w:val="21"/>
              </w:rPr>
              <w:t>16Kg</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8</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高压压力变送器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SMP133</w:t>
            </w:r>
          </w:p>
        </w:tc>
        <w:tc>
          <w:tcPr>
            <w:tcW w:w="1462" w:type="dxa"/>
            <w:noWrap/>
            <w:vAlign w:val="center"/>
          </w:tcPr>
          <w:p>
            <w:pPr>
              <w:widowControl/>
              <w:jc w:val="center"/>
              <w:rPr>
                <w:kern w:val="0"/>
                <w:szCs w:val="21"/>
              </w:rPr>
            </w:pPr>
            <w:r>
              <w:rPr>
                <w:kern w:val="0"/>
                <w:szCs w:val="21"/>
              </w:rPr>
              <w:t>丹佛斯</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5</w:t>
            </w:r>
            <w:r>
              <w:rPr>
                <w:color w:val="000000"/>
                <w:kern w:val="0"/>
                <w:szCs w:val="21"/>
              </w:rPr>
              <w:t>9</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低压压力变送器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SMP130</w:t>
            </w:r>
          </w:p>
        </w:tc>
        <w:tc>
          <w:tcPr>
            <w:tcW w:w="1462" w:type="dxa"/>
            <w:noWrap/>
            <w:vAlign w:val="center"/>
          </w:tcPr>
          <w:p>
            <w:pPr>
              <w:widowControl/>
              <w:jc w:val="center"/>
              <w:rPr>
                <w:kern w:val="0"/>
                <w:szCs w:val="21"/>
              </w:rPr>
            </w:pPr>
            <w:r>
              <w:rPr>
                <w:kern w:val="0"/>
                <w:szCs w:val="21"/>
              </w:rPr>
              <w:t>丹佛斯</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6</w:t>
            </w:r>
            <w:r>
              <w:rPr>
                <w:color w:val="000000"/>
                <w:kern w:val="0"/>
                <w:szCs w:val="21"/>
              </w:rPr>
              <w:t>0</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水压压力变送器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KP15</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color w:val="000000"/>
                <w:kern w:val="0"/>
                <w:szCs w:val="21"/>
              </w:rPr>
              <w:t>61</w:t>
            </w:r>
          </w:p>
        </w:tc>
        <w:tc>
          <w:tcPr>
            <w:tcW w:w="2320" w:type="dxa"/>
            <w:noWrap/>
            <w:vAlign w:val="center"/>
          </w:tcPr>
          <w:p>
            <w:pPr>
              <w:widowControl/>
              <w:jc w:val="center"/>
              <w:rPr>
                <w:rFonts w:ascii="宋体" w:hAnsi="宋体" w:cs="宋体"/>
                <w:kern w:val="0"/>
                <w:szCs w:val="21"/>
              </w:rPr>
            </w:pPr>
            <w:r>
              <w:rPr>
                <w:rFonts w:hint="eastAsia" w:ascii="宋体" w:hAnsi="宋体" w:cs="宋体"/>
                <w:kern w:val="0"/>
                <w:szCs w:val="21"/>
              </w:rPr>
              <w:t>温度变送器</w:t>
            </w:r>
          </w:p>
        </w:tc>
        <w:tc>
          <w:tcPr>
            <w:tcW w:w="264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kern w:val="0"/>
                <w:szCs w:val="21"/>
              </w:rPr>
              <w:t>KT100</w:t>
            </w:r>
          </w:p>
        </w:tc>
        <w:tc>
          <w:tcPr>
            <w:tcW w:w="1462" w:type="dxa"/>
            <w:noWrap/>
            <w:vAlign w:val="center"/>
          </w:tcPr>
          <w:p>
            <w:pPr>
              <w:widowControl/>
              <w:jc w:val="center"/>
              <w:rPr>
                <w:kern w:val="0"/>
                <w:szCs w:val="21"/>
              </w:rPr>
            </w:pPr>
            <w:r>
              <w:rPr>
                <w:rFonts w:hint="eastAsia"/>
                <w:kern w:val="0"/>
                <w:szCs w:val="21"/>
              </w:rPr>
              <w:t>——</w:t>
            </w:r>
          </w:p>
        </w:tc>
        <w:tc>
          <w:tcPr>
            <w:tcW w:w="709"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bottom"/>
          </w:tcPr>
          <w:p>
            <w:pPr>
              <w:widowControl/>
              <w:jc w:val="center"/>
              <w:textAlignment w:val="bottom"/>
              <w:rPr>
                <w:color w:val="000000"/>
                <w:kern w:val="0"/>
                <w:szCs w:val="21"/>
              </w:rPr>
            </w:pPr>
            <w:r>
              <w:rPr>
                <w:rFonts w:hint="eastAsia"/>
                <w:color w:val="000000"/>
                <w:kern w:val="0"/>
                <w:szCs w:val="21"/>
              </w:rPr>
              <w:t>6</w:t>
            </w:r>
            <w:r>
              <w:rPr>
                <w:color w:val="000000"/>
                <w:kern w:val="0"/>
                <w:szCs w:val="21"/>
              </w:rPr>
              <w:t>2</w:t>
            </w:r>
          </w:p>
        </w:tc>
        <w:tc>
          <w:tcPr>
            <w:tcW w:w="2320" w:type="dxa"/>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手动PLC备用系统</w:t>
            </w:r>
          </w:p>
        </w:tc>
        <w:tc>
          <w:tcPr>
            <w:tcW w:w="2648" w:type="dxa"/>
            <w:tcBorders>
              <w:top w:val="single" w:color="auto" w:sz="4" w:space="0"/>
              <w:left w:val="single" w:color="auto" w:sz="4" w:space="0"/>
              <w:bottom w:val="single" w:color="auto" w:sz="4" w:space="0"/>
              <w:right w:val="single" w:color="auto" w:sz="4" w:space="0"/>
            </w:tcBorders>
            <w:noWrap/>
            <w:vAlign w:val="bottom"/>
          </w:tcPr>
          <w:p>
            <w:pPr>
              <w:widowControl/>
              <w:textAlignment w:val="bottom"/>
              <w:rPr>
                <w:rFonts w:ascii="宋体" w:hAnsi="宋体" w:cs="宋体"/>
                <w:color w:val="000000"/>
                <w:szCs w:val="21"/>
              </w:rPr>
            </w:pPr>
            <w:r>
              <w:rPr>
                <w:rFonts w:hint="eastAsia" w:ascii="宋体" w:hAnsi="宋体" w:cs="宋体"/>
                <w:color w:val="000000"/>
                <w:kern w:val="0"/>
                <w:szCs w:val="21"/>
              </w:rPr>
              <w:t>含触摸屏、PLC、模块等</w:t>
            </w:r>
          </w:p>
        </w:tc>
        <w:tc>
          <w:tcPr>
            <w:tcW w:w="1462" w:type="dxa"/>
            <w:noWrap/>
            <w:vAlign w:val="center"/>
          </w:tcPr>
          <w:p>
            <w:pPr>
              <w:widowControl/>
              <w:ind w:firstLine="210" w:firstLineChars="100"/>
              <w:textAlignment w:val="bottom"/>
              <w:rPr>
                <w:rFonts w:ascii="宋体" w:hAnsi="宋体" w:cs="宋体"/>
                <w:color w:val="000000"/>
                <w:kern w:val="0"/>
                <w:szCs w:val="21"/>
              </w:rPr>
            </w:pPr>
            <w:r>
              <w:rPr>
                <w:rFonts w:hint="eastAsia" w:ascii="宋体" w:hAnsi="宋体" w:cs="宋体"/>
                <w:color w:val="000000"/>
                <w:kern w:val="0"/>
                <w:szCs w:val="21"/>
              </w:rPr>
              <w:t>SIEMENS</w:t>
            </w:r>
          </w:p>
        </w:tc>
        <w:tc>
          <w:tcPr>
            <w:tcW w:w="709" w:type="dxa"/>
            <w:noWrap/>
            <w:vAlign w:val="center"/>
          </w:tcPr>
          <w:p>
            <w:pPr>
              <w:widowControl/>
              <w:jc w:val="center"/>
              <w:rPr>
                <w:rFonts w:ascii="宋体" w:hAnsi="宋体" w:cs="宋体"/>
                <w:kern w:val="0"/>
                <w:szCs w:val="21"/>
              </w:rPr>
            </w:pPr>
            <w:r>
              <w:rPr>
                <w:rFonts w:ascii="宋体" w:hAnsi="宋体" w:cs="宋体"/>
                <w:kern w:val="0"/>
                <w:szCs w:val="21"/>
              </w:rPr>
              <w:t>项</w:t>
            </w:r>
          </w:p>
        </w:tc>
        <w:tc>
          <w:tcPr>
            <w:tcW w:w="726"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center"/>
          </w:tcPr>
          <w:p>
            <w:pPr>
              <w:widowControl/>
              <w:jc w:val="center"/>
              <w:textAlignment w:val="bottom"/>
              <w:rPr>
                <w:color w:val="000000"/>
                <w:kern w:val="0"/>
                <w:szCs w:val="21"/>
              </w:rPr>
            </w:pPr>
            <w:r>
              <w:rPr>
                <w:rFonts w:hint="eastAsia"/>
                <w:color w:val="000000"/>
                <w:kern w:val="0"/>
                <w:szCs w:val="21"/>
              </w:rPr>
              <w:t>6</w:t>
            </w:r>
            <w:r>
              <w:rPr>
                <w:color w:val="000000"/>
                <w:kern w:val="0"/>
                <w:szCs w:val="21"/>
              </w:rPr>
              <w:t>3</w:t>
            </w:r>
          </w:p>
        </w:tc>
        <w:tc>
          <w:tcPr>
            <w:tcW w:w="2320" w:type="dxa"/>
            <w:noWrap/>
            <w:vAlign w:val="center"/>
          </w:tcPr>
          <w:p>
            <w:pPr>
              <w:jc w:val="center"/>
              <w:rPr>
                <w:szCs w:val="21"/>
              </w:rPr>
            </w:pPr>
            <w:r>
              <w:rPr>
                <w:rFonts w:hint="eastAsia"/>
                <w:szCs w:val="21"/>
              </w:rPr>
              <w:t>其它辅料</w:t>
            </w:r>
          </w:p>
        </w:tc>
        <w:tc>
          <w:tcPr>
            <w:tcW w:w="2648" w:type="dxa"/>
            <w:noWrap/>
            <w:vAlign w:val="center"/>
          </w:tcPr>
          <w:p>
            <w:pPr>
              <w:jc w:val="center"/>
              <w:rPr>
                <w:szCs w:val="21"/>
              </w:rPr>
            </w:pPr>
            <w:r>
              <w:rPr>
                <w:rFonts w:hint="eastAsia"/>
                <w:szCs w:val="21"/>
              </w:rPr>
              <w:t>线槽、铜鼻、线鼻、色带、贴纸、线号管、</w:t>
            </w:r>
            <w:r>
              <w:rPr>
                <w:rFonts w:hint="eastAsia" w:ascii="宋体" w:hAnsi="宋体" w:cs="宋体"/>
                <w:color w:val="000000"/>
                <w:kern w:val="0"/>
                <w:szCs w:val="21"/>
              </w:rPr>
              <w:t>软管、软管接头、导轨</w:t>
            </w:r>
            <w:r>
              <w:rPr>
                <w:rFonts w:hint="eastAsia"/>
                <w:szCs w:val="21"/>
              </w:rPr>
              <w:t>等</w:t>
            </w:r>
          </w:p>
        </w:tc>
        <w:tc>
          <w:tcPr>
            <w:tcW w:w="1462" w:type="dxa"/>
            <w:noWrap/>
            <w:vAlign w:val="center"/>
          </w:tcPr>
          <w:p>
            <w:pPr>
              <w:jc w:val="center"/>
              <w:rPr>
                <w:szCs w:val="21"/>
              </w:rPr>
            </w:pPr>
            <w:r>
              <w:rPr>
                <w:rFonts w:hint="eastAsia"/>
                <w:szCs w:val="21"/>
              </w:rPr>
              <w:t>——</w:t>
            </w:r>
          </w:p>
        </w:tc>
        <w:tc>
          <w:tcPr>
            <w:tcW w:w="709" w:type="dxa"/>
            <w:noWrap/>
            <w:vAlign w:val="center"/>
          </w:tcPr>
          <w:p>
            <w:pPr>
              <w:jc w:val="center"/>
              <w:rPr>
                <w:szCs w:val="21"/>
              </w:rPr>
            </w:pPr>
            <w:r>
              <w:rPr>
                <w:rFonts w:hint="eastAsia"/>
                <w:szCs w:val="21"/>
              </w:rPr>
              <w:t>项</w:t>
            </w:r>
          </w:p>
        </w:tc>
        <w:tc>
          <w:tcPr>
            <w:tcW w:w="726" w:type="dxa"/>
            <w:noWrap/>
            <w:vAlign w:val="center"/>
          </w:tcPr>
          <w:p>
            <w:pPr>
              <w:jc w:val="center"/>
              <w:rPr>
                <w:szCs w:val="21"/>
              </w:rPr>
            </w:pPr>
            <w:r>
              <w:rPr>
                <w:szCs w:val="21"/>
              </w:rPr>
              <w:t>1</w:t>
            </w:r>
          </w:p>
        </w:tc>
      </w:tr>
    </w:tbl>
    <w:p>
      <w:pPr>
        <w:spacing w:line="360" w:lineRule="auto"/>
        <w:ind w:firstLine="422" w:firstLineChars="200"/>
        <w:rPr>
          <w:rFonts w:ascii="宋体" w:hAnsi="宋体"/>
          <w:b/>
          <w:szCs w:val="21"/>
        </w:rPr>
      </w:pPr>
      <w:r>
        <w:rPr>
          <w:rFonts w:ascii="宋体" w:hAnsi="宋体"/>
          <w:b/>
          <w:szCs w:val="21"/>
        </w:rPr>
        <w:t>备注</w:t>
      </w:r>
      <w:r>
        <w:rPr>
          <w:rFonts w:hint="eastAsia" w:ascii="宋体" w:hAnsi="宋体"/>
          <w:b/>
          <w:szCs w:val="21"/>
        </w:rPr>
        <w:t>：以上规格型号为在用品牌型号，投标人需根据招标人在用品牌型号要求，提供与在用型号匹配的零配件，确保与现有设备系统兼容。</w:t>
      </w:r>
    </w:p>
    <w:p>
      <w:pPr>
        <w:spacing w:line="360" w:lineRule="auto"/>
        <w:ind w:firstLine="422" w:firstLineChars="200"/>
        <w:rPr>
          <w:rFonts w:ascii="宋体" w:hAnsi="宋体"/>
          <w:b/>
          <w:szCs w:val="21"/>
        </w:rPr>
      </w:pPr>
      <w:r>
        <w:rPr>
          <w:rFonts w:hint="eastAsia" w:ascii="宋体" w:hAnsi="宋体"/>
          <w:b/>
          <w:szCs w:val="21"/>
        </w:rPr>
        <w:t>三、服务周期和验收要求</w:t>
      </w:r>
    </w:p>
    <w:p>
      <w:pPr>
        <w:snapToGrid w:val="0"/>
        <w:spacing w:line="360" w:lineRule="auto"/>
        <w:ind w:firstLine="420" w:firstLineChars="200"/>
        <w:rPr>
          <w:rFonts w:ascii="宋体" w:hAnsi="宋体"/>
          <w:szCs w:val="21"/>
        </w:rPr>
      </w:pPr>
      <w:r>
        <w:rPr>
          <w:rFonts w:hint="eastAsia" w:ascii="宋体" w:hAnsi="宋体"/>
          <w:szCs w:val="21"/>
        </w:rPr>
        <w:t>1.项目服务周期：自合同生效</w:t>
      </w:r>
      <w:r>
        <w:rPr>
          <w:rFonts w:ascii="宋体" w:hAnsi="宋体"/>
          <w:szCs w:val="21"/>
        </w:rPr>
        <w:t>之日起90</w:t>
      </w:r>
      <w:r>
        <w:rPr>
          <w:rFonts w:hint="eastAsia" w:ascii="宋体" w:hAnsi="宋体"/>
          <w:szCs w:val="21"/>
        </w:rPr>
        <w:t>天内具备</w:t>
      </w:r>
      <w:r>
        <w:rPr>
          <w:rFonts w:ascii="宋体" w:hAnsi="宋体"/>
          <w:szCs w:val="21"/>
        </w:rPr>
        <w:t>项目施工条件</w:t>
      </w:r>
      <w:r>
        <w:rPr>
          <w:rFonts w:hint="eastAsia" w:ascii="宋体" w:hAnsi="宋体"/>
          <w:szCs w:val="21"/>
        </w:rPr>
        <w:t>，具体施工日期由招标人根据实际排产情况确定并提前</w:t>
      </w:r>
      <w:r>
        <w:rPr>
          <w:rFonts w:ascii="宋体" w:hAnsi="宋体"/>
          <w:szCs w:val="21"/>
        </w:rPr>
        <w:t>3天</w:t>
      </w:r>
      <w:r>
        <w:rPr>
          <w:rFonts w:hint="eastAsia" w:ascii="宋体" w:hAnsi="宋体"/>
          <w:szCs w:val="21"/>
        </w:rPr>
        <w:t>通知投标人，采用现场维修方式，施工总时间不超过</w:t>
      </w:r>
      <w:r>
        <w:rPr>
          <w:rFonts w:ascii="宋体" w:hAnsi="宋体"/>
          <w:szCs w:val="21"/>
        </w:rPr>
        <w:t>15</w:t>
      </w:r>
      <w:r>
        <w:rPr>
          <w:rFonts w:hint="eastAsia" w:ascii="宋体" w:hAnsi="宋体"/>
          <w:szCs w:val="21"/>
        </w:rPr>
        <w:t>天。</w:t>
      </w:r>
    </w:p>
    <w:p>
      <w:pPr>
        <w:snapToGrid w:val="0"/>
        <w:spacing w:line="360" w:lineRule="auto"/>
        <w:ind w:firstLine="420" w:firstLineChars="200"/>
        <w:rPr>
          <w:rFonts w:ascii="宋体" w:hAnsi="宋体"/>
          <w:szCs w:val="21"/>
        </w:rPr>
      </w:pPr>
      <w:r>
        <w:rPr>
          <w:rFonts w:hint="eastAsia" w:ascii="宋体" w:hAnsi="宋体"/>
          <w:szCs w:val="21"/>
        </w:rPr>
        <w:t>2.项目完成后，由招标人设备管理和使用部门对设备进行验收, 并出具验收记录。</w:t>
      </w:r>
      <w:r>
        <w:rPr>
          <w:rFonts w:ascii="宋体" w:hAnsi="宋体"/>
          <w:szCs w:val="21"/>
        </w:rPr>
        <w:t>验收时间视</w:t>
      </w:r>
      <w:r>
        <w:rPr>
          <w:rFonts w:hint="eastAsia" w:ascii="宋体" w:hAnsi="宋体"/>
          <w:szCs w:val="21"/>
        </w:rPr>
        <w:t>设备维修</w:t>
      </w:r>
      <w:r>
        <w:rPr>
          <w:rFonts w:ascii="宋体" w:hAnsi="宋体"/>
          <w:szCs w:val="21"/>
        </w:rPr>
        <w:t>及安装调试情况由双方共同商定。其他要求按《烟草机械设备通用技术要求》执行。</w:t>
      </w:r>
    </w:p>
    <w:p>
      <w:pPr>
        <w:spacing w:line="360" w:lineRule="auto"/>
        <w:ind w:firstLine="422" w:firstLineChars="200"/>
        <w:rPr>
          <w:rFonts w:ascii="宋体" w:hAnsi="宋体"/>
          <w:b/>
          <w:szCs w:val="21"/>
        </w:rPr>
      </w:pPr>
      <w:r>
        <w:rPr>
          <w:rFonts w:hint="eastAsia" w:ascii="宋体" w:hAnsi="宋体"/>
          <w:b/>
          <w:szCs w:val="21"/>
        </w:rPr>
        <w:t>四、质量保证</w:t>
      </w:r>
    </w:p>
    <w:p>
      <w:pPr>
        <w:spacing w:line="360" w:lineRule="auto"/>
        <w:ind w:firstLine="420" w:firstLineChars="200"/>
        <w:rPr>
          <w:rFonts w:ascii="宋体" w:hAnsi="宋体"/>
          <w:szCs w:val="21"/>
        </w:rPr>
      </w:pPr>
      <w:r>
        <w:rPr>
          <w:rFonts w:hint="eastAsia" w:ascii="宋体" w:hAnsi="宋体"/>
          <w:szCs w:val="21"/>
        </w:rPr>
        <w:t>1.质量保修期至少为1年，自设备验收合格之日起计算。</w:t>
      </w:r>
    </w:p>
    <w:p>
      <w:pPr>
        <w:spacing w:line="360" w:lineRule="auto"/>
        <w:ind w:firstLine="420" w:firstLineChars="200"/>
        <w:rPr>
          <w:rFonts w:ascii="宋体" w:hAnsi="宋体"/>
          <w:szCs w:val="21"/>
        </w:rPr>
      </w:pPr>
      <w:r>
        <w:rPr>
          <w:rFonts w:hint="eastAsia" w:ascii="宋体" w:hAnsi="宋体"/>
          <w:szCs w:val="21"/>
        </w:rPr>
        <w:t>2.质量保修期内，除易损件外非招标人因素导致设备故障或不能正常工作时，投标人负责在24小时内免费维修或免费更换零部件，并赔偿由此给招标人造成的一切损失。质量保修期内更换的主要部件保修期自更换验收合格后重新计算。</w:t>
      </w:r>
      <w:r>
        <w:br w:type="page"/>
      </w:r>
    </w:p>
    <w:p>
      <w:pPr>
        <w:pStyle w:val="40"/>
      </w:pPr>
      <w:bookmarkStart w:id="40" w:name="_Toc17538"/>
      <w:r>
        <w:rPr>
          <w:rFonts w:hint="eastAsia"/>
        </w:rPr>
        <w:t>第六部分投标文件格式</w:t>
      </w:r>
      <w:bookmarkEnd w:id="40"/>
    </w:p>
    <w:p>
      <w:pPr>
        <w:pStyle w:val="48"/>
      </w:pPr>
      <w:bookmarkStart w:id="41" w:name="_Toc19626"/>
      <w:r>
        <w:rPr>
          <w:rFonts w:hint="eastAsia"/>
        </w:rPr>
        <w:t>一、封面格式</w:t>
      </w:r>
      <w:bookmarkEnd w:id="41"/>
    </w:p>
    <w:p>
      <w:pPr>
        <w:jc w:val="center"/>
        <w:rPr>
          <w:rFonts w:eastAsia="黑体"/>
          <w:sz w:val="28"/>
          <w:szCs w:val="28"/>
          <w:u w:val="single"/>
        </w:rPr>
      </w:pPr>
    </w:p>
    <w:p>
      <w:pPr>
        <w:jc w:val="center"/>
        <w:rPr>
          <w:rFonts w:eastAsia="黑体"/>
          <w:sz w:val="28"/>
          <w:szCs w:val="28"/>
        </w:rPr>
      </w:pPr>
      <w:r>
        <w:rPr>
          <w:rFonts w:eastAsia="黑体"/>
          <w:sz w:val="28"/>
          <w:szCs w:val="28"/>
        </w:rPr>
        <w:t>（项目名称）</w:t>
      </w:r>
    </w:p>
    <w:p>
      <w:pPr>
        <w:rPr>
          <w:rFonts w:eastAsia="黑体"/>
          <w:sz w:val="20"/>
          <w:szCs w:val="20"/>
        </w:rPr>
      </w:pPr>
    </w:p>
    <w:p>
      <w:pPr>
        <w:rPr>
          <w:rFonts w:eastAsia="黑体"/>
          <w:sz w:val="20"/>
          <w:szCs w:val="20"/>
        </w:rPr>
      </w:pPr>
    </w:p>
    <w:p>
      <w:pPr>
        <w:jc w:val="center"/>
        <w:rPr>
          <w:rFonts w:eastAsia="黑体"/>
          <w:sz w:val="44"/>
          <w:szCs w:val="44"/>
        </w:rPr>
      </w:pPr>
      <w:r>
        <w:rPr>
          <w:rFonts w:eastAsia="黑体"/>
          <w:sz w:val="44"/>
          <w:szCs w:val="44"/>
        </w:rPr>
        <w:t>投标文件</w:t>
      </w:r>
    </w:p>
    <w:p>
      <w:pPr>
        <w:rPr>
          <w:rFonts w:eastAsia="黑体"/>
          <w:sz w:val="28"/>
          <w:szCs w:val="28"/>
        </w:rPr>
      </w:pPr>
    </w:p>
    <w:p>
      <w:pPr>
        <w:rPr>
          <w:rFonts w:eastAsia="黑体"/>
          <w:sz w:val="28"/>
          <w:szCs w:val="28"/>
        </w:rPr>
      </w:pPr>
    </w:p>
    <w:p>
      <w:pPr>
        <w:rPr>
          <w:rFonts w:eastAsia="黑体"/>
          <w:sz w:val="28"/>
          <w:szCs w:val="28"/>
        </w:rPr>
      </w:pPr>
    </w:p>
    <w:p>
      <w:pPr>
        <w:spacing w:line="300" w:lineRule="auto"/>
        <w:ind w:firstLine="1280" w:firstLineChars="400"/>
        <w:jc w:val="left"/>
        <w:rPr>
          <w:rFonts w:ascii="宋体" w:hAnsi="宋体"/>
          <w:sz w:val="32"/>
          <w:u w:val="single"/>
        </w:rPr>
      </w:pPr>
      <w:r>
        <w:rPr>
          <w:rFonts w:hint="eastAsia" w:ascii="宋体" w:hAnsi="宋体"/>
          <w:sz w:val="32"/>
        </w:rPr>
        <w:t>招标人编号：</w:t>
      </w:r>
    </w:p>
    <w:p>
      <w:pPr>
        <w:ind w:firstLine="1280" w:firstLineChars="400"/>
        <w:jc w:val="left"/>
        <w:rPr>
          <w:rFonts w:eastAsia="黑体"/>
          <w:sz w:val="28"/>
          <w:szCs w:val="28"/>
        </w:rPr>
      </w:pPr>
      <w:r>
        <w:rPr>
          <w:rFonts w:hint="eastAsia" w:ascii="宋体" w:hAnsi="宋体"/>
          <w:sz w:val="32"/>
        </w:rPr>
        <w:t>招标代理机构编号：</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投标人：（盖单位章）</w:t>
      </w:r>
    </w:p>
    <w:p>
      <w:pPr>
        <w:jc w:val="center"/>
        <w:rPr>
          <w:rFonts w:eastAsia="黑体"/>
          <w:sz w:val="28"/>
          <w:szCs w:val="28"/>
        </w:rPr>
      </w:pPr>
      <w:r>
        <w:rPr>
          <w:rFonts w:hint="eastAsia" w:eastAsia="黑体"/>
          <w:sz w:val="28"/>
          <w:szCs w:val="28"/>
        </w:rPr>
        <w:t>法定代表人或委托代理人：（签字）</w:t>
      </w:r>
    </w:p>
    <w:p>
      <w:pPr>
        <w:jc w:val="center"/>
        <w:rPr>
          <w:rFonts w:eastAsia="黑体"/>
          <w:sz w:val="28"/>
          <w:szCs w:val="28"/>
        </w:rPr>
      </w:pPr>
      <w:r>
        <w:rPr>
          <w:rFonts w:eastAsia="黑体"/>
          <w:sz w:val="28"/>
          <w:szCs w:val="28"/>
        </w:rPr>
        <w:t>年月日</w:t>
      </w:r>
      <w:r>
        <w:rPr>
          <w:rFonts w:eastAsia="黑体"/>
          <w:sz w:val="28"/>
          <w:szCs w:val="28"/>
        </w:rPr>
        <w:br w:type="page"/>
      </w:r>
    </w:p>
    <w:p>
      <w:pPr>
        <w:pStyle w:val="48"/>
      </w:pPr>
      <w:bookmarkStart w:id="42" w:name="_Toc22165"/>
      <w:bookmarkStart w:id="43" w:name="_Toc144974856"/>
      <w:bookmarkStart w:id="44" w:name="_Toc152042576"/>
      <w:bookmarkStart w:id="45" w:name="_Toc152045787"/>
      <w:bookmarkStart w:id="46" w:name="_Toc179632807"/>
      <w:r>
        <w:rPr>
          <w:rFonts w:hint="eastAsia"/>
        </w:rPr>
        <w:t>二、目录格式</w:t>
      </w:r>
      <w:bookmarkEnd w:id="42"/>
    </w:p>
    <w:p>
      <w:pPr>
        <w:jc w:val="center"/>
        <w:rPr>
          <w:rFonts w:ascii="黑体" w:hAnsi="黑体" w:eastAsia="黑体"/>
          <w:sz w:val="32"/>
        </w:rPr>
      </w:pPr>
    </w:p>
    <w:bookmarkEnd w:id="43"/>
    <w:bookmarkEnd w:id="44"/>
    <w:bookmarkEnd w:id="45"/>
    <w:bookmarkEnd w:id="46"/>
    <w:p>
      <w:pPr>
        <w:jc w:val="center"/>
        <w:rPr>
          <w:rFonts w:ascii="黑体" w:hAnsi="黑体" w:eastAsia="黑体"/>
          <w:sz w:val="32"/>
        </w:rPr>
      </w:pPr>
      <w:r>
        <w:rPr>
          <w:rFonts w:hint="eastAsia" w:ascii="黑体" w:hAnsi="黑体" w:eastAsia="黑体"/>
          <w:sz w:val="32"/>
        </w:rPr>
        <w:t>目    录</w:t>
      </w:r>
    </w:p>
    <w:p>
      <w:pPr>
        <w:spacing w:line="540" w:lineRule="exact"/>
      </w:pPr>
    </w:p>
    <w:p>
      <w:pPr>
        <w:spacing w:line="540" w:lineRule="exact"/>
        <w:ind w:firstLine="1920" w:firstLineChars="800"/>
        <w:rPr>
          <w:sz w:val="24"/>
        </w:rPr>
      </w:pPr>
      <w:r>
        <w:rPr>
          <w:rFonts w:hint="eastAsia"/>
          <w:sz w:val="24"/>
        </w:rPr>
        <w:t>一、投标函第**页</w:t>
      </w:r>
    </w:p>
    <w:p>
      <w:pPr>
        <w:spacing w:line="540" w:lineRule="exact"/>
        <w:ind w:firstLine="1920" w:firstLineChars="800"/>
        <w:rPr>
          <w:rFonts w:ascii="宋体" w:hAnsi="宋体"/>
          <w:sz w:val="24"/>
        </w:rPr>
      </w:pPr>
      <w:r>
        <w:rPr>
          <w:rFonts w:hint="eastAsia"/>
          <w:sz w:val="24"/>
        </w:rPr>
        <w:t>二、</w:t>
      </w:r>
      <w:r>
        <w:rPr>
          <w:rFonts w:hint="eastAsia" w:ascii="宋体" w:hAnsi="宋体"/>
          <w:sz w:val="24"/>
        </w:rPr>
        <w:t xml:space="preserve">开标一览表                    </w:t>
      </w:r>
      <w:r>
        <w:rPr>
          <w:rFonts w:hint="eastAsia"/>
          <w:sz w:val="24"/>
        </w:rPr>
        <w:t>第**页</w:t>
      </w:r>
    </w:p>
    <w:p>
      <w:pPr>
        <w:spacing w:line="540" w:lineRule="exact"/>
        <w:ind w:firstLine="1920" w:firstLineChars="800"/>
        <w:rPr>
          <w:rFonts w:ascii="宋体" w:hAnsi="宋体"/>
          <w:sz w:val="24"/>
        </w:rPr>
      </w:pPr>
      <w:r>
        <w:rPr>
          <w:rFonts w:hint="eastAsia" w:ascii="宋体" w:hAnsi="宋体"/>
          <w:sz w:val="24"/>
        </w:rPr>
        <w:t xml:space="preserve">三、投标报价明细表                </w:t>
      </w:r>
      <w:r>
        <w:rPr>
          <w:rFonts w:hint="eastAsia"/>
          <w:sz w:val="24"/>
        </w:rPr>
        <w:t>第**页</w:t>
      </w:r>
    </w:p>
    <w:p>
      <w:pPr>
        <w:spacing w:line="540" w:lineRule="exact"/>
        <w:ind w:firstLine="1920" w:firstLineChars="800"/>
        <w:rPr>
          <w:rFonts w:ascii="宋体" w:hAnsi="宋体"/>
          <w:sz w:val="24"/>
        </w:rPr>
      </w:pPr>
      <w:r>
        <w:rPr>
          <w:rFonts w:hint="eastAsia" w:ascii="宋体" w:hAnsi="宋体"/>
          <w:sz w:val="24"/>
        </w:rPr>
        <w:t xml:space="preserve">四、商务偏离表                    </w:t>
      </w:r>
      <w:r>
        <w:rPr>
          <w:rFonts w:hint="eastAsia"/>
          <w:sz w:val="24"/>
        </w:rPr>
        <w:t>第**页</w:t>
      </w:r>
    </w:p>
    <w:p>
      <w:pPr>
        <w:spacing w:line="540" w:lineRule="exact"/>
        <w:ind w:firstLine="1920" w:firstLineChars="800"/>
        <w:rPr>
          <w:rFonts w:ascii="宋体" w:hAnsi="宋体"/>
          <w:sz w:val="24"/>
        </w:rPr>
      </w:pPr>
      <w:r>
        <w:rPr>
          <w:rFonts w:hint="eastAsia" w:ascii="宋体" w:hAnsi="宋体"/>
          <w:sz w:val="24"/>
        </w:rPr>
        <w:t xml:space="preserve">五、技术偏离表                    </w:t>
      </w:r>
      <w:r>
        <w:rPr>
          <w:rFonts w:hint="eastAsia"/>
          <w:sz w:val="24"/>
        </w:rPr>
        <w:t>第**页</w:t>
      </w:r>
    </w:p>
    <w:p>
      <w:pPr>
        <w:spacing w:line="540" w:lineRule="exact"/>
        <w:ind w:firstLine="1920" w:firstLineChars="800"/>
        <w:rPr>
          <w:rFonts w:ascii="宋体" w:hAnsi="宋体"/>
          <w:sz w:val="24"/>
        </w:rPr>
      </w:pPr>
      <w:r>
        <w:rPr>
          <w:rFonts w:hint="eastAsia" w:ascii="宋体" w:hAnsi="宋体"/>
          <w:sz w:val="24"/>
        </w:rPr>
        <w:t>六、实施方案的详细描述            第**页</w:t>
      </w:r>
    </w:p>
    <w:p>
      <w:pPr>
        <w:spacing w:line="540" w:lineRule="exact"/>
        <w:ind w:firstLine="1920" w:firstLineChars="800"/>
        <w:rPr>
          <w:rFonts w:ascii="宋体" w:hAnsi="宋体"/>
          <w:sz w:val="24"/>
        </w:rPr>
      </w:pPr>
      <w:r>
        <w:rPr>
          <w:rFonts w:hint="eastAsia" w:ascii="宋体" w:hAnsi="宋体"/>
          <w:sz w:val="24"/>
        </w:rPr>
        <w:t xml:space="preserve">七、法定代表人身份证明            </w:t>
      </w:r>
      <w:r>
        <w:rPr>
          <w:rFonts w:hint="eastAsia"/>
          <w:sz w:val="24"/>
        </w:rPr>
        <w:t>第**页</w:t>
      </w:r>
    </w:p>
    <w:p>
      <w:pPr>
        <w:spacing w:line="540" w:lineRule="exact"/>
        <w:ind w:firstLine="1920" w:firstLineChars="800"/>
        <w:rPr>
          <w:rFonts w:ascii="宋体" w:hAnsi="宋体"/>
          <w:sz w:val="24"/>
        </w:rPr>
      </w:pPr>
      <w:r>
        <w:rPr>
          <w:rFonts w:hint="eastAsia" w:ascii="宋体" w:hAnsi="宋体"/>
          <w:sz w:val="24"/>
        </w:rPr>
        <w:t xml:space="preserve">八、授权委托书                    </w:t>
      </w:r>
      <w:r>
        <w:rPr>
          <w:rFonts w:hint="eastAsia"/>
          <w:sz w:val="24"/>
        </w:rPr>
        <w:t>第**页</w:t>
      </w:r>
    </w:p>
    <w:p>
      <w:pPr>
        <w:spacing w:line="540" w:lineRule="exact"/>
        <w:ind w:firstLine="1920" w:firstLineChars="800"/>
        <w:rPr>
          <w:sz w:val="24"/>
        </w:rPr>
      </w:pPr>
      <w:r>
        <w:rPr>
          <w:rFonts w:hint="eastAsia" w:ascii="宋体" w:hAnsi="宋体"/>
          <w:sz w:val="24"/>
        </w:rPr>
        <w:t xml:space="preserve">九、资格证明等文件                </w:t>
      </w:r>
      <w:r>
        <w:rPr>
          <w:rFonts w:hint="eastAsia"/>
          <w:sz w:val="24"/>
        </w:rPr>
        <w:t>第**页</w:t>
      </w:r>
    </w:p>
    <w:p>
      <w:pPr>
        <w:spacing w:line="540" w:lineRule="exact"/>
        <w:ind w:firstLine="1920" w:firstLineChars="800"/>
        <w:rPr>
          <w:sz w:val="24"/>
        </w:rPr>
      </w:pPr>
      <w:r>
        <w:rPr>
          <w:rFonts w:hint="eastAsia"/>
          <w:sz w:val="24"/>
        </w:rPr>
        <w:t>十、招标文件要求的其他格式第**页</w:t>
      </w:r>
    </w:p>
    <w:p>
      <w:pPr>
        <w:spacing w:line="540" w:lineRule="exact"/>
        <w:ind w:firstLine="1920" w:firstLineChars="800"/>
        <w:rPr>
          <w:sz w:val="24"/>
        </w:rPr>
      </w:pPr>
      <w:r>
        <w:rPr>
          <w:rFonts w:hint="eastAsia"/>
          <w:sz w:val="24"/>
        </w:rPr>
        <w:t>十一、投标保证金退款及开票信息表第**页</w:t>
      </w:r>
    </w:p>
    <w:p>
      <w:pPr>
        <w:spacing w:line="540" w:lineRule="exact"/>
        <w:ind w:firstLine="1920" w:firstLineChars="800"/>
        <w:rPr>
          <w:rFonts w:ascii="宋体" w:hAnsi="宋体"/>
          <w:sz w:val="24"/>
        </w:rPr>
      </w:pPr>
      <w:r>
        <w:rPr>
          <w:rFonts w:hint="eastAsia"/>
          <w:sz w:val="24"/>
        </w:rPr>
        <w:t>十二、投标人承诺书格式第**页</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b/>
          <w:sz w:val="24"/>
        </w:rPr>
      </w:pPr>
      <w:r>
        <w:rPr>
          <w:rFonts w:ascii="宋体" w:hAnsi="宋体"/>
          <w:sz w:val="24"/>
        </w:rPr>
        <w:br w:type="page"/>
      </w:r>
    </w:p>
    <w:p>
      <w:pPr>
        <w:pStyle w:val="48"/>
      </w:pPr>
      <w:bookmarkStart w:id="47" w:name="_Toc2909"/>
      <w:bookmarkStart w:id="48" w:name="_Toc318787302"/>
      <w:r>
        <w:rPr>
          <w:rFonts w:hint="eastAsia"/>
        </w:rPr>
        <w:t>三、投标函格式</w:t>
      </w:r>
      <w:bookmarkEnd w:id="47"/>
    </w:p>
    <w:p>
      <w:pPr>
        <w:jc w:val="center"/>
        <w:rPr>
          <w:rFonts w:ascii="黑体" w:eastAsia="黑体"/>
          <w:sz w:val="28"/>
          <w:szCs w:val="28"/>
        </w:rPr>
      </w:pPr>
      <w:r>
        <w:rPr>
          <w:rFonts w:hint="eastAsia" w:ascii="黑体" w:eastAsia="黑体"/>
          <w:sz w:val="28"/>
          <w:szCs w:val="28"/>
        </w:rPr>
        <w:t>投标函</w:t>
      </w:r>
      <w:bookmarkEnd w:id="48"/>
    </w:p>
    <w:p>
      <w:pPr>
        <w:spacing w:line="400" w:lineRule="atLeast"/>
        <w:rPr>
          <w:rFonts w:ascii="宋体"/>
          <w:szCs w:val="21"/>
          <w:u w:val="single"/>
        </w:rPr>
      </w:pPr>
      <w:r>
        <w:rPr>
          <w:rFonts w:hint="eastAsia"/>
          <w:szCs w:val="21"/>
        </w:rPr>
        <w:t>山东中烟工业有限责任公司青州卷烟厂：</w:t>
      </w:r>
    </w:p>
    <w:p>
      <w:pPr>
        <w:spacing w:line="400" w:lineRule="atLeast"/>
        <w:ind w:firstLine="420"/>
        <w:rPr>
          <w:rFonts w:ascii="宋体" w:hAnsi="宋体"/>
          <w:szCs w:val="21"/>
        </w:rPr>
      </w:pPr>
      <w:r>
        <w:rPr>
          <w:rFonts w:ascii="宋体" w:hAnsi="宋体"/>
          <w:szCs w:val="21"/>
          <w:u w:val="single"/>
        </w:rPr>
        <w:t>(</w:t>
      </w:r>
      <w:r>
        <w:rPr>
          <w:rFonts w:hint="eastAsia" w:ascii="宋体" w:hAnsi="宋体"/>
          <w:szCs w:val="21"/>
          <w:u w:val="single"/>
        </w:rPr>
        <w:t>投标单位全称</w:t>
      </w:r>
      <w:r>
        <w:rPr>
          <w:rFonts w:ascii="宋体" w:hAnsi="宋体"/>
          <w:szCs w:val="21"/>
          <w:u w:val="single"/>
        </w:rPr>
        <w:t>)</w:t>
      </w:r>
      <w:r>
        <w:rPr>
          <w:rFonts w:hint="eastAsia" w:ascii="宋体" w:hAnsi="宋体"/>
          <w:szCs w:val="21"/>
        </w:rPr>
        <w:t>授权</w:t>
      </w:r>
      <w:r>
        <w:rPr>
          <w:rFonts w:ascii="宋体" w:hAnsi="宋体"/>
          <w:szCs w:val="21"/>
          <w:u w:val="single"/>
        </w:rPr>
        <w:t>(</w:t>
      </w:r>
      <w:r>
        <w:rPr>
          <w:rFonts w:hint="eastAsia" w:ascii="宋体" w:hAnsi="宋体"/>
          <w:szCs w:val="21"/>
          <w:u w:val="single"/>
        </w:rPr>
        <w:t>委托代理人姓名</w:t>
      </w:r>
      <w:r>
        <w:rPr>
          <w:rFonts w:ascii="宋体" w:hAnsi="宋体"/>
          <w:szCs w:val="21"/>
          <w:u w:val="single"/>
        </w:rPr>
        <w:t>)(</w:t>
      </w:r>
      <w:r>
        <w:rPr>
          <w:rFonts w:hint="eastAsia" w:ascii="宋体" w:hAnsi="宋体"/>
          <w:szCs w:val="21"/>
          <w:u w:val="single"/>
        </w:rPr>
        <w:t>职务、职称</w:t>
      </w:r>
      <w:r>
        <w:rPr>
          <w:rFonts w:ascii="宋体" w:hAnsi="宋体"/>
          <w:szCs w:val="21"/>
          <w:u w:val="single"/>
        </w:rPr>
        <w:t>)</w:t>
      </w:r>
      <w:r>
        <w:rPr>
          <w:rFonts w:hint="eastAsia" w:ascii="宋体" w:hAnsi="宋体"/>
          <w:szCs w:val="21"/>
        </w:rPr>
        <w:t>为委托代理人，参加贵方组织的</w:t>
      </w:r>
      <w:r>
        <w:rPr>
          <w:rFonts w:ascii="宋体" w:hAnsi="宋体"/>
          <w:szCs w:val="21"/>
          <w:u w:val="single"/>
        </w:rPr>
        <w:t>(</w:t>
      </w:r>
      <w:r>
        <w:rPr>
          <w:rFonts w:hint="eastAsia" w:ascii="宋体" w:hAnsi="宋体"/>
          <w:szCs w:val="21"/>
          <w:u w:val="single"/>
        </w:rPr>
        <w:t>招标编号、招标项目名称</w:t>
      </w:r>
      <w:r>
        <w:rPr>
          <w:rFonts w:ascii="宋体" w:hAnsi="宋体"/>
          <w:szCs w:val="21"/>
          <w:u w:val="single"/>
        </w:rPr>
        <w:t>)</w:t>
      </w:r>
      <w:r>
        <w:rPr>
          <w:rFonts w:hint="eastAsia" w:ascii="宋体" w:hAnsi="宋体"/>
          <w:szCs w:val="21"/>
        </w:rPr>
        <w:t>项目的有关招标活动，并进行投标，特此说明及承诺如下：</w:t>
      </w:r>
    </w:p>
    <w:p>
      <w:pPr>
        <w:spacing w:line="400" w:lineRule="atLeast"/>
        <w:ind w:firstLine="420" w:firstLineChars="200"/>
        <w:rPr>
          <w:rFonts w:ascii="宋体" w:hAnsi="宋体"/>
          <w:szCs w:val="21"/>
        </w:rPr>
      </w:pPr>
      <w:r>
        <w:rPr>
          <w:rFonts w:hint="eastAsia" w:ascii="宋体" w:hAnsi="宋体"/>
          <w:szCs w:val="21"/>
        </w:rPr>
        <w:t>1.已按招标文件规定递交投标文件：</w:t>
      </w:r>
    </w:p>
    <w:p>
      <w:pPr>
        <w:spacing w:line="400" w:lineRule="atLeast"/>
        <w:ind w:firstLine="420" w:firstLineChars="200"/>
        <w:rPr>
          <w:rFonts w:ascii="宋体"/>
          <w:szCs w:val="21"/>
        </w:rPr>
      </w:pPr>
      <w:r>
        <w:rPr>
          <w:rFonts w:hint="eastAsia" w:ascii="宋体"/>
          <w:szCs w:val="21"/>
        </w:rPr>
        <w:t>（1）投标文件正本</w:t>
      </w:r>
      <w:r>
        <w:rPr>
          <w:rFonts w:ascii="宋体"/>
          <w:szCs w:val="21"/>
        </w:rPr>
        <w:t>1</w:t>
      </w:r>
      <w:r>
        <w:rPr>
          <w:rFonts w:hint="eastAsia" w:ascii="宋体"/>
          <w:szCs w:val="21"/>
        </w:rPr>
        <w:t>套，副本4套。内容包括：投标函、投标一览表、实施方案的详细描述、商务和技术偏离表、投标保证金、资格证明文件、招标文件要求的其他内容。</w:t>
      </w:r>
    </w:p>
    <w:p>
      <w:pPr>
        <w:spacing w:line="400" w:lineRule="atLeast"/>
        <w:ind w:firstLine="420" w:firstLineChars="200"/>
        <w:rPr>
          <w:rFonts w:ascii="宋体"/>
          <w:szCs w:val="21"/>
        </w:rPr>
      </w:pPr>
      <w:r>
        <w:rPr>
          <w:rFonts w:hint="eastAsia" w:ascii="宋体"/>
          <w:szCs w:val="21"/>
        </w:rPr>
        <w:t>（2）电子版投标文件一份。</w:t>
      </w:r>
    </w:p>
    <w:p>
      <w:pPr>
        <w:spacing w:line="400" w:lineRule="atLeast"/>
        <w:ind w:firstLine="420"/>
        <w:rPr>
          <w:rFonts w:ascii="宋体" w:hAnsi="宋体"/>
          <w:szCs w:val="21"/>
        </w:rPr>
      </w:pPr>
      <w:r>
        <w:rPr>
          <w:rFonts w:hint="eastAsia" w:ascii="宋体" w:hAnsi="宋体"/>
          <w:szCs w:val="21"/>
        </w:rPr>
        <w:t>2.已按要求交纳投标保证金元人民币。</w:t>
      </w:r>
    </w:p>
    <w:p>
      <w:pPr>
        <w:spacing w:line="400" w:lineRule="atLeast"/>
        <w:ind w:firstLine="420"/>
        <w:rPr>
          <w:rFonts w:ascii="宋体"/>
          <w:szCs w:val="21"/>
        </w:rPr>
      </w:pPr>
      <w:r>
        <w:rPr>
          <w:rFonts w:hint="eastAsia" w:ascii="宋体" w:hAnsi="宋体"/>
          <w:szCs w:val="21"/>
        </w:rPr>
        <w:t>3.</w:t>
      </w:r>
      <w:r>
        <w:rPr>
          <w:rFonts w:hint="eastAsia" w:ascii="宋体"/>
          <w:szCs w:val="21"/>
        </w:rPr>
        <w:t>投标项目的总投标价为</w:t>
      </w:r>
      <w:r>
        <w:rPr>
          <w:rFonts w:ascii="宋体"/>
          <w:szCs w:val="21"/>
        </w:rPr>
        <w:t>(</w:t>
      </w:r>
      <w:r>
        <w:rPr>
          <w:rFonts w:hint="eastAsia" w:ascii="宋体"/>
          <w:szCs w:val="21"/>
        </w:rPr>
        <w:t>大写</w:t>
      </w:r>
      <w:r>
        <w:rPr>
          <w:rFonts w:ascii="宋体"/>
          <w:szCs w:val="21"/>
        </w:rPr>
        <w:t>)</w:t>
      </w:r>
      <w:r>
        <w:rPr>
          <w:rFonts w:hint="eastAsia" w:ascii="宋体"/>
          <w:szCs w:val="21"/>
        </w:rPr>
        <w:t>：</w:t>
      </w:r>
      <w:r>
        <w:rPr>
          <w:rFonts w:hint="eastAsia" w:ascii="宋体"/>
          <w:szCs w:val="21"/>
          <w:u w:val="single"/>
        </w:rPr>
        <w:t>　      　</w:t>
      </w:r>
      <w:r>
        <w:rPr>
          <w:rFonts w:hint="eastAsia" w:ascii="宋体"/>
          <w:szCs w:val="21"/>
        </w:rPr>
        <w:t>元人民币（含税）。</w:t>
      </w:r>
    </w:p>
    <w:p>
      <w:pPr>
        <w:spacing w:line="400" w:lineRule="atLeast"/>
        <w:ind w:firstLine="420"/>
        <w:rPr>
          <w:rFonts w:ascii="宋体"/>
          <w:szCs w:val="21"/>
        </w:rPr>
      </w:pPr>
      <w:r>
        <w:rPr>
          <w:rFonts w:hint="eastAsia" w:ascii="宋体"/>
          <w:szCs w:val="21"/>
        </w:rPr>
        <w:t>4.我方将按招标文件的规定履行合同责任和义务。</w:t>
      </w:r>
    </w:p>
    <w:p>
      <w:pPr>
        <w:spacing w:line="400" w:lineRule="atLeast"/>
        <w:ind w:firstLine="420"/>
        <w:rPr>
          <w:rFonts w:ascii="宋体"/>
          <w:szCs w:val="21"/>
        </w:rPr>
      </w:pPr>
      <w:r>
        <w:rPr>
          <w:rFonts w:hint="eastAsia" w:ascii="宋体"/>
          <w:szCs w:val="21"/>
        </w:rPr>
        <w:t>5.我方已仔细研究本项目全部招标文件，包括招标文件所附合同条款，修改文件及其有效补充文件，以及全部参考资料和有关附件，除已提出的商务和技术偏离外，我们完全同意招标文件的所有条款，理解并同意放弃对这方面有不明及误解的权利。</w:t>
      </w:r>
    </w:p>
    <w:p>
      <w:pPr>
        <w:spacing w:line="400" w:lineRule="atLeast"/>
        <w:ind w:firstLine="420"/>
        <w:rPr>
          <w:rFonts w:ascii="宋体"/>
          <w:szCs w:val="21"/>
        </w:rPr>
      </w:pPr>
      <w:r>
        <w:rPr>
          <w:rFonts w:hint="eastAsia" w:ascii="宋体"/>
          <w:szCs w:val="21"/>
        </w:rPr>
        <w:t>6.如我方中标，招标文件构成合同的组成部分，对我方具有约束力。</w:t>
      </w:r>
    </w:p>
    <w:p>
      <w:pPr>
        <w:spacing w:line="400" w:lineRule="atLeast"/>
        <w:ind w:firstLine="420"/>
        <w:rPr>
          <w:rFonts w:ascii="宋体"/>
          <w:szCs w:val="21"/>
        </w:rPr>
      </w:pPr>
      <w:r>
        <w:rPr>
          <w:rFonts w:hint="eastAsia" w:ascii="宋体"/>
          <w:szCs w:val="21"/>
        </w:rPr>
        <w:t>7.本投标有效期为自投标截止日起90日历日。</w:t>
      </w:r>
    </w:p>
    <w:p>
      <w:pPr>
        <w:spacing w:line="400" w:lineRule="atLeast"/>
        <w:ind w:firstLine="420"/>
        <w:rPr>
          <w:rFonts w:ascii="宋体"/>
          <w:szCs w:val="21"/>
        </w:rPr>
      </w:pPr>
      <w:r>
        <w:rPr>
          <w:rFonts w:hint="eastAsia" w:ascii="宋体"/>
          <w:szCs w:val="21"/>
        </w:rPr>
        <w:t>8.我方同意招标文件关于不退还投标保证金的规定。</w:t>
      </w:r>
    </w:p>
    <w:p>
      <w:pPr>
        <w:spacing w:line="400" w:lineRule="atLeast"/>
        <w:ind w:firstLine="420" w:firstLineChars="200"/>
        <w:rPr>
          <w:rFonts w:ascii="宋体"/>
          <w:szCs w:val="21"/>
        </w:rPr>
      </w:pPr>
      <w:r>
        <w:rPr>
          <w:rFonts w:hint="eastAsia" w:ascii="宋体"/>
          <w:szCs w:val="21"/>
        </w:rPr>
        <w:t>9.我方同意遵守招标文件中的有关规定和收费标准。</w:t>
      </w:r>
    </w:p>
    <w:p>
      <w:pPr>
        <w:spacing w:line="400" w:lineRule="atLeast"/>
        <w:rPr>
          <w:rFonts w:ascii="宋体"/>
          <w:szCs w:val="21"/>
        </w:rPr>
      </w:pPr>
      <w:r>
        <w:rPr>
          <w:rFonts w:hint="eastAsia" w:ascii="宋体"/>
          <w:szCs w:val="21"/>
        </w:rPr>
        <w:t xml:space="preserve">    10.我方同意提供贵方可能要求的与投标有关的一切数据或资料。</w:t>
      </w:r>
    </w:p>
    <w:p>
      <w:pPr>
        <w:spacing w:line="400" w:lineRule="atLeast"/>
        <w:ind w:firstLine="420" w:firstLineChars="200"/>
        <w:rPr>
          <w:rFonts w:ascii="宋体"/>
          <w:szCs w:val="21"/>
        </w:rPr>
      </w:pPr>
      <w:r>
        <w:rPr>
          <w:rFonts w:hint="eastAsia" w:ascii="宋体"/>
          <w:szCs w:val="21"/>
        </w:rPr>
        <w:t>11.与本投标有关的一切往来通讯请寄：</w:t>
      </w:r>
    </w:p>
    <w:p>
      <w:pPr>
        <w:spacing w:line="400" w:lineRule="atLeast"/>
        <w:ind w:firstLine="420" w:firstLineChars="200"/>
        <w:rPr>
          <w:rFonts w:ascii="宋体"/>
          <w:szCs w:val="21"/>
        </w:rPr>
      </w:pPr>
      <w:r>
        <w:rPr>
          <w:rFonts w:hint="eastAsia" w:ascii="宋体"/>
          <w:szCs w:val="21"/>
        </w:rPr>
        <w:t>地址：</w:t>
      </w:r>
      <w:r>
        <w:rPr>
          <w:szCs w:val="21"/>
        </w:rPr>
        <w:t>____________________________________________________</w:t>
      </w:r>
    </w:p>
    <w:p>
      <w:pPr>
        <w:spacing w:line="400" w:lineRule="atLeast"/>
        <w:ind w:firstLine="420" w:firstLineChars="200"/>
        <w:rPr>
          <w:rFonts w:ascii="宋体"/>
          <w:szCs w:val="21"/>
        </w:rPr>
      </w:pPr>
      <w:r>
        <w:rPr>
          <w:rFonts w:hint="eastAsia" w:ascii="宋体"/>
          <w:szCs w:val="21"/>
        </w:rPr>
        <w:t>邮编：</w:t>
      </w:r>
      <w:r>
        <w:rPr>
          <w:szCs w:val="21"/>
        </w:rPr>
        <w:t>____________</w:t>
      </w:r>
      <w:r>
        <w:rPr>
          <w:rFonts w:hint="eastAsia" w:ascii="宋体"/>
          <w:szCs w:val="21"/>
        </w:rPr>
        <w:t>　电话：</w:t>
      </w:r>
      <w:r>
        <w:rPr>
          <w:szCs w:val="21"/>
        </w:rPr>
        <w:t>____________</w:t>
      </w:r>
      <w:r>
        <w:rPr>
          <w:rFonts w:hint="eastAsia" w:ascii="宋体"/>
          <w:szCs w:val="21"/>
        </w:rPr>
        <w:t>　传真：</w:t>
      </w:r>
      <w:r>
        <w:rPr>
          <w:szCs w:val="21"/>
        </w:rPr>
        <w:t>____________</w:t>
      </w:r>
    </w:p>
    <w:p>
      <w:pPr>
        <w:spacing w:line="400" w:lineRule="atLeast"/>
        <w:rPr>
          <w:rFonts w:ascii="宋体"/>
          <w:szCs w:val="21"/>
        </w:rPr>
      </w:pPr>
    </w:p>
    <w:p>
      <w:pPr>
        <w:spacing w:line="400" w:lineRule="atLeast"/>
        <w:rPr>
          <w:rFonts w:ascii="宋体"/>
          <w:szCs w:val="21"/>
        </w:rPr>
      </w:pPr>
    </w:p>
    <w:p>
      <w:pPr>
        <w:spacing w:line="400" w:lineRule="atLeast"/>
        <w:ind w:firstLine="3960"/>
        <w:rPr>
          <w:rFonts w:ascii="宋体"/>
          <w:szCs w:val="21"/>
        </w:rPr>
      </w:pPr>
      <w:r>
        <w:rPr>
          <w:rFonts w:hint="eastAsia" w:ascii="宋体"/>
          <w:szCs w:val="21"/>
        </w:rPr>
        <w:t>投标人</w:t>
      </w:r>
      <w:r>
        <w:rPr>
          <w:rFonts w:ascii="宋体"/>
          <w:szCs w:val="21"/>
        </w:rPr>
        <w:t>(</w:t>
      </w:r>
      <w:r>
        <w:rPr>
          <w:rFonts w:hint="eastAsia" w:ascii="宋体"/>
          <w:szCs w:val="21"/>
        </w:rPr>
        <w:t>盖章</w:t>
      </w:r>
      <w:r>
        <w:rPr>
          <w:rFonts w:ascii="宋体"/>
          <w:szCs w:val="21"/>
        </w:rPr>
        <w:t>)</w:t>
      </w:r>
      <w:r>
        <w:rPr>
          <w:rFonts w:hint="eastAsia" w:ascii="宋体"/>
          <w:szCs w:val="21"/>
        </w:rPr>
        <w:t>：</w:t>
      </w:r>
    </w:p>
    <w:p>
      <w:pPr>
        <w:spacing w:line="400" w:lineRule="atLeast"/>
        <w:ind w:firstLine="3960"/>
        <w:rPr>
          <w:rFonts w:ascii="宋体"/>
          <w:szCs w:val="21"/>
        </w:rPr>
      </w:pPr>
      <w:r>
        <w:rPr>
          <w:rFonts w:hint="eastAsia" w:ascii="宋体"/>
          <w:szCs w:val="21"/>
        </w:rPr>
        <w:t>法定代表人或委托代理人</w:t>
      </w:r>
      <w:r>
        <w:rPr>
          <w:rFonts w:ascii="宋体"/>
          <w:szCs w:val="21"/>
        </w:rPr>
        <w:t>(</w:t>
      </w:r>
      <w:r>
        <w:rPr>
          <w:rFonts w:hint="eastAsia" w:ascii="宋体"/>
          <w:szCs w:val="21"/>
        </w:rPr>
        <w:t>签字</w:t>
      </w:r>
      <w:r>
        <w:rPr>
          <w:rFonts w:ascii="宋体"/>
          <w:szCs w:val="21"/>
        </w:rPr>
        <w:t>)</w:t>
      </w:r>
      <w:r>
        <w:rPr>
          <w:rFonts w:hint="eastAsia" w:ascii="宋体"/>
          <w:szCs w:val="21"/>
        </w:rPr>
        <w:t>：</w:t>
      </w:r>
    </w:p>
    <w:p>
      <w:pPr>
        <w:spacing w:line="400" w:lineRule="atLeast"/>
        <w:ind w:firstLine="3960"/>
        <w:rPr>
          <w:rFonts w:ascii="宋体"/>
          <w:szCs w:val="21"/>
        </w:rPr>
      </w:pPr>
      <w:r>
        <w:rPr>
          <w:rFonts w:hint="eastAsia" w:ascii="宋体"/>
          <w:szCs w:val="21"/>
        </w:rPr>
        <w:t>日期：</w:t>
      </w:r>
    </w:p>
    <w:p>
      <w:pPr>
        <w:pStyle w:val="48"/>
      </w:pPr>
      <w:r>
        <w:rPr>
          <w:szCs w:val="24"/>
        </w:rPr>
        <w:br w:type="page"/>
      </w:r>
      <w:bookmarkStart w:id="49" w:name="_Toc2141"/>
      <w:bookmarkStart w:id="50" w:name="_Toc408844832"/>
      <w:bookmarkStart w:id="51" w:name="_Toc5933"/>
      <w:bookmarkStart w:id="52" w:name="_Toc318787303"/>
      <w:r>
        <w:rPr>
          <w:rFonts w:hint="eastAsia"/>
        </w:rPr>
        <w:t>四、开标一览表格式</w:t>
      </w:r>
      <w:bookmarkEnd w:id="49"/>
    </w:p>
    <w:p>
      <w:pPr>
        <w:jc w:val="center"/>
        <w:rPr>
          <w:rFonts w:ascii="黑体" w:hAnsi="宋体" w:eastAsia="黑体"/>
          <w:sz w:val="28"/>
          <w:szCs w:val="28"/>
        </w:rPr>
      </w:pPr>
      <w:r>
        <w:rPr>
          <w:rFonts w:hint="eastAsia" w:ascii="黑体" w:hAnsi="宋体" w:eastAsia="黑体"/>
          <w:sz w:val="28"/>
          <w:szCs w:val="28"/>
        </w:rPr>
        <w:t>开标一览表</w:t>
      </w:r>
      <w:bookmarkEnd w:id="50"/>
      <w:bookmarkEnd w:id="51"/>
    </w:p>
    <w:bookmarkEnd w:id="52"/>
    <w:p>
      <w:pPr>
        <w:widowControl/>
        <w:spacing w:line="360" w:lineRule="auto"/>
        <w:jc w:val="center"/>
        <w:rPr>
          <w:rFonts w:ascii="宋体" w:hAnsi="宋体"/>
          <w:b/>
          <w:bCs/>
          <w:kern w:val="0"/>
          <w:sz w:val="28"/>
          <w:szCs w:val="28"/>
          <w:u w:color="FFFFFF"/>
        </w:rPr>
      </w:pPr>
      <w:bookmarkStart w:id="53" w:name="_Toc12845"/>
      <w:bookmarkStart w:id="54" w:name="_Toc408844833"/>
      <w:bookmarkStart w:id="55" w:name="_Toc318787304"/>
    </w:p>
    <w:tbl>
      <w:tblPr>
        <w:tblStyle w:val="26"/>
        <w:tblW w:w="85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3"/>
        <w:gridCol w:w="3104"/>
        <w:gridCol w:w="1365"/>
        <w:gridCol w:w="1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3" w:type="dxa"/>
            <w:vAlign w:val="center"/>
          </w:tcPr>
          <w:p>
            <w:pPr>
              <w:pStyle w:val="10"/>
              <w:adjustRightInd w:val="0"/>
              <w:snapToGrid w:val="0"/>
              <w:spacing w:beforeLines="30" w:line="360" w:lineRule="auto"/>
              <w:jc w:val="center"/>
              <w:rPr>
                <w:rFonts w:ascii="宋体" w:hAnsi="宋体" w:cs="Times New Roman"/>
                <w:sz w:val="21"/>
                <w:szCs w:val="21"/>
              </w:rPr>
            </w:pPr>
            <w:r>
              <w:rPr>
                <w:rFonts w:hint="eastAsia" w:ascii="宋体" w:hAnsi="宋体" w:cs="仿宋"/>
                <w:sz w:val="21"/>
                <w:szCs w:val="21"/>
              </w:rPr>
              <w:t>项目名称</w:t>
            </w:r>
          </w:p>
        </w:tc>
        <w:tc>
          <w:tcPr>
            <w:tcW w:w="3104" w:type="dxa"/>
            <w:tcBorders>
              <w:right w:val="single" w:color="auto" w:sz="4" w:space="0"/>
            </w:tcBorders>
            <w:vAlign w:val="center"/>
          </w:tcPr>
          <w:p>
            <w:pPr>
              <w:pStyle w:val="10"/>
              <w:adjustRightInd w:val="0"/>
              <w:snapToGrid w:val="0"/>
              <w:spacing w:beforeLines="30" w:line="360" w:lineRule="auto"/>
              <w:ind w:firstLine="735" w:firstLineChars="350"/>
              <w:rPr>
                <w:rFonts w:ascii="宋体" w:hAnsi="宋体" w:cs="Times New Roman"/>
                <w:sz w:val="21"/>
                <w:szCs w:val="21"/>
              </w:rPr>
            </w:pPr>
          </w:p>
        </w:tc>
        <w:tc>
          <w:tcPr>
            <w:tcW w:w="1365" w:type="dxa"/>
            <w:tcBorders>
              <w:left w:val="single" w:color="auto" w:sz="4" w:space="0"/>
              <w:right w:val="single" w:color="auto" w:sz="4" w:space="0"/>
            </w:tcBorders>
            <w:vAlign w:val="center"/>
          </w:tcPr>
          <w:p>
            <w:pPr>
              <w:pStyle w:val="10"/>
              <w:adjustRightInd w:val="0"/>
              <w:snapToGrid w:val="0"/>
              <w:spacing w:beforeLines="30" w:line="360" w:lineRule="auto"/>
              <w:rPr>
                <w:rFonts w:ascii="宋体" w:hAnsi="宋体" w:cs="Times New Roman"/>
                <w:sz w:val="21"/>
                <w:szCs w:val="21"/>
              </w:rPr>
            </w:pPr>
            <w:r>
              <w:rPr>
                <w:rFonts w:hint="eastAsia" w:ascii="宋体" w:hAnsi="宋体" w:cs="仿宋"/>
                <w:sz w:val="21"/>
                <w:szCs w:val="21"/>
              </w:rPr>
              <w:t>项目编号</w:t>
            </w:r>
          </w:p>
        </w:tc>
        <w:tc>
          <w:tcPr>
            <w:tcW w:w="1674" w:type="dxa"/>
            <w:tcBorders>
              <w:left w:val="single" w:color="auto" w:sz="4" w:space="0"/>
            </w:tcBorders>
            <w:vAlign w:val="center"/>
          </w:tcPr>
          <w:p>
            <w:pPr>
              <w:pStyle w:val="10"/>
              <w:adjustRightInd w:val="0"/>
              <w:snapToGrid w:val="0"/>
              <w:spacing w:beforeLines="30" w:line="360" w:lineRule="auto"/>
              <w:rPr>
                <w:rFonts w:ascii="宋体" w:hAnsi="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2373" w:type="dxa"/>
            <w:vAlign w:val="center"/>
          </w:tcPr>
          <w:p>
            <w:pPr>
              <w:adjustRightInd w:val="0"/>
              <w:snapToGrid w:val="0"/>
              <w:spacing w:beforeLines="30" w:line="360" w:lineRule="auto"/>
              <w:jc w:val="center"/>
              <w:rPr>
                <w:rFonts w:ascii="宋体" w:hAnsi="宋体"/>
                <w:szCs w:val="21"/>
              </w:rPr>
            </w:pPr>
            <w:r>
              <w:rPr>
                <w:rFonts w:hint="eastAsia" w:ascii="宋体" w:hAnsi="宋体" w:cs="仿宋"/>
                <w:szCs w:val="21"/>
              </w:rPr>
              <w:t>投标人全称</w:t>
            </w:r>
          </w:p>
        </w:tc>
        <w:tc>
          <w:tcPr>
            <w:tcW w:w="6143" w:type="dxa"/>
            <w:gridSpan w:val="3"/>
            <w:vAlign w:val="center"/>
          </w:tcPr>
          <w:p>
            <w:pPr>
              <w:pStyle w:val="10"/>
              <w:adjustRightInd w:val="0"/>
              <w:snapToGrid w:val="0"/>
              <w:spacing w:beforeLines="30" w:line="360" w:lineRule="auto"/>
              <w:rPr>
                <w:rFonts w:ascii="宋体" w:hAnsi="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2373" w:type="dxa"/>
            <w:vAlign w:val="center"/>
          </w:tcPr>
          <w:p>
            <w:pPr>
              <w:adjustRightInd w:val="0"/>
              <w:snapToGrid w:val="0"/>
              <w:spacing w:beforeLines="30" w:line="360" w:lineRule="auto"/>
              <w:jc w:val="center"/>
              <w:rPr>
                <w:rFonts w:ascii="宋体" w:hAnsi="宋体" w:cs="仿宋"/>
                <w:szCs w:val="21"/>
              </w:rPr>
            </w:pPr>
            <w:r>
              <w:rPr>
                <w:rFonts w:hint="eastAsia" w:ascii="宋体" w:hAnsi="宋体" w:cs="仿宋"/>
                <w:szCs w:val="21"/>
              </w:rPr>
              <w:t>投标报价</w:t>
            </w:r>
          </w:p>
          <w:p>
            <w:pPr>
              <w:adjustRightInd w:val="0"/>
              <w:snapToGrid w:val="0"/>
              <w:spacing w:beforeLines="30" w:line="360" w:lineRule="auto"/>
              <w:jc w:val="center"/>
              <w:rPr>
                <w:rFonts w:ascii="宋体" w:hAnsi="宋体"/>
                <w:szCs w:val="21"/>
              </w:rPr>
            </w:pPr>
            <w:r>
              <w:rPr>
                <w:rFonts w:hint="eastAsia" w:ascii="宋体" w:hAnsi="宋体" w:cs="仿宋"/>
                <w:szCs w:val="21"/>
              </w:rPr>
              <w:t>（人民币元，含税）</w:t>
            </w:r>
          </w:p>
        </w:tc>
        <w:tc>
          <w:tcPr>
            <w:tcW w:w="6143" w:type="dxa"/>
            <w:gridSpan w:val="3"/>
            <w:vAlign w:val="center"/>
          </w:tcPr>
          <w:p>
            <w:pPr>
              <w:adjustRightInd w:val="0"/>
              <w:snapToGrid w:val="0"/>
              <w:spacing w:beforeLines="30" w:line="360" w:lineRule="auto"/>
              <w:rPr>
                <w:rFonts w:ascii="宋体" w:hAnsi="宋体"/>
                <w:szCs w:val="21"/>
              </w:rPr>
            </w:pPr>
            <w:r>
              <w:rPr>
                <w:rFonts w:hint="eastAsia" w:ascii="宋体" w:hAnsi="宋体" w:cs="仿宋"/>
                <w:szCs w:val="21"/>
              </w:rPr>
              <w:t>大写：</w:t>
            </w:r>
          </w:p>
          <w:p>
            <w:pPr>
              <w:adjustRightInd w:val="0"/>
              <w:snapToGrid w:val="0"/>
              <w:spacing w:beforeLines="30" w:line="360" w:lineRule="auto"/>
              <w:rPr>
                <w:rFonts w:ascii="宋体" w:hAnsi="宋体"/>
                <w:szCs w:val="21"/>
              </w:rPr>
            </w:pPr>
            <w:r>
              <w:rPr>
                <w:rFonts w:hint="eastAsia" w:ascii="宋体" w:hAnsi="宋体" w:cs="仿宋"/>
                <w:szCs w:val="21"/>
              </w:rPr>
              <w:t>小写：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2373" w:type="dxa"/>
            <w:vAlign w:val="center"/>
          </w:tcPr>
          <w:p>
            <w:pPr>
              <w:adjustRightInd w:val="0"/>
              <w:snapToGrid w:val="0"/>
              <w:spacing w:beforeLines="30" w:line="360" w:lineRule="auto"/>
              <w:jc w:val="center"/>
              <w:rPr>
                <w:rFonts w:ascii="宋体" w:hAnsi="宋体" w:cs="仿宋"/>
                <w:szCs w:val="21"/>
              </w:rPr>
            </w:pPr>
            <w:r>
              <w:rPr>
                <w:rFonts w:hint="eastAsia" w:ascii="宋体" w:hAnsi="宋体" w:cs="仿宋"/>
                <w:szCs w:val="21"/>
              </w:rPr>
              <w:t>投标报价</w:t>
            </w:r>
          </w:p>
          <w:p>
            <w:pPr>
              <w:adjustRightInd w:val="0"/>
              <w:snapToGrid w:val="0"/>
              <w:spacing w:beforeLines="30" w:line="360" w:lineRule="auto"/>
              <w:jc w:val="center"/>
              <w:rPr>
                <w:rFonts w:ascii="宋体" w:hAnsi="宋体" w:cs="仿宋"/>
                <w:szCs w:val="21"/>
              </w:rPr>
            </w:pPr>
            <w:r>
              <w:rPr>
                <w:rFonts w:hint="eastAsia" w:ascii="宋体" w:hAnsi="宋体" w:cs="仿宋"/>
                <w:szCs w:val="21"/>
              </w:rPr>
              <w:t>（人民币元，不含税）</w:t>
            </w:r>
          </w:p>
        </w:tc>
        <w:tc>
          <w:tcPr>
            <w:tcW w:w="6143" w:type="dxa"/>
            <w:gridSpan w:val="3"/>
            <w:vAlign w:val="center"/>
          </w:tcPr>
          <w:p>
            <w:pPr>
              <w:adjustRightInd w:val="0"/>
              <w:snapToGrid w:val="0"/>
              <w:spacing w:beforeLines="30" w:line="360" w:lineRule="auto"/>
              <w:rPr>
                <w:rFonts w:ascii="宋体" w:hAnsi="宋体"/>
                <w:szCs w:val="21"/>
              </w:rPr>
            </w:pPr>
            <w:r>
              <w:rPr>
                <w:rFonts w:hint="eastAsia" w:ascii="宋体" w:hAnsi="宋体" w:cs="仿宋"/>
                <w:szCs w:val="21"/>
              </w:rPr>
              <w:t>大写：</w:t>
            </w:r>
          </w:p>
          <w:p>
            <w:pPr>
              <w:adjustRightInd w:val="0"/>
              <w:snapToGrid w:val="0"/>
              <w:spacing w:beforeLines="30" w:line="360" w:lineRule="auto"/>
              <w:rPr>
                <w:rFonts w:ascii="宋体" w:hAnsi="宋体" w:cs="仿宋"/>
                <w:szCs w:val="21"/>
              </w:rPr>
            </w:pPr>
            <w:r>
              <w:rPr>
                <w:rFonts w:hint="eastAsia" w:ascii="宋体" w:hAnsi="宋体" w:cs="仿宋"/>
                <w:szCs w:val="21"/>
              </w:rPr>
              <w:t>小写：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1" w:hRule="atLeast"/>
          <w:jc w:val="center"/>
        </w:trPr>
        <w:tc>
          <w:tcPr>
            <w:tcW w:w="2373" w:type="dxa"/>
            <w:tcBorders>
              <w:right w:val="single" w:color="auto" w:sz="4" w:space="0"/>
            </w:tcBorders>
            <w:vAlign w:val="center"/>
          </w:tcPr>
          <w:p>
            <w:pPr>
              <w:tabs>
                <w:tab w:val="left" w:pos="0"/>
              </w:tabs>
              <w:spacing w:line="360" w:lineRule="auto"/>
              <w:jc w:val="center"/>
              <w:rPr>
                <w:rFonts w:ascii="宋体" w:hAnsi="宋体"/>
                <w:szCs w:val="21"/>
              </w:rPr>
            </w:pPr>
            <w:r>
              <w:rPr>
                <w:rFonts w:hint="eastAsia" w:ascii="宋体" w:hAnsi="宋体"/>
                <w:szCs w:val="21"/>
              </w:rPr>
              <w:t>增值税发票类型及税率</w:t>
            </w:r>
          </w:p>
        </w:tc>
        <w:tc>
          <w:tcPr>
            <w:tcW w:w="6143" w:type="dxa"/>
            <w:gridSpan w:val="3"/>
            <w:tcBorders>
              <w:left w:val="single" w:color="auto" w:sz="4" w:space="0"/>
            </w:tcBorders>
            <w:vAlign w:val="center"/>
          </w:tcPr>
          <w:p>
            <w:pPr>
              <w:pStyle w:val="10"/>
              <w:adjustRightInd w:val="0"/>
              <w:snapToGrid w:val="0"/>
              <w:spacing w:beforeLines="30" w:line="360" w:lineRule="auto"/>
              <w:rPr>
                <w:rFonts w:ascii="宋体" w:hAnsi="宋体" w:cs="Times New Roman"/>
                <w:sz w:val="21"/>
                <w:szCs w:val="21"/>
              </w:rPr>
            </w:pPr>
            <w:r>
              <w:rPr>
                <w:rFonts w:hint="eastAsia" w:ascii="宋体" w:hAnsi="宋体" w:cs="Times New Roman"/>
                <w:sz w:val="21"/>
                <w:szCs w:val="21"/>
              </w:rPr>
              <w:t>增值税发票类型：</w:t>
            </w:r>
          </w:p>
          <w:p>
            <w:r>
              <w:rPr>
                <w:rFonts w:hint="eastAsia"/>
              </w:rPr>
              <w:t>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3" w:hRule="atLeast"/>
          <w:jc w:val="center"/>
        </w:trPr>
        <w:tc>
          <w:tcPr>
            <w:tcW w:w="2373" w:type="dxa"/>
            <w:tcBorders>
              <w:right w:val="single" w:color="auto" w:sz="4" w:space="0"/>
            </w:tcBorders>
            <w:vAlign w:val="center"/>
          </w:tcPr>
          <w:p>
            <w:pPr>
              <w:tabs>
                <w:tab w:val="left" w:pos="0"/>
              </w:tabs>
              <w:spacing w:line="360" w:lineRule="auto"/>
              <w:jc w:val="center"/>
              <w:rPr>
                <w:rFonts w:ascii="宋体" w:hAnsi="宋体"/>
                <w:szCs w:val="21"/>
              </w:rPr>
            </w:pPr>
            <w:r>
              <w:rPr>
                <w:rFonts w:hint="eastAsia" w:ascii="宋体" w:hAnsi="宋体" w:cs="仿宋"/>
                <w:szCs w:val="21"/>
              </w:rPr>
              <w:t>实施周期</w:t>
            </w:r>
          </w:p>
        </w:tc>
        <w:tc>
          <w:tcPr>
            <w:tcW w:w="6143" w:type="dxa"/>
            <w:gridSpan w:val="3"/>
            <w:tcBorders>
              <w:left w:val="single" w:color="auto" w:sz="4" w:space="0"/>
            </w:tcBorders>
            <w:vAlign w:val="center"/>
          </w:tcPr>
          <w:p>
            <w:pPr>
              <w:pStyle w:val="10"/>
              <w:adjustRightInd w:val="0"/>
              <w:snapToGrid w:val="0"/>
              <w:spacing w:beforeLines="30" w:line="360" w:lineRule="auto"/>
              <w:rPr>
                <w:rFonts w:ascii="宋体" w:hAnsi="宋体" w:cs="Times New Roman"/>
                <w:sz w:val="21"/>
                <w:szCs w:val="21"/>
              </w:rPr>
            </w:pPr>
            <w:r>
              <w:rPr>
                <w:rFonts w:hint="eastAsia" w:ascii="宋体" w:hAnsi="宋体" w:cs="Times New Roman"/>
                <w:sz w:val="21"/>
                <w:szCs w:val="21"/>
              </w:rPr>
              <w:t>自合同生效之日起</w:t>
            </w:r>
            <w:r>
              <w:rPr>
                <w:rFonts w:hint="eastAsia" w:ascii="宋体" w:hAnsi="宋体" w:cs="Times New Roman"/>
                <w:sz w:val="21"/>
                <w:szCs w:val="21"/>
                <w:u w:val="single"/>
              </w:rPr>
              <w:t xml:space="preserve">   </w:t>
            </w:r>
            <w:r>
              <w:rPr>
                <w:rFonts w:hint="eastAsia" w:ascii="宋体" w:hAnsi="宋体" w:cs="Times New Roman"/>
                <w:sz w:val="21"/>
                <w:szCs w:val="21"/>
              </w:rPr>
              <w:t>天内具备项目施工条件，现场施工总时间不超过</w:t>
            </w:r>
            <w:r>
              <w:rPr>
                <w:rFonts w:hint="eastAsia" w:ascii="宋体" w:hAnsi="宋体" w:cs="Times New Roman"/>
                <w:sz w:val="21"/>
                <w:szCs w:val="21"/>
                <w:u w:val="single"/>
              </w:rPr>
              <w:t xml:space="preserve">    </w:t>
            </w:r>
            <w:r>
              <w:rPr>
                <w:rFonts w:hint="eastAsia" w:ascii="宋体" w:hAnsi="宋体" w:cs="Times New Roman"/>
                <w:sz w:val="21"/>
                <w:szCs w:val="21"/>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7" w:hRule="atLeast"/>
          <w:jc w:val="center"/>
        </w:trPr>
        <w:tc>
          <w:tcPr>
            <w:tcW w:w="2373" w:type="dxa"/>
            <w:tcBorders>
              <w:right w:val="single" w:color="auto" w:sz="4" w:space="0"/>
            </w:tcBorders>
            <w:vAlign w:val="center"/>
          </w:tcPr>
          <w:p>
            <w:pPr>
              <w:tabs>
                <w:tab w:val="left" w:pos="0"/>
              </w:tabs>
              <w:spacing w:line="360" w:lineRule="auto"/>
              <w:jc w:val="center"/>
              <w:rPr>
                <w:rFonts w:ascii="宋体" w:hAnsi="宋体"/>
                <w:szCs w:val="21"/>
              </w:rPr>
            </w:pPr>
            <w:r>
              <w:rPr>
                <w:rFonts w:hint="eastAsia" w:ascii="宋体" w:hAnsi="宋体" w:cs="仿宋"/>
                <w:szCs w:val="21"/>
              </w:rPr>
              <w:t>质保期</w:t>
            </w:r>
          </w:p>
        </w:tc>
        <w:tc>
          <w:tcPr>
            <w:tcW w:w="6143" w:type="dxa"/>
            <w:gridSpan w:val="3"/>
            <w:tcBorders>
              <w:left w:val="single" w:color="auto" w:sz="4" w:space="0"/>
            </w:tcBorders>
            <w:vAlign w:val="center"/>
          </w:tcPr>
          <w:p>
            <w:pPr>
              <w:adjustRightInd w:val="0"/>
              <w:snapToGrid w:val="0"/>
              <w:spacing w:beforeLines="30"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1" w:hRule="atLeast"/>
          <w:jc w:val="center"/>
        </w:trPr>
        <w:tc>
          <w:tcPr>
            <w:tcW w:w="2373" w:type="dxa"/>
            <w:tcBorders>
              <w:right w:val="single" w:color="auto" w:sz="4" w:space="0"/>
            </w:tcBorders>
            <w:vAlign w:val="center"/>
          </w:tcPr>
          <w:p>
            <w:pPr>
              <w:adjustRightInd w:val="0"/>
              <w:snapToGrid w:val="0"/>
              <w:spacing w:beforeLines="30" w:line="360" w:lineRule="auto"/>
              <w:jc w:val="center"/>
              <w:rPr>
                <w:rFonts w:ascii="宋体" w:hAnsi="宋体"/>
                <w:szCs w:val="21"/>
              </w:rPr>
            </w:pPr>
            <w:r>
              <w:rPr>
                <w:rFonts w:hint="eastAsia" w:ascii="宋体" w:hAnsi="宋体" w:cs="仿宋"/>
                <w:szCs w:val="21"/>
              </w:rPr>
              <w:t>对招标文件是否完全响应</w:t>
            </w:r>
          </w:p>
        </w:tc>
        <w:tc>
          <w:tcPr>
            <w:tcW w:w="6143" w:type="dxa"/>
            <w:gridSpan w:val="3"/>
            <w:tcBorders>
              <w:left w:val="single" w:color="auto" w:sz="4" w:space="0"/>
            </w:tcBorders>
            <w:vAlign w:val="center"/>
          </w:tcPr>
          <w:p>
            <w:pPr>
              <w:adjustRightInd w:val="0"/>
              <w:snapToGrid w:val="0"/>
              <w:spacing w:beforeLines="30" w:line="360" w:lineRule="auto"/>
              <w:rPr>
                <w:rFonts w:ascii="宋体" w:hAnsi="宋体"/>
                <w:szCs w:val="21"/>
              </w:rPr>
            </w:pPr>
          </w:p>
        </w:tc>
      </w:tr>
    </w:tbl>
    <w:p/>
    <w:bookmarkEnd w:id="53"/>
    <w:bookmarkEnd w:id="54"/>
    <w:p>
      <w:pPr>
        <w:spacing w:line="360" w:lineRule="auto"/>
        <w:rPr>
          <w:rFonts w:ascii="Calibri" w:hAnsi="Calibri"/>
          <w:sz w:val="22"/>
        </w:rPr>
      </w:pPr>
      <w:r>
        <w:rPr>
          <w:rFonts w:hint="eastAsia" w:ascii="Calibri" w:hAnsi="Calibri"/>
          <w:sz w:val="22"/>
        </w:rPr>
        <w:t>注：1.为方便开标唱标，应将《开标一览表》单独密封提交，并在信封上标明“《开标一览表》”字样。当含税价和不含税的计算结果不一致时，以不含税价=含税价/（1+税率）为准调整不含税价，小数点保留 2 位（四舍五入）。</w:t>
      </w:r>
    </w:p>
    <w:p>
      <w:pPr>
        <w:spacing w:line="360" w:lineRule="auto"/>
        <w:ind w:firstLine="440" w:firstLineChars="200"/>
        <w:rPr>
          <w:rFonts w:ascii="Calibri" w:hAnsi="Calibri"/>
          <w:sz w:val="22"/>
        </w:rPr>
      </w:pPr>
      <w:r>
        <w:rPr>
          <w:rFonts w:hint="eastAsia" w:ascii="Calibri" w:hAnsi="Calibri"/>
          <w:sz w:val="22"/>
        </w:rPr>
        <w:t>2.投标报价应包含招标代理服务费，计算标准见投标人须知及前附表。</w:t>
      </w:r>
    </w:p>
    <w:p/>
    <w:p>
      <w:pPr>
        <w:spacing w:line="400" w:lineRule="atLeast"/>
        <w:ind w:firstLine="4200" w:firstLineChars="2000"/>
        <w:rPr>
          <w:rFonts w:ascii="宋体"/>
          <w:szCs w:val="21"/>
        </w:rPr>
      </w:pPr>
      <w:r>
        <w:rPr>
          <w:rFonts w:hint="eastAsia" w:ascii="宋体"/>
          <w:szCs w:val="21"/>
        </w:rPr>
        <w:t>投标人</w:t>
      </w:r>
      <w:r>
        <w:rPr>
          <w:rFonts w:ascii="宋体"/>
          <w:szCs w:val="21"/>
        </w:rPr>
        <w:t>(</w:t>
      </w:r>
      <w:r>
        <w:rPr>
          <w:rFonts w:hint="eastAsia" w:ascii="宋体"/>
          <w:szCs w:val="21"/>
        </w:rPr>
        <w:t>盖章</w:t>
      </w:r>
      <w:r>
        <w:rPr>
          <w:rFonts w:ascii="宋体"/>
          <w:szCs w:val="21"/>
        </w:rPr>
        <w:t>)</w:t>
      </w:r>
      <w:r>
        <w:rPr>
          <w:rFonts w:hint="eastAsia" w:ascii="宋体"/>
          <w:szCs w:val="21"/>
        </w:rPr>
        <w:t>：</w:t>
      </w:r>
    </w:p>
    <w:p>
      <w:pPr>
        <w:spacing w:line="400" w:lineRule="atLeast"/>
        <w:ind w:firstLine="4200" w:firstLineChars="2000"/>
        <w:rPr>
          <w:rFonts w:ascii="宋体"/>
          <w:szCs w:val="21"/>
        </w:rPr>
      </w:pPr>
      <w:r>
        <w:rPr>
          <w:rFonts w:hint="eastAsia" w:ascii="宋体"/>
          <w:szCs w:val="21"/>
        </w:rPr>
        <w:t>法定代表人或委托代理人（签字）：</w:t>
      </w:r>
    </w:p>
    <w:p>
      <w:pPr>
        <w:spacing w:line="400" w:lineRule="atLeast"/>
        <w:ind w:firstLine="4200" w:firstLineChars="2000"/>
        <w:rPr>
          <w:rFonts w:ascii="宋体"/>
          <w:szCs w:val="21"/>
        </w:rPr>
      </w:pPr>
      <w:r>
        <w:rPr>
          <w:rFonts w:hint="eastAsia" w:ascii="宋体"/>
          <w:szCs w:val="21"/>
        </w:rPr>
        <w:t>日期：</w:t>
      </w:r>
    </w:p>
    <w:p>
      <w:pPr>
        <w:pStyle w:val="48"/>
      </w:pPr>
      <w:bookmarkStart w:id="56" w:name="_Toc18053"/>
      <w:r>
        <w:rPr>
          <w:rFonts w:hint="eastAsia"/>
        </w:rPr>
        <w:t>五、投标报价明细表格式</w:t>
      </w:r>
      <w:bookmarkEnd w:id="56"/>
    </w:p>
    <w:bookmarkEnd w:id="55"/>
    <w:p>
      <w:pPr>
        <w:jc w:val="center"/>
        <w:rPr>
          <w:rFonts w:ascii="宋体" w:hAnsi="宋体"/>
          <w:b/>
          <w:sz w:val="28"/>
        </w:rPr>
      </w:pPr>
      <w:r>
        <w:rPr>
          <w:rFonts w:hint="eastAsia" w:ascii="宋体" w:hAnsi="宋体"/>
          <w:b/>
          <w:sz w:val="28"/>
        </w:rPr>
        <w:t>投标报价明细表</w:t>
      </w:r>
    </w:p>
    <w:p>
      <w:pPr>
        <w:adjustRightInd w:val="0"/>
        <w:snapToGrid w:val="0"/>
        <w:spacing w:afterLines="50" w:line="320" w:lineRule="exact"/>
        <w:rPr>
          <w:rFonts w:ascii="宋体" w:hAnsi="宋体"/>
          <w:szCs w:val="21"/>
          <w:u w:val="single"/>
        </w:rPr>
      </w:pPr>
      <w:r>
        <w:rPr>
          <w:rFonts w:hint="eastAsia" w:ascii="宋体" w:hAnsi="宋体"/>
          <w:szCs w:val="21"/>
        </w:rPr>
        <w:t>招标项目名称：</w:t>
      </w:r>
    </w:p>
    <w:p>
      <w:pPr>
        <w:pStyle w:val="10"/>
        <w:adjustRightInd w:val="0"/>
        <w:snapToGrid w:val="0"/>
        <w:spacing w:beforeLines="30" w:line="360" w:lineRule="auto"/>
        <w:rPr>
          <w:rFonts w:ascii="宋体" w:hAnsi="宋体"/>
          <w:sz w:val="21"/>
          <w:szCs w:val="21"/>
          <w:u w:val="single"/>
        </w:rPr>
      </w:pPr>
      <w:r>
        <w:rPr>
          <w:rFonts w:hint="eastAsia" w:ascii="宋体" w:hAnsi="宋体"/>
          <w:sz w:val="21"/>
          <w:szCs w:val="21"/>
        </w:rPr>
        <w:t>项目编号：</w:t>
      </w:r>
    </w:p>
    <w:p>
      <w:pPr>
        <w:spacing w:afterLines="50" w:line="320" w:lineRule="exact"/>
        <w:jc w:val="right"/>
        <w:rPr>
          <w:rFonts w:asciiTheme="minorEastAsia" w:hAnsiTheme="minorEastAsia" w:eastAsiaTheme="minorEastAsia"/>
          <w:szCs w:val="21"/>
        </w:rPr>
      </w:pPr>
      <w:r>
        <w:rPr>
          <w:rFonts w:hint="eastAsia" w:ascii="宋体" w:hAnsi="宋体"/>
          <w:szCs w:val="21"/>
        </w:rPr>
        <w:t xml:space="preserve">                                                          金额单位：人民币元</w:t>
      </w:r>
    </w:p>
    <w:tbl>
      <w:tblPr>
        <w:tblStyle w:val="2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66"/>
        <w:gridCol w:w="2693"/>
        <w:gridCol w:w="973"/>
        <w:gridCol w:w="648"/>
        <w:gridCol w:w="596"/>
        <w:gridCol w:w="84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序号</w:t>
            </w:r>
          </w:p>
        </w:tc>
        <w:tc>
          <w:tcPr>
            <w:tcW w:w="1766"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配件名称</w:t>
            </w:r>
          </w:p>
        </w:tc>
        <w:tc>
          <w:tcPr>
            <w:tcW w:w="2693"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规格型号</w:t>
            </w:r>
          </w:p>
        </w:tc>
        <w:tc>
          <w:tcPr>
            <w:tcW w:w="973" w:type="dxa"/>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品牌</w:t>
            </w:r>
          </w:p>
        </w:tc>
        <w:tc>
          <w:tcPr>
            <w:tcW w:w="648"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单位</w:t>
            </w:r>
          </w:p>
        </w:tc>
        <w:tc>
          <w:tcPr>
            <w:tcW w:w="596" w:type="dxa"/>
            <w:vAlign w:val="center"/>
          </w:tcPr>
          <w:p>
            <w:pPr>
              <w:widowControl/>
              <w:jc w:val="center"/>
              <w:textAlignment w:val="center"/>
              <w:rPr>
                <w:rFonts w:ascii="宋体" w:hAnsi="宋体" w:cs="宋体"/>
                <w:b/>
                <w:kern w:val="0"/>
                <w:szCs w:val="21"/>
              </w:rPr>
            </w:pPr>
            <w:r>
              <w:rPr>
                <w:rFonts w:hint="eastAsia" w:ascii="宋体" w:hAnsi="宋体" w:cs="宋体"/>
                <w:b/>
                <w:color w:val="000000"/>
                <w:kern w:val="0"/>
                <w:szCs w:val="21"/>
              </w:rPr>
              <w:t>数量</w:t>
            </w:r>
          </w:p>
        </w:tc>
        <w:tc>
          <w:tcPr>
            <w:tcW w:w="847" w:type="dxa"/>
            <w:vAlign w:val="center"/>
          </w:tcPr>
          <w:p>
            <w:pPr>
              <w:jc w:val="center"/>
              <w:rPr>
                <w:rFonts w:ascii="宋体" w:hAnsi="宋体" w:cs="宋体"/>
                <w:b/>
                <w:color w:val="000000"/>
                <w:kern w:val="0"/>
                <w:szCs w:val="21"/>
              </w:rPr>
            </w:pPr>
            <w:r>
              <w:rPr>
                <w:rFonts w:hint="eastAsia" w:ascii="宋体" w:hAnsi="宋体" w:cs="宋体"/>
                <w:b/>
                <w:szCs w:val="21"/>
              </w:rPr>
              <w:t>含税单价</w:t>
            </w:r>
          </w:p>
        </w:tc>
        <w:tc>
          <w:tcPr>
            <w:tcW w:w="884" w:type="dxa"/>
            <w:vAlign w:val="center"/>
          </w:tcPr>
          <w:p>
            <w:pPr>
              <w:jc w:val="center"/>
              <w:rPr>
                <w:rFonts w:ascii="宋体" w:hAnsi="宋体" w:cs="宋体"/>
                <w:b/>
                <w:color w:val="000000"/>
                <w:kern w:val="0"/>
                <w:szCs w:val="21"/>
              </w:rPr>
            </w:pPr>
            <w:r>
              <w:rPr>
                <w:rFonts w:hint="eastAsia" w:ascii="宋体" w:hAnsi="宋体" w:cs="宋体"/>
                <w:b/>
                <w:szCs w:val="21"/>
              </w:rPr>
              <w:t>含税合价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w:t>
            </w:r>
          </w:p>
        </w:tc>
        <w:tc>
          <w:tcPr>
            <w:tcW w:w="1766" w:type="dxa"/>
            <w:noWrap/>
            <w:vAlign w:val="center"/>
          </w:tcPr>
          <w:p>
            <w:pPr>
              <w:widowControl/>
              <w:jc w:val="center"/>
              <w:textAlignment w:val="center"/>
              <w:rPr>
                <w:rFonts w:ascii="宋体" w:hAnsi="宋体" w:cs="宋体"/>
                <w:kern w:val="0"/>
                <w:sz w:val="28"/>
                <w:szCs w:val="21"/>
              </w:rPr>
            </w:pPr>
            <w:r>
              <w:rPr>
                <w:rFonts w:hint="eastAsia" w:ascii="宋体" w:hAnsi="宋体" w:cs="宋体"/>
                <w:color w:val="000000"/>
                <w:kern w:val="0"/>
                <w:szCs w:val="21"/>
              </w:rPr>
              <w:t>电控机柜</w:t>
            </w:r>
          </w:p>
        </w:tc>
        <w:tc>
          <w:tcPr>
            <w:tcW w:w="2693" w:type="dxa"/>
            <w:vAlign w:val="center"/>
          </w:tcPr>
          <w:p>
            <w:pPr>
              <w:widowControl/>
              <w:jc w:val="center"/>
              <w:textAlignment w:val="center"/>
              <w:rPr>
                <w:kern w:val="0"/>
                <w:szCs w:val="21"/>
              </w:rPr>
            </w:pPr>
          </w:p>
        </w:tc>
        <w:tc>
          <w:tcPr>
            <w:tcW w:w="973" w:type="dxa"/>
            <w:noWrap/>
            <w:vAlign w:val="center"/>
          </w:tcPr>
          <w:p>
            <w:pPr>
              <w:widowControl/>
              <w:jc w:val="center"/>
              <w:textAlignment w:val="center"/>
              <w:rPr>
                <w:kern w:val="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触摸屏</w:t>
            </w:r>
          </w:p>
        </w:tc>
        <w:tc>
          <w:tcPr>
            <w:tcW w:w="2693" w:type="dxa"/>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w:t>
            </w:r>
          </w:p>
        </w:tc>
        <w:tc>
          <w:tcPr>
            <w:tcW w:w="1766" w:type="dxa"/>
            <w:noWrap/>
            <w:vAlign w:val="center"/>
          </w:tcPr>
          <w:p>
            <w:pPr>
              <w:widowControl/>
              <w:jc w:val="center"/>
              <w:textAlignment w:val="bottom"/>
              <w:rPr>
                <w:rFonts w:ascii="宋体" w:hAnsi="宋体" w:cs="宋体"/>
                <w:color w:val="000000"/>
                <w:sz w:val="28"/>
                <w:szCs w:val="21"/>
              </w:rPr>
            </w:pPr>
            <w:r>
              <w:rPr>
                <w:color w:val="000000"/>
                <w:kern w:val="0"/>
                <w:szCs w:val="21"/>
              </w:rPr>
              <w:t>PLC</w:t>
            </w:r>
            <w:r>
              <w:rPr>
                <w:rFonts w:ascii="宋体" w:hAnsi="宋体" w:cs="宋体"/>
                <w:color w:val="000000"/>
                <w:szCs w:val="21"/>
              </w:rPr>
              <w:t>主控制器</w:t>
            </w:r>
          </w:p>
        </w:tc>
        <w:tc>
          <w:tcPr>
            <w:tcW w:w="2693" w:type="dxa"/>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4</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数字量模块</w:t>
            </w:r>
          </w:p>
        </w:tc>
        <w:tc>
          <w:tcPr>
            <w:tcW w:w="2693" w:type="dxa"/>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5</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模拟量模块</w:t>
            </w:r>
          </w:p>
        </w:tc>
        <w:tc>
          <w:tcPr>
            <w:tcW w:w="2693" w:type="dxa"/>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2</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6</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模拟量模块</w:t>
            </w:r>
          </w:p>
        </w:tc>
        <w:tc>
          <w:tcPr>
            <w:tcW w:w="2693" w:type="dxa"/>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2</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7</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通信模块</w:t>
            </w:r>
          </w:p>
        </w:tc>
        <w:tc>
          <w:tcPr>
            <w:tcW w:w="2693" w:type="dxa"/>
            <w:noWrap/>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8</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开关电源</w:t>
            </w:r>
          </w:p>
        </w:tc>
        <w:tc>
          <w:tcPr>
            <w:tcW w:w="2693" w:type="dxa"/>
            <w:noWrap/>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9</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继电器</w:t>
            </w:r>
          </w:p>
        </w:tc>
        <w:tc>
          <w:tcPr>
            <w:tcW w:w="2693" w:type="dxa"/>
            <w:noWrap/>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40</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10</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继电器</w:t>
            </w:r>
          </w:p>
        </w:tc>
        <w:tc>
          <w:tcPr>
            <w:tcW w:w="2693" w:type="dxa"/>
            <w:noWrap/>
            <w:vAlign w:val="center"/>
          </w:tcPr>
          <w:p>
            <w:pPr>
              <w:widowControl/>
              <w:jc w:val="center"/>
              <w:textAlignment w:val="bottom"/>
              <w:rPr>
                <w:color w:val="000000"/>
                <w:szCs w:val="21"/>
              </w:rPr>
            </w:pPr>
          </w:p>
        </w:tc>
        <w:tc>
          <w:tcPr>
            <w:tcW w:w="973" w:type="dxa"/>
            <w:noWrap/>
            <w:vAlign w:val="center"/>
          </w:tcPr>
          <w:p>
            <w:pPr>
              <w:widowControl/>
              <w:jc w:val="center"/>
              <w:textAlignment w:val="bottom"/>
              <w:rPr>
                <w:color w:val="000000"/>
                <w:szCs w:val="21"/>
              </w:rPr>
            </w:pPr>
          </w:p>
        </w:tc>
        <w:tc>
          <w:tcPr>
            <w:tcW w:w="648" w:type="dxa"/>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noWrap/>
            <w:vAlign w:val="center"/>
          </w:tcPr>
          <w:p>
            <w:pPr>
              <w:widowControl/>
              <w:jc w:val="center"/>
              <w:textAlignment w:val="bottom"/>
              <w:rPr>
                <w:rFonts w:ascii="宋体" w:hAnsi="宋体" w:cs="宋体"/>
                <w:color w:val="000000"/>
                <w:szCs w:val="21"/>
              </w:rPr>
            </w:pPr>
            <w:r>
              <w:rPr>
                <w:color w:val="000000"/>
                <w:kern w:val="0"/>
                <w:szCs w:val="21"/>
              </w:rPr>
              <w:t>40</w:t>
            </w:r>
          </w:p>
        </w:tc>
        <w:tc>
          <w:tcPr>
            <w:tcW w:w="847" w:type="dxa"/>
            <w:noWrap/>
            <w:vAlign w:val="center"/>
          </w:tcPr>
          <w:p>
            <w:pPr>
              <w:widowControl/>
              <w:jc w:val="center"/>
              <w:textAlignment w:val="bottom"/>
              <w:rPr>
                <w:color w:val="000000"/>
                <w:kern w:val="0"/>
                <w:szCs w:val="21"/>
              </w:rPr>
            </w:pPr>
          </w:p>
        </w:tc>
        <w:tc>
          <w:tcPr>
            <w:tcW w:w="884" w:type="dxa"/>
            <w:noWrap/>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11</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指示灯</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12</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指示灯</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13</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急停旋钮（带自锁）</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14</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旋钮（带触电）</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15</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塑壳断路器</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16</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交流接触器</w:t>
            </w:r>
            <w:r>
              <w:rPr>
                <w:color w:val="000000"/>
                <w:szCs w:val="21"/>
              </w:rPr>
              <w:t>(</w:t>
            </w:r>
            <w:r>
              <w:rPr>
                <w:rFonts w:ascii="宋体" w:hAnsi="宋体" w:cs="宋体"/>
                <w:color w:val="000000"/>
                <w:szCs w:val="21"/>
              </w:rPr>
              <w:t>带热保护）</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596" w:type="dxa"/>
            <w:vAlign w:val="center"/>
          </w:tcPr>
          <w:p>
            <w:pPr>
              <w:widowControl/>
              <w:jc w:val="center"/>
              <w:textAlignment w:val="bottom"/>
              <w:rPr>
                <w:rFonts w:ascii="宋体" w:hAnsi="宋体" w:cs="宋体"/>
                <w:color w:val="000000"/>
                <w:szCs w:val="21"/>
              </w:rPr>
            </w:pPr>
            <w:r>
              <w:rPr>
                <w:color w:val="000000"/>
                <w:kern w:val="0"/>
                <w:szCs w:val="21"/>
              </w:rPr>
              <w:t>4</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17</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交流接触器</w:t>
            </w:r>
            <w:r>
              <w:rPr>
                <w:color w:val="000000"/>
                <w:szCs w:val="21"/>
              </w:rPr>
              <w:t>(</w:t>
            </w:r>
            <w:r>
              <w:rPr>
                <w:rFonts w:ascii="宋体" w:hAnsi="宋体" w:cs="宋体"/>
                <w:color w:val="000000"/>
                <w:szCs w:val="21"/>
              </w:rPr>
              <w:t>带热保护）</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596" w:type="dxa"/>
            <w:vAlign w:val="center"/>
          </w:tcPr>
          <w:p>
            <w:pPr>
              <w:widowControl/>
              <w:jc w:val="center"/>
              <w:textAlignment w:val="bottom"/>
              <w:rPr>
                <w:rFonts w:ascii="宋体" w:hAnsi="宋体" w:cs="宋体"/>
                <w:color w:val="000000"/>
                <w:szCs w:val="21"/>
              </w:rPr>
            </w:pPr>
            <w:r>
              <w:rPr>
                <w:color w:val="000000"/>
                <w:kern w:val="0"/>
                <w:szCs w:val="21"/>
              </w:rPr>
              <w:t>4</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18</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交流接触器</w:t>
            </w:r>
            <w:r>
              <w:rPr>
                <w:color w:val="000000"/>
                <w:szCs w:val="21"/>
              </w:rPr>
              <w:t>(</w:t>
            </w:r>
            <w:r>
              <w:rPr>
                <w:rFonts w:ascii="宋体" w:hAnsi="宋体" w:cs="宋体"/>
                <w:color w:val="000000"/>
                <w:szCs w:val="21"/>
              </w:rPr>
              <w:t>带热保护）</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596" w:type="dxa"/>
            <w:vAlign w:val="center"/>
          </w:tcPr>
          <w:p>
            <w:pPr>
              <w:widowControl/>
              <w:jc w:val="center"/>
              <w:textAlignment w:val="bottom"/>
              <w:rPr>
                <w:rFonts w:ascii="宋体" w:hAnsi="宋体" w:cs="宋体"/>
                <w:color w:val="000000"/>
                <w:szCs w:val="21"/>
              </w:rPr>
            </w:pPr>
            <w:r>
              <w:rPr>
                <w:color w:val="000000"/>
                <w:kern w:val="0"/>
                <w:szCs w:val="21"/>
              </w:rPr>
              <w:t>8</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19</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小型断路器</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6</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20</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小型断路器</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4</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21</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小型断路器</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4</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22</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小型断路器</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8</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23</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电流采集模块</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4</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24</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电压采集模块</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25</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相序继电器</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8</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26</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汇流排</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根</w:t>
            </w:r>
          </w:p>
        </w:tc>
        <w:tc>
          <w:tcPr>
            <w:tcW w:w="596" w:type="dxa"/>
            <w:vAlign w:val="center"/>
          </w:tcPr>
          <w:p>
            <w:pPr>
              <w:widowControl/>
              <w:jc w:val="center"/>
              <w:textAlignment w:val="bottom"/>
              <w:rPr>
                <w:rFonts w:ascii="宋体" w:hAnsi="宋体" w:cs="宋体"/>
                <w:color w:val="000000"/>
                <w:szCs w:val="21"/>
              </w:rPr>
            </w:pPr>
            <w:r>
              <w:rPr>
                <w:color w:val="000000"/>
                <w:kern w:val="0"/>
                <w:szCs w:val="21"/>
              </w:rPr>
              <w:t>2</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27</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接线端子</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500</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28</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接线端子</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100</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29</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接地端子</w:t>
            </w:r>
          </w:p>
        </w:tc>
        <w:tc>
          <w:tcPr>
            <w:tcW w:w="2693" w:type="dxa"/>
            <w:noWrap/>
            <w:vAlign w:val="center"/>
          </w:tcPr>
          <w:p>
            <w:pPr>
              <w:jc w:val="center"/>
              <w:rPr>
                <w:color w:val="000000"/>
                <w:szCs w:val="21"/>
              </w:rPr>
            </w:pPr>
            <w:r>
              <w:rPr>
                <w:rFonts w:hint="eastAsia"/>
                <w:color w:val="000000"/>
                <w:szCs w:val="21"/>
              </w:rPr>
              <w:t>——</w:t>
            </w:r>
          </w:p>
        </w:tc>
        <w:tc>
          <w:tcPr>
            <w:tcW w:w="973" w:type="dxa"/>
            <w:vAlign w:val="center"/>
          </w:tcPr>
          <w:p>
            <w:pPr>
              <w:jc w:val="center"/>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个</w:t>
            </w:r>
          </w:p>
        </w:tc>
        <w:tc>
          <w:tcPr>
            <w:tcW w:w="596" w:type="dxa"/>
            <w:vAlign w:val="center"/>
          </w:tcPr>
          <w:p>
            <w:pPr>
              <w:widowControl/>
              <w:jc w:val="center"/>
              <w:textAlignment w:val="bottom"/>
              <w:rPr>
                <w:rFonts w:ascii="宋体" w:hAnsi="宋体" w:cs="宋体"/>
                <w:color w:val="000000"/>
                <w:szCs w:val="21"/>
              </w:rPr>
            </w:pPr>
            <w:r>
              <w:rPr>
                <w:color w:val="000000"/>
                <w:kern w:val="0"/>
                <w:szCs w:val="21"/>
              </w:rPr>
              <w:t>50</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30</w:t>
            </w:r>
          </w:p>
        </w:tc>
        <w:tc>
          <w:tcPr>
            <w:tcW w:w="1766" w:type="dxa"/>
            <w:noWrap/>
            <w:vAlign w:val="center"/>
          </w:tcPr>
          <w:p>
            <w:pPr>
              <w:widowControl/>
              <w:jc w:val="center"/>
              <w:textAlignment w:val="bottom"/>
              <w:rPr>
                <w:color w:val="000000"/>
                <w:sz w:val="28"/>
                <w:szCs w:val="21"/>
              </w:rPr>
            </w:pPr>
            <w:r>
              <w:rPr>
                <w:rFonts w:hint="eastAsia" w:ascii="宋体" w:hAnsi="宋体" w:cs="宋体"/>
                <w:color w:val="000000"/>
                <w:kern w:val="0"/>
                <w:szCs w:val="21"/>
              </w:rPr>
              <w:t>屏蔽电缆</w:t>
            </w:r>
          </w:p>
        </w:tc>
        <w:tc>
          <w:tcPr>
            <w:tcW w:w="2693" w:type="dxa"/>
            <w:noWrap/>
            <w:vAlign w:val="center"/>
          </w:tcPr>
          <w:p>
            <w:pPr>
              <w:widowControl/>
              <w:jc w:val="center"/>
              <w:textAlignment w:val="bottom"/>
              <w:rPr>
                <w:color w:val="000000"/>
                <w:szCs w:val="21"/>
              </w:rPr>
            </w:pPr>
          </w:p>
        </w:tc>
        <w:tc>
          <w:tcPr>
            <w:tcW w:w="973" w:type="dxa"/>
            <w:vAlign w:val="center"/>
          </w:tcPr>
          <w:p>
            <w:pPr>
              <w:widowControl/>
              <w:jc w:val="center"/>
              <w:textAlignment w:val="bottom"/>
              <w:rPr>
                <w:color w:val="000000"/>
                <w:szCs w:val="21"/>
              </w:rPr>
            </w:pPr>
          </w:p>
        </w:tc>
        <w:tc>
          <w:tcPr>
            <w:tcW w:w="648" w:type="dxa"/>
            <w:vAlign w:val="center"/>
          </w:tcPr>
          <w:p>
            <w:pPr>
              <w:widowControl/>
              <w:jc w:val="center"/>
              <w:textAlignment w:val="bottom"/>
              <w:rPr>
                <w:color w:val="000000"/>
                <w:szCs w:val="21"/>
              </w:rPr>
            </w:pPr>
            <w:r>
              <w:rPr>
                <w:rFonts w:hint="eastAsia" w:ascii="宋体" w:hAnsi="宋体" w:cs="宋体"/>
                <w:color w:val="000000"/>
                <w:kern w:val="0"/>
                <w:szCs w:val="21"/>
              </w:rPr>
              <w:t>卷</w:t>
            </w:r>
          </w:p>
        </w:tc>
        <w:tc>
          <w:tcPr>
            <w:tcW w:w="596" w:type="dxa"/>
            <w:vAlign w:val="center"/>
          </w:tcPr>
          <w:p>
            <w:pPr>
              <w:widowControl/>
              <w:jc w:val="center"/>
              <w:textAlignment w:val="bottom"/>
              <w:rPr>
                <w:color w:val="000000"/>
                <w:szCs w:val="21"/>
              </w:rPr>
            </w:pPr>
            <w:r>
              <w:rPr>
                <w:color w:val="000000"/>
                <w:kern w:val="0"/>
                <w:szCs w:val="21"/>
              </w:rPr>
              <w:t>2</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31</w:t>
            </w:r>
          </w:p>
        </w:tc>
        <w:tc>
          <w:tcPr>
            <w:tcW w:w="1766" w:type="dxa"/>
            <w:noWrap/>
            <w:vAlign w:val="center"/>
          </w:tcPr>
          <w:p>
            <w:pPr>
              <w:widowControl/>
              <w:jc w:val="center"/>
              <w:textAlignment w:val="bottom"/>
              <w:rPr>
                <w:rFonts w:ascii="宋体" w:hAnsi="宋体" w:cs="宋体"/>
                <w:kern w:val="0"/>
                <w:sz w:val="28"/>
                <w:szCs w:val="21"/>
              </w:rPr>
            </w:pPr>
            <w:r>
              <w:rPr>
                <w:rFonts w:hint="eastAsia" w:ascii="宋体" w:hAnsi="宋体" w:cs="宋体"/>
                <w:color w:val="000000"/>
                <w:kern w:val="0"/>
                <w:szCs w:val="21"/>
              </w:rPr>
              <w:t>电缆线</w:t>
            </w:r>
          </w:p>
        </w:tc>
        <w:tc>
          <w:tcPr>
            <w:tcW w:w="2693" w:type="dxa"/>
            <w:noWrap/>
            <w:vAlign w:val="center"/>
          </w:tcPr>
          <w:p>
            <w:pPr>
              <w:widowControl/>
              <w:jc w:val="center"/>
              <w:textAlignment w:val="bottom"/>
              <w:rPr>
                <w:kern w:val="0"/>
                <w:szCs w:val="21"/>
              </w:rPr>
            </w:pPr>
          </w:p>
        </w:tc>
        <w:tc>
          <w:tcPr>
            <w:tcW w:w="973" w:type="dxa"/>
            <w:vAlign w:val="center"/>
          </w:tcPr>
          <w:p>
            <w:pPr>
              <w:widowControl/>
              <w:jc w:val="center"/>
              <w:textAlignment w:val="bottom"/>
              <w:rPr>
                <w:kern w:val="0"/>
                <w:szCs w:val="21"/>
              </w:rPr>
            </w:pPr>
          </w:p>
        </w:tc>
        <w:tc>
          <w:tcPr>
            <w:tcW w:w="648" w:type="dxa"/>
            <w:vAlign w:val="center"/>
          </w:tcPr>
          <w:p>
            <w:pPr>
              <w:widowControl/>
              <w:jc w:val="center"/>
              <w:textAlignment w:val="bottom"/>
              <w:rPr>
                <w:color w:val="000000"/>
                <w:szCs w:val="21"/>
              </w:rPr>
            </w:pPr>
            <w:r>
              <w:rPr>
                <w:rFonts w:hint="eastAsia" w:ascii="宋体" w:hAnsi="宋体" w:cs="宋体"/>
                <w:color w:val="000000"/>
                <w:kern w:val="0"/>
                <w:szCs w:val="21"/>
              </w:rPr>
              <w:t>米</w:t>
            </w:r>
          </w:p>
        </w:tc>
        <w:tc>
          <w:tcPr>
            <w:tcW w:w="596" w:type="dxa"/>
            <w:vAlign w:val="center"/>
          </w:tcPr>
          <w:p>
            <w:pPr>
              <w:widowControl/>
              <w:jc w:val="center"/>
              <w:textAlignment w:val="bottom"/>
              <w:rPr>
                <w:color w:val="000000"/>
                <w:szCs w:val="21"/>
              </w:rPr>
            </w:pPr>
            <w:r>
              <w:rPr>
                <w:color w:val="000000"/>
                <w:kern w:val="0"/>
                <w:szCs w:val="21"/>
              </w:rPr>
              <w:t>200</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32</w:t>
            </w:r>
          </w:p>
        </w:tc>
        <w:tc>
          <w:tcPr>
            <w:tcW w:w="1766" w:type="dxa"/>
            <w:noWrap/>
            <w:vAlign w:val="center"/>
          </w:tcPr>
          <w:p>
            <w:pPr>
              <w:widowControl/>
              <w:jc w:val="center"/>
              <w:textAlignment w:val="center"/>
              <w:rPr>
                <w:rFonts w:ascii="宋体" w:hAnsi="宋体" w:cs="宋体"/>
                <w:color w:val="000000"/>
                <w:sz w:val="28"/>
                <w:szCs w:val="21"/>
              </w:rPr>
            </w:pPr>
            <w:r>
              <w:rPr>
                <w:rFonts w:hint="eastAsia" w:ascii="宋体" w:hAnsi="宋体" w:cs="宋体"/>
                <w:color w:val="000000"/>
                <w:kern w:val="0"/>
                <w:szCs w:val="21"/>
              </w:rPr>
              <w:t>电缆</w:t>
            </w:r>
          </w:p>
        </w:tc>
        <w:tc>
          <w:tcPr>
            <w:tcW w:w="2693" w:type="dxa"/>
            <w:noWrap/>
            <w:vAlign w:val="center"/>
          </w:tcPr>
          <w:p>
            <w:pPr>
              <w:widowControl/>
              <w:jc w:val="center"/>
              <w:textAlignment w:val="center"/>
              <w:rPr>
                <w:color w:val="000000"/>
                <w:szCs w:val="21"/>
              </w:rPr>
            </w:pPr>
          </w:p>
        </w:tc>
        <w:tc>
          <w:tcPr>
            <w:tcW w:w="973" w:type="dxa"/>
            <w:vAlign w:val="center"/>
          </w:tcPr>
          <w:p>
            <w:pPr>
              <w:widowControl/>
              <w:jc w:val="center"/>
              <w:textAlignment w:val="center"/>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米</w:t>
            </w:r>
          </w:p>
        </w:tc>
        <w:tc>
          <w:tcPr>
            <w:tcW w:w="596" w:type="dxa"/>
            <w:vAlign w:val="center"/>
          </w:tcPr>
          <w:p>
            <w:pPr>
              <w:widowControl/>
              <w:jc w:val="center"/>
              <w:textAlignment w:val="bottom"/>
              <w:rPr>
                <w:rFonts w:ascii="宋体" w:hAnsi="宋体" w:cs="宋体"/>
                <w:color w:val="000000"/>
                <w:szCs w:val="21"/>
              </w:rPr>
            </w:pPr>
            <w:r>
              <w:rPr>
                <w:color w:val="000000"/>
                <w:kern w:val="0"/>
                <w:szCs w:val="21"/>
              </w:rPr>
              <w:t>200</w:t>
            </w:r>
          </w:p>
        </w:tc>
        <w:tc>
          <w:tcPr>
            <w:tcW w:w="847" w:type="dxa"/>
            <w:vAlign w:val="center"/>
          </w:tcPr>
          <w:p>
            <w:pPr>
              <w:widowControl/>
              <w:jc w:val="center"/>
              <w:textAlignment w:val="bottom"/>
              <w:rPr>
                <w:color w:val="000000"/>
                <w:kern w:val="0"/>
                <w:szCs w:val="21"/>
              </w:rPr>
            </w:pPr>
          </w:p>
        </w:tc>
        <w:tc>
          <w:tcPr>
            <w:tcW w:w="884" w:type="dxa"/>
            <w:vAlign w:val="center"/>
          </w:tcPr>
          <w:p>
            <w:pPr>
              <w:widowControl/>
              <w:jc w:val="center"/>
              <w:textAlignment w:val="bottom"/>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33</w:t>
            </w:r>
          </w:p>
        </w:tc>
        <w:tc>
          <w:tcPr>
            <w:tcW w:w="1766" w:type="dxa"/>
            <w:noWrap/>
            <w:vAlign w:val="center"/>
          </w:tcPr>
          <w:p>
            <w:pPr>
              <w:widowControl/>
              <w:jc w:val="center"/>
              <w:textAlignment w:val="bottom"/>
              <w:rPr>
                <w:color w:val="000000"/>
                <w:sz w:val="28"/>
                <w:szCs w:val="21"/>
              </w:rPr>
            </w:pPr>
            <w:r>
              <w:rPr>
                <w:rFonts w:hint="eastAsia" w:ascii="宋体" w:hAnsi="宋体" w:cs="宋体"/>
                <w:color w:val="000000"/>
                <w:kern w:val="0"/>
                <w:szCs w:val="21"/>
              </w:rPr>
              <w:t>机械式压力保护器</w:t>
            </w:r>
          </w:p>
        </w:tc>
        <w:tc>
          <w:tcPr>
            <w:tcW w:w="269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p>
        </w:tc>
        <w:tc>
          <w:tcPr>
            <w:tcW w:w="973" w:type="dxa"/>
            <w:vAlign w:val="center"/>
          </w:tcPr>
          <w:p>
            <w:pPr>
              <w:jc w:val="center"/>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596"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c>
          <w:tcPr>
            <w:tcW w:w="847" w:type="dxa"/>
            <w:vAlign w:val="center"/>
          </w:tcPr>
          <w:p>
            <w:pPr>
              <w:widowControl/>
              <w:jc w:val="center"/>
              <w:textAlignment w:val="bottom"/>
              <w:rPr>
                <w:rFonts w:ascii="宋体" w:hAnsi="宋体" w:cs="宋体"/>
                <w:color w:val="000000"/>
                <w:kern w:val="0"/>
                <w:szCs w:val="21"/>
              </w:rPr>
            </w:pPr>
          </w:p>
        </w:tc>
        <w:tc>
          <w:tcPr>
            <w:tcW w:w="884" w:type="dxa"/>
            <w:vAlign w:val="center"/>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34</w:t>
            </w:r>
          </w:p>
        </w:tc>
        <w:tc>
          <w:tcPr>
            <w:tcW w:w="1766" w:type="dxa"/>
            <w:noWrap/>
            <w:vAlign w:val="center"/>
          </w:tcPr>
          <w:p>
            <w:pPr>
              <w:widowControl/>
              <w:jc w:val="center"/>
              <w:textAlignment w:val="bottom"/>
              <w:rPr>
                <w:rFonts w:ascii="宋体" w:hAnsi="宋体" w:cs="宋体"/>
                <w:kern w:val="0"/>
                <w:sz w:val="28"/>
                <w:szCs w:val="21"/>
              </w:rPr>
            </w:pPr>
            <w:r>
              <w:rPr>
                <w:rFonts w:hint="eastAsia" w:ascii="宋体" w:hAnsi="宋体" w:cs="宋体"/>
                <w:color w:val="000000"/>
                <w:kern w:val="0"/>
                <w:szCs w:val="21"/>
              </w:rPr>
              <w:t>温控表</w:t>
            </w:r>
          </w:p>
        </w:tc>
        <w:tc>
          <w:tcPr>
            <w:tcW w:w="269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p>
        </w:tc>
        <w:tc>
          <w:tcPr>
            <w:tcW w:w="973" w:type="dxa"/>
            <w:vAlign w:val="center"/>
          </w:tcPr>
          <w:p>
            <w:pPr>
              <w:jc w:val="center"/>
              <w:rPr>
                <w:color w:val="00000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套</w:t>
            </w:r>
          </w:p>
        </w:tc>
        <w:tc>
          <w:tcPr>
            <w:tcW w:w="596"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c>
          <w:tcPr>
            <w:tcW w:w="847" w:type="dxa"/>
            <w:vAlign w:val="center"/>
          </w:tcPr>
          <w:p>
            <w:pPr>
              <w:widowControl/>
              <w:jc w:val="center"/>
              <w:textAlignment w:val="bottom"/>
              <w:rPr>
                <w:rFonts w:ascii="宋体" w:hAnsi="宋体" w:cs="宋体"/>
                <w:color w:val="000000"/>
                <w:kern w:val="0"/>
                <w:szCs w:val="21"/>
              </w:rPr>
            </w:pPr>
          </w:p>
        </w:tc>
        <w:tc>
          <w:tcPr>
            <w:tcW w:w="884" w:type="dxa"/>
            <w:vAlign w:val="center"/>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color w:val="000000"/>
                <w:szCs w:val="21"/>
              </w:rPr>
            </w:pPr>
            <w:r>
              <w:rPr>
                <w:color w:val="000000"/>
                <w:kern w:val="0"/>
                <w:szCs w:val="21"/>
              </w:rPr>
              <w:t>35</w:t>
            </w:r>
          </w:p>
        </w:tc>
        <w:tc>
          <w:tcPr>
            <w:tcW w:w="1766" w:type="dxa"/>
            <w:noWrap/>
            <w:vAlign w:val="center"/>
          </w:tcPr>
          <w:p>
            <w:pPr>
              <w:widowControl/>
              <w:jc w:val="center"/>
              <w:textAlignment w:val="center"/>
              <w:rPr>
                <w:rFonts w:ascii="宋体" w:hAnsi="宋体" w:cs="宋体"/>
                <w:kern w:val="0"/>
                <w:sz w:val="28"/>
                <w:szCs w:val="21"/>
              </w:rPr>
            </w:pPr>
            <w:r>
              <w:rPr>
                <w:rFonts w:hint="eastAsia" w:ascii="宋体" w:hAnsi="宋体" w:cs="宋体"/>
                <w:color w:val="000000"/>
                <w:kern w:val="0"/>
                <w:szCs w:val="21"/>
              </w:rPr>
              <w:t>变频器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kern w:val="0"/>
                <w:szCs w:val="21"/>
              </w:rPr>
            </w:pPr>
          </w:p>
        </w:tc>
        <w:tc>
          <w:tcPr>
            <w:tcW w:w="973" w:type="dxa"/>
            <w:vAlign w:val="center"/>
          </w:tcPr>
          <w:p>
            <w:pPr>
              <w:widowControl/>
              <w:jc w:val="center"/>
              <w:textAlignment w:val="center"/>
              <w:rPr>
                <w:kern w:val="0"/>
                <w:szCs w:val="21"/>
              </w:rPr>
            </w:pPr>
          </w:p>
        </w:tc>
        <w:tc>
          <w:tcPr>
            <w:tcW w:w="648"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台</w:t>
            </w:r>
          </w:p>
        </w:tc>
        <w:tc>
          <w:tcPr>
            <w:tcW w:w="596" w:type="dxa"/>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c>
          <w:tcPr>
            <w:tcW w:w="847" w:type="dxa"/>
            <w:vAlign w:val="center"/>
          </w:tcPr>
          <w:p>
            <w:pPr>
              <w:widowControl/>
              <w:jc w:val="center"/>
              <w:textAlignment w:val="bottom"/>
              <w:rPr>
                <w:rFonts w:ascii="宋体" w:hAnsi="宋体" w:cs="宋体"/>
                <w:color w:val="000000"/>
                <w:kern w:val="0"/>
                <w:szCs w:val="21"/>
              </w:rPr>
            </w:pPr>
          </w:p>
        </w:tc>
        <w:tc>
          <w:tcPr>
            <w:tcW w:w="884" w:type="dxa"/>
            <w:vAlign w:val="center"/>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rFonts w:ascii="宋体" w:hAnsi="宋体" w:cs="宋体"/>
                <w:kern w:val="0"/>
                <w:szCs w:val="21"/>
              </w:rPr>
            </w:pPr>
            <w:r>
              <w:rPr>
                <w:color w:val="000000"/>
                <w:kern w:val="0"/>
                <w:szCs w:val="21"/>
              </w:rPr>
              <w:t>36</w:t>
            </w:r>
          </w:p>
        </w:tc>
        <w:tc>
          <w:tcPr>
            <w:tcW w:w="1766" w:type="dxa"/>
            <w:noWrap/>
            <w:vAlign w:val="center"/>
          </w:tcPr>
          <w:p>
            <w:pPr>
              <w:widowControl/>
              <w:jc w:val="center"/>
              <w:textAlignment w:val="bottom"/>
              <w:rPr>
                <w:rFonts w:ascii="宋体" w:hAnsi="宋体" w:cs="宋体"/>
                <w:kern w:val="0"/>
                <w:sz w:val="28"/>
                <w:szCs w:val="21"/>
              </w:rPr>
            </w:pPr>
            <w:r>
              <w:rPr>
                <w:rFonts w:hint="eastAsia" w:ascii="宋体" w:hAnsi="宋体" w:cs="宋体"/>
                <w:color w:val="000000"/>
                <w:kern w:val="0"/>
                <w:szCs w:val="21"/>
              </w:rPr>
              <w:t>变压器</w:t>
            </w:r>
          </w:p>
        </w:tc>
        <w:tc>
          <w:tcPr>
            <w:tcW w:w="2693" w:type="dxa"/>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kern w:val="0"/>
                <w:szCs w:val="21"/>
              </w:rPr>
            </w:pPr>
          </w:p>
        </w:tc>
        <w:tc>
          <w:tcPr>
            <w:tcW w:w="973" w:type="dxa"/>
            <w:noWrap/>
            <w:vAlign w:val="bottom"/>
          </w:tcPr>
          <w:p>
            <w:pPr>
              <w:widowControl/>
              <w:jc w:val="center"/>
              <w:textAlignment w:val="bottom"/>
              <w:rPr>
                <w:kern w:val="0"/>
                <w:szCs w:val="21"/>
              </w:rPr>
            </w:pPr>
          </w:p>
        </w:tc>
        <w:tc>
          <w:tcPr>
            <w:tcW w:w="648" w:type="dxa"/>
            <w:noWrap/>
            <w:vAlign w:val="bottom"/>
          </w:tcPr>
          <w:p>
            <w:pPr>
              <w:widowControl/>
              <w:jc w:val="center"/>
              <w:textAlignment w:val="bottom"/>
              <w:rPr>
                <w:szCs w:val="21"/>
              </w:rPr>
            </w:pPr>
            <w:r>
              <w:rPr>
                <w:rFonts w:hint="eastAsia" w:ascii="宋体" w:hAnsi="宋体" w:cs="宋体"/>
                <w:color w:val="000000"/>
                <w:kern w:val="0"/>
                <w:szCs w:val="21"/>
              </w:rPr>
              <w:t>个</w:t>
            </w:r>
          </w:p>
        </w:tc>
        <w:tc>
          <w:tcPr>
            <w:tcW w:w="596" w:type="dxa"/>
            <w:noWrap/>
            <w:vAlign w:val="bottom"/>
          </w:tcPr>
          <w:p>
            <w:pPr>
              <w:widowControl/>
              <w:jc w:val="center"/>
              <w:textAlignment w:val="bottom"/>
              <w:rPr>
                <w:szCs w:val="21"/>
              </w:rPr>
            </w:pPr>
            <w:r>
              <w:rPr>
                <w:rFonts w:hint="eastAsia" w:ascii="宋体" w:hAnsi="宋体" w:cs="宋体"/>
                <w:color w:val="000000"/>
                <w:kern w:val="0"/>
                <w:szCs w:val="21"/>
              </w:rPr>
              <w:t>1</w:t>
            </w:r>
          </w:p>
        </w:tc>
        <w:tc>
          <w:tcPr>
            <w:tcW w:w="847" w:type="dxa"/>
            <w:noWrap/>
            <w:vAlign w:val="bottom"/>
          </w:tcPr>
          <w:p>
            <w:pPr>
              <w:widowControl/>
              <w:jc w:val="center"/>
              <w:textAlignment w:val="bottom"/>
              <w:rPr>
                <w:rFonts w:ascii="宋体" w:hAnsi="宋体" w:cs="宋体"/>
                <w:color w:val="000000"/>
                <w:kern w:val="0"/>
                <w:szCs w:val="21"/>
              </w:rPr>
            </w:pPr>
          </w:p>
        </w:tc>
        <w:tc>
          <w:tcPr>
            <w:tcW w:w="884" w:type="dxa"/>
            <w:noWrap/>
            <w:vAlign w:val="bottom"/>
          </w:tcPr>
          <w:p>
            <w:pPr>
              <w:widowControl/>
              <w:jc w:val="center"/>
              <w:textAlignment w:val="bottom"/>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3</w:t>
            </w:r>
            <w:r>
              <w:rPr>
                <w:color w:val="000000"/>
                <w:kern w:val="0"/>
                <w:szCs w:val="21"/>
              </w:rPr>
              <w:t>7</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蒸发器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3</w:t>
            </w:r>
            <w:r>
              <w:rPr>
                <w:color w:val="000000"/>
                <w:kern w:val="0"/>
                <w:szCs w:val="21"/>
              </w:rPr>
              <w:t>8</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不锈钢机壳</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3</w:t>
            </w:r>
            <w:r>
              <w:rPr>
                <w:color w:val="000000"/>
                <w:kern w:val="0"/>
                <w:szCs w:val="21"/>
              </w:rPr>
              <w:t>9</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不锈钢保温水箱</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0</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不锈钢水泵底座</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1</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不锈钢水泵罩</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2</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压缩机</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3</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制冷剂</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w:t>
            </w: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150</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4</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压机冷冻油</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w:t>
            </w: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桶</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5</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油液分离器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6</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气液分离器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7</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回气过滤器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8</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排气过滤器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p>
        </w:tc>
        <w:tc>
          <w:tcPr>
            <w:tcW w:w="973" w:type="dxa"/>
            <w:noWrap/>
            <w:vAlign w:val="center"/>
          </w:tcPr>
          <w:p>
            <w:pPr>
              <w:widowControl/>
              <w:jc w:val="center"/>
              <w:rPr>
                <w:rFonts w:ascii="宋体" w:hAnsi="宋体" w:cs="宋体"/>
                <w:kern w:val="0"/>
                <w:sz w:val="22"/>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4</w:t>
            </w:r>
            <w:r>
              <w:rPr>
                <w:color w:val="000000"/>
                <w:kern w:val="0"/>
                <w:szCs w:val="21"/>
              </w:rPr>
              <w:t>9</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减震器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支</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0</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减震器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支</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1</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膨胀系统</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w:t>
            </w: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2</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管道截止阀</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3</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管道截止阀</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4</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管道截止阀</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5</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不锈钢循环水泵</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6</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不锈钢止回阀</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7</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带盘油压表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8</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高压压力变送器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5</w:t>
            </w:r>
            <w:r>
              <w:rPr>
                <w:color w:val="000000"/>
                <w:kern w:val="0"/>
                <w:szCs w:val="21"/>
              </w:rPr>
              <w:t>9</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低压压力变送器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6</w:t>
            </w:r>
            <w:r>
              <w:rPr>
                <w:color w:val="000000"/>
                <w:kern w:val="0"/>
                <w:szCs w:val="21"/>
              </w:rPr>
              <w:t>0</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水压压力变送器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color w:val="000000"/>
                <w:kern w:val="0"/>
                <w:szCs w:val="21"/>
              </w:rPr>
              <w:t>61</w:t>
            </w:r>
          </w:p>
        </w:tc>
        <w:tc>
          <w:tcPr>
            <w:tcW w:w="1766" w:type="dxa"/>
            <w:noWrap/>
            <w:vAlign w:val="center"/>
          </w:tcPr>
          <w:p>
            <w:pPr>
              <w:widowControl/>
              <w:jc w:val="center"/>
              <w:rPr>
                <w:rFonts w:ascii="宋体" w:hAnsi="宋体" w:cs="宋体"/>
                <w:kern w:val="0"/>
                <w:sz w:val="28"/>
                <w:szCs w:val="21"/>
              </w:rPr>
            </w:pPr>
            <w:r>
              <w:rPr>
                <w:rFonts w:hint="eastAsia" w:ascii="宋体" w:hAnsi="宋体" w:cs="宋体"/>
                <w:kern w:val="0"/>
                <w:szCs w:val="21"/>
              </w:rPr>
              <w:t>温度变送器</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p>
        </w:tc>
        <w:tc>
          <w:tcPr>
            <w:tcW w:w="973" w:type="dxa"/>
            <w:noWrap/>
            <w:vAlign w:val="center"/>
          </w:tcPr>
          <w:p>
            <w:pPr>
              <w:widowControl/>
              <w:jc w:val="center"/>
              <w:rPr>
                <w:kern w:val="0"/>
                <w:szCs w:val="21"/>
              </w:rPr>
            </w:pPr>
          </w:p>
        </w:tc>
        <w:tc>
          <w:tcPr>
            <w:tcW w:w="648"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vAlign w:val="center"/>
          </w:tcPr>
          <w:p>
            <w:pPr>
              <w:widowControl/>
              <w:jc w:val="center"/>
              <w:textAlignment w:val="bottom"/>
              <w:rPr>
                <w:color w:val="000000"/>
                <w:kern w:val="0"/>
                <w:szCs w:val="21"/>
              </w:rPr>
            </w:pPr>
            <w:r>
              <w:rPr>
                <w:rFonts w:hint="eastAsia"/>
                <w:color w:val="000000"/>
                <w:kern w:val="0"/>
                <w:szCs w:val="21"/>
              </w:rPr>
              <w:t>6</w:t>
            </w:r>
            <w:r>
              <w:rPr>
                <w:color w:val="000000"/>
                <w:kern w:val="0"/>
                <w:szCs w:val="21"/>
              </w:rPr>
              <w:t>2</w:t>
            </w:r>
          </w:p>
        </w:tc>
        <w:tc>
          <w:tcPr>
            <w:tcW w:w="1766" w:type="dxa"/>
            <w:noWrap/>
            <w:vAlign w:val="center"/>
          </w:tcPr>
          <w:p>
            <w:pPr>
              <w:widowControl/>
              <w:jc w:val="center"/>
              <w:textAlignment w:val="bottom"/>
              <w:rPr>
                <w:rFonts w:ascii="宋体" w:hAnsi="宋体" w:cs="宋体"/>
                <w:color w:val="000000"/>
                <w:sz w:val="28"/>
                <w:szCs w:val="21"/>
              </w:rPr>
            </w:pPr>
            <w:r>
              <w:rPr>
                <w:rFonts w:hint="eastAsia" w:ascii="宋体" w:hAnsi="宋体" w:cs="宋体"/>
                <w:color w:val="000000"/>
                <w:kern w:val="0"/>
                <w:szCs w:val="21"/>
              </w:rPr>
              <w:t>手动PLC备用系统</w:t>
            </w:r>
          </w:p>
        </w:tc>
        <w:tc>
          <w:tcPr>
            <w:tcW w:w="26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含触摸屏、PLC、模块等</w:t>
            </w:r>
          </w:p>
        </w:tc>
        <w:tc>
          <w:tcPr>
            <w:tcW w:w="973" w:type="dxa"/>
            <w:noWrap/>
            <w:vAlign w:val="center"/>
          </w:tcPr>
          <w:p>
            <w:pPr>
              <w:widowControl/>
              <w:jc w:val="center"/>
              <w:textAlignment w:val="bottom"/>
              <w:rPr>
                <w:rFonts w:ascii="宋体" w:hAnsi="宋体" w:cs="宋体"/>
                <w:color w:val="000000"/>
                <w:kern w:val="0"/>
                <w:szCs w:val="21"/>
              </w:rPr>
            </w:pPr>
          </w:p>
        </w:tc>
        <w:tc>
          <w:tcPr>
            <w:tcW w:w="648" w:type="dxa"/>
            <w:noWrap/>
            <w:vAlign w:val="center"/>
          </w:tcPr>
          <w:p>
            <w:pPr>
              <w:widowControl/>
              <w:jc w:val="center"/>
              <w:rPr>
                <w:rFonts w:ascii="宋体" w:hAnsi="宋体" w:cs="宋体"/>
                <w:kern w:val="0"/>
                <w:szCs w:val="21"/>
              </w:rPr>
            </w:pPr>
            <w:r>
              <w:rPr>
                <w:rFonts w:ascii="宋体" w:hAnsi="宋体" w:cs="宋体"/>
                <w:kern w:val="0"/>
                <w:szCs w:val="21"/>
              </w:rPr>
              <w:t>项</w:t>
            </w:r>
          </w:p>
        </w:tc>
        <w:tc>
          <w:tcPr>
            <w:tcW w:w="596"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847" w:type="dxa"/>
            <w:noWrap/>
            <w:vAlign w:val="center"/>
          </w:tcPr>
          <w:p>
            <w:pPr>
              <w:widowControl/>
              <w:jc w:val="center"/>
              <w:rPr>
                <w:rFonts w:ascii="宋体" w:hAnsi="宋体" w:cs="宋体"/>
                <w:kern w:val="0"/>
                <w:szCs w:val="21"/>
              </w:rPr>
            </w:pPr>
          </w:p>
        </w:tc>
        <w:tc>
          <w:tcPr>
            <w:tcW w:w="884"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0" w:type="dxa"/>
            <w:tcBorders>
              <w:bottom w:val="single" w:color="auto" w:sz="4" w:space="0"/>
            </w:tcBorders>
            <w:vAlign w:val="center"/>
          </w:tcPr>
          <w:p>
            <w:pPr>
              <w:widowControl/>
              <w:jc w:val="center"/>
              <w:textAlignment w:val="bottom"/>
              <w:rPr>
                <w:color w:val="000000"/>
                <w:kern w:val="0"/>
                <w:szCs w:val="21"/>
              </w:rPr>
            </w:pPr>
            <w:r>
              <w:rPr>
                <w:rFonts w:hint="eastAsia"/>
                <w:color w:val="000000"/>
                <w:kern w:val="0"/>
                <w:szCs w:val="21"/>
              </w:rPr>
              <w:t>6</w:t>
            </w:r>
            <w:r>
              <w:rPr>
                <w:color w:val="000000"/>
                <w:kern w:val="0"/>
                <w:szCs w:val="21"/>
              </w:rPr>
              <w:t>3</w:t>
            </w:r>
          </w:p>
        </w:tc>
        <w:tc>
          <w:tcPr>
            <w:tcW w:w="1766" w:type="dxa"/>
            <w:tcBorders>
              <w:bottom w:val="single" w:color="auto" w:sz="4" w:space="0"/>
            </w:tcBorders>
            <w:noWrap/>
            <w:vAlign w:val="center"/>
          </w:tcPr>
          <w:p>
            <w:pPr>
              <w:jc w:val="center"/>
              <w:rPr>
                <w:sz w:val="28"/>
                <w:szCs w:val="21"/>
              </w:rPr>
            </w:pPr>
            <w:r>
              <w:rPr>
                <w:rFonts w:hint="eastAsia"/>
                <w:szCs w:val="21"/>
              </w:rPr>
              <w:t>其它辅料</w:t>
            </w:r>
          </w:p>
        </w:tc>
        <w:tc>
          <w:tcPr>
            <w:tcW w:w="2693" w:type="dxa"/>
            <w:tcBorders>
              <w:bottom w:val="single" w:color="auto" w:sz="4" w:space="0"/>
            </w:tcBorders>
            <w:noWrap/>
            <w:vAlign w:val="center"/>
          </w:tcPr>
          <w:p>
            <w:pPr>
              <w:jc w:val="center"/>
              <w:rPr>
                <w:szCs w:val="21"/>
              </w:rPr>
            </w:pPr>
            <w:r>
              <w:rPr>
                <w:rFonts w:hint="eastAsia"/>
                <w:szCs w:val="21"/>
              </w:rPr>
              <w:t>线槽、铜鼻、线鼻、色带、贴纸、线号管、</w:t>
            </w:r>
            <w:r>
              <w:rPr>
                <w:rFonts w:hint="eastAsia" w:ascii="宋体" w:hAnsi="宋体" w:cs="宋体"/>
                <w:color w:val="000000"/>
                <w:kern w:val="0"/>
                <w:szCs w:val="21"/>
              </w:rPr>
              <w:t>软管、软管接头、导轨</w:t>
            </w:r>
            <w:r>
              <w:rPr>
                <w:rFonts w:hint="eastAsia"/>
                <w:szCs w:val="21"/>
              </w:rPr>
              <w:t>等</w:t>
            </w:r>
          </w:p>
        </w:tc>
        <w:tc>
          <w:tcPr>
            <w:tcW w:w="973" w:type="dxa"/>
            <w:tcBorders>
              <w:bottom w:val="single" w:color="auto" w:sz="4" w:space="0"/>
            </w:tcBorders>
            <w:noWrap/>
            <w:vAlign w:val="center"/>
          </w:tcPr>
          <w:p>
            <w:pPr>
              <w:jc w:val="center"/>
              <w:rPr>
                <w:szCs w:val="21"/>
              </w:rPr>
            </w:pPr>
          </w:p>
        </w:tc>
        <w:tc>
          <w:tcPr>
            <w:tcW w:w="648" w:type="dxa"/>
            <w:tcBorders>
              <w:bottom w:val="single" w:color="auto" w:sz="4" w:space="0"/>
            </w:tcBorders>
            <w:noWrap/>
            <w:vAlign w:val="center"/>
          </w:tcPr>
          <w:p>
            <w:pPr>
              <w:jc w:val="center"/>
              <w:rPr>
                <w:szCs w:val="21"/>
              </w:rPr>
            </w:pPr>
            <w:r>
              <w:rPr>
                <w:rFonts w:hint="eastAsia"/>
                <w:szCs w:val="21"/>
              </w:rPr>
              <w:t>项</w:t>
            </w:r>
          </w:p>
        </w:tc>
        <w:tc>
          <w:tcPr>
            <w:tcW w:w="596" w:type="dxa"/>
            <w:tcBorders>
              <w:bottom w:val="single" w:color="auto" w:sz="4" w:space="0"/>
            </w:tcBorders>
            <w:noWrap/>
            <w:vAlign w:val="center"/>
          </w:tcPr>
          <w:p>
            <w:pPr>
              <w:jc w:val="center"/>
              <w:rPr>
                <w:szCs w:val="21"/>
              </w:rPr>
            </w:pPr>
            <w:r>
              <w:rPr>
                <w:szCs w:val="21"/>
              </w:rPr>
              <w:t>1</w:t>
            </w:r>
          </w:p>
        </w:tc>
        <w:tc>
          <w:tcPr>
            <w:tcW w:w="847" w:type="dxa"/>
            <w:tcBorders>
              <w:bottom w:val="single" w:color="auto" w:sz="4" w:space="0"/>
            </w:tcBorders>
            <w:noWrap/>
            <w:vAlign w:val="center"/>
          </w:tcPr>
          <w:p>
            <w:pPr>
              <w:jc w:val="center"/>
              <w:rPr>
                <w:szCs w:val="21"/>
              </w:rPr>
            </w:pPr>
          </w:p>
        </w:tc>
        <w:tc>
          <w:tcPr>
            <w:tcW w:w="884" w:type="dxa"/>
            <w:tcBorders>
              <w:bottom w:val="single" w:color="auto" w:sz="4"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kern w:val="0"/>
                <w:szCs w:val="21"/>
              </w:rPr>
            </w:pPr>
          </w:p>
        </w:tc>
        <w:tc>
          <w:tcPr>
            <w:tcW w:w="4459" w:type="dxa"/>
            <w:gridSpan w:val="2"/>
            <w:tcBorders>
              <w:top w:val="single" w:color="auto" w:sz="4" w:space="0"/>
              <w:left w:val="single" w:color="auto" w:sz="4" w:space="0"/>
              <w:bottom w:val="single" w:color="auto" w:sz="4" w:space="0"/>
              <w:right w:val="single" w:color="auto" w:sz="4" w:space="0"/>
            </w:tcBorders>
            <w:noWrap/>
            <w:vAlign w:val="center"/>
          </w:tcPr>
          <w:p>
            <w:pPr>
              <w:pBdr>
                <w:bottom w:val="single" w:color="auto" w:sz="4" w:space="0"/>
                <w:right w:val="single" w:color="auto" w:sz="4" w:space="0"/>
              </w:pBdr>
              <w:spacing w:before="100" w:beforeAutospacing="1" w:after="100" w:afterAutospacing="1"/>
              <w:jc w:val="center"/>
              <w:textAlignment w:val="top"/>
              <w:rPr>
                <w:b/>
                <w:szCs w:val="21"/>
              </w:rPr>
            </w:pPr>
            <w:r>
              <w:rPr>
                <w:rFonts w:hint="eastAsia"/>
                <w:b/>
                <w:szCs w:val="21"/>
              </w:rPr>
              <w:t>合计</w:t>
            </w:r>
          </w:p>
        </w:tc>
        <w:tc>
          <w:tcPr>
            <w:tcW w:w="973"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w:t>
            </w:r>
          </w:p>
        </w:tc>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w:t>
            </w:r>
          </w:p>
        </w:tc>
        <w:tc>
          <w:tcPr>
            <w:tcW w:w="596"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w:t>
            </w:r>
          </w:p>
        </w:tc>
        <w:tc>
          <w:tcPr>
            <w:tcW w:w="847"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szCs w:val="21"/>
              </w:rPr>
              <w:t>/</w:t>
            </w:r>
          </w:p>
        </w:tc>
        <w:tc>
          <w:tcPr>
            <w:tcW w:w="884"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p>
        </w:tc>
      </w:tr>
    </w:tbl>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注：1.以上含税价格包含投标人使投标货物达到正常使用所应当向招标人提供的所有有形物品、资料、技术、服务等内容的全部价格，包括但不限于：货物的材料费、人工费、机械费、措施费、保管仓储费、运输运保费、安装调试费、管理费、招标代理服务费、利润、税金等相关的全部费用。</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2.本表合计应与开标一览表中投标报价（含税）一致。</w:t>
      </w:r>
    </w:p>
    <w:p>
      <w:pPr>
        <w:snapToGrid w:val="0"/>
        <w:spacing w:line="360" w:lineRule="auto"/>
        <w:ind w:firstLine="420" w:firstLineChars="200"/>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3.投标人在填报投标税率时应符合相关税法要求，如不符合相关要求，在签订合同时将以不含税价格为基础进行修正调整。</w:t>
      </w:r>
    </w:p>
    <w:p>
      <w:pPr>
        <w:snapToGrid w:val="0"/>
        <w:spacing w:line="360" w:lineRule="auto"/>
        <w:ind w:firstLine="420" w:firstLineChars="200"/>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4.投标人未填写规格型号及品牌的，招标人有权根据招标文件按照在用规格型号、品牌确定配件规格型号及品牌。</w:t>
      </w:r>
    </w:p>
    <w:p>
      <w:pPr>
        <w:spacing w:line="400" w:lineRule="atLeast"/>
        <w:rPr>
          <w:rFonts w:ascii="宋体"/>
          <w:szCs w:val="21"/>
        </w:rPr>
      </w:pPr>
      <w:r>
        <w:rPr>
          <w:rFonts w:hint="eastAsia" w:ascii="宋体"/>
          <w:szCs w:val="21"/>
        </w:rPr>
        <w:t>投标人</w:t>
      </w:r>
      <w:r>
        <w:rPr>
          <w:rFonts w:ascii="宋体"/>
          <w:szCs w:val="21"/>
        </w:rPr>
        <w:t>(</w:t>
      </w:r>
      <w:r>
        <w:rPr>
          <w:rFonts w:hint="eastAsia" w:ascii="宋体"/>
          <w:szCs w:val="21"/>
        </w:rPr>
        <w:t>盖章</w:t>
      </w:r>
      <w:r>
        <w:rPr>
          <w:rFonts w:ascii="宋体"/>
          <w:szCs w:val="21"/>
        </w:rPr>
        <w:t>)</w:t>
      </w:r>
      <w:r>
        <w:rPr>
          <w:rFonts w:hint="eastAsia" w:ascii="宋体"/>
          <w:szCs w:val="21"/>
        </w:rPr>
        <w:t>：</w:t>
      </w:r>
    </w:p>
    <w:p>
      <w:pPr>
        <w:spacing w:line="400" w:lineRule="atLeast"/>
        <w:ind w:firstLine="4200" w:firstLineChars="2000"/>
        <w:rPr>
          <w:rFonts w:ascii="宋体"/>
          <w:szCs w:val="21"/>
        </w:rPr>
      </w:pPr>
      <w:r>
        <w:rPr>
          <w:rFonts w:hint="eastAsia" w:ascii="宋体"/>
          <w:szCs w:val="21"/>
        </w:rPr>
        <w:t>法定代表人或委托代理人（签字）：</w:t>
      </w:r>
    </w:p>
    <w:p>
      <w:pPr>
        <w:spacing w:line="400" w:lineRule="atLeast"/>
        <w:ind w:firstLine="4200" w:firstLineChars="2000"/>
        <w:rPr>
          <w:rFonts w:ascii="宋体"/>
          <w:szCs w:val="21"/>
        </w:rPr>
      </w:pPr>
      <w:r>
        <w:rPr>
          <w:rFonts w:hint="eastAsia" w:ascii="宋体"/>
          <w:szCs w:val="21"/>
        </w:rPr>
        <w:t>日期：</w:t>
      </w:r>
    </w:p>
    <w:p>
      <w:pPr>
        <w:spacing w:line="400" w:lineRule="atLeast"/>
        <w:ind w:firstLine="4200" w:firstLineChars="2000"/>
        <w:rPr>
          <w:rFonts w:ascii="宋体"/>
          <w:szCs w:val="21"/>
        </w:rPr>
      </w:pPr>
    </w:p>
    <w:p>
      <w:pPr>
        <w:spacing w:line="400" w:lineRule="atLeast"/>
        <w:ind w:firstLine="4200" w:firstLineChars="2000"/>
        <w:rPr>
          <w:rFonts w:ascii="宋体"/>
          <w:szCs w:val="21"/>
        </w:rPr>
      </w:pPr>
    </w:p>
    <w:p>
      <w:pPr>
        <w:spacing w:line="400" w:lineRule="atLeast"/>
        <w:ind w:firstLine="4200" w:firstLineChars="2000"/>
        <w:rPr>
          <w:rFonts w:ascii="宋体"/>
          <w:szCs w:val="21"/>
        </w:rPr>
      </w:pPr>
    </w:p>
    <w:p>
      <w:pPr>
        <w:spacing w:line="400" w:lineRule="atLeast"/>
        <w:ind w:firstLine="4200" w:firstLineChars="2000"/>
        <w:rPr>
          <w:rFonts w:ascii="宋体"/>
          <w:szCs w:val="21"/>
        </w:rPr>
      </w:pPr>
    </w:p>
    <w:p>
      <w:pPr>
        <w:spacing w:line="400" w:lineRule="atLeast"/>
        <w:ind w:firstLine="4200" w:firstLineChars="2000"/>
        <w:rPr>
          <w:rFonts w:ascii="宋体"/>
          <w:szCs w:val="21"/>
        </w:rPr>
      </w:pPr>
    </w:p>
    <w:p>
      <w:pPr>
        <w:pStyle w:val="48"/>
        <w:sectPr>
          <w:footerReference r:id="rId5" w:type="first"/>
          <w:pgSz w:w="11906" w:h="16838"/>
          <w:pgMar w:top="1440" w:right="1800" w:bottom="1440" w:left="1800" w:header="851" w:footer="992" w:gutter="0"/>
          <w:pgNumType w:fmt="numberInDash"/>
          <w:cols w:space="425" w:num="1"/>
          <w:docGrid w:type="lines" w:linePitch="312" w:charSpace="0"/>
        </w:sectPr>
      </w:pPr>
      <w:bookmarkStart w:id="57" w:name="_Toc5894"/>
    </w:p>
    <w:p>
      <w:pPr>
        <w:pStyle w:val="48"/>
      </w:pPr>
      <w:r>
        <w:rPr>
          <w:rFonts w:hint="eastAsia"/>
        </w:rPr>
        <w:t>六、商务偏离表格式</w:t>
      </w:r>
      <w:bookmarkEnd w:id="57"/>
    </w:p>
    <w:p>
      <w:pPr>
        <w:jc w:val="center"/>
        <w:rPr>
          <w:rFonts w:ascii="黑体" w:hAnsi="宋体" w:eastAsia="黑体"/>
          <w:sz w:val="28"/>
          <w:szCs w:val="28"/>
        </w:rPr>
      </w:pPr>
      <w:r>
        <w:rPr>
          <w:rFonts w:hint="eastAsia" w:ascii="黑体" w:hAnsi="宋体" w:eastAsia="黑体"/>
          <w:sz w:val="28"/>
          <w:szCs w:val="28"/>
        </w:rPr>
        <w:t>商务偏离表</w:t>
      </w:r>
    </w:p>
    <w:p>
      <w:pPr>
        <w:spacing w:line="360" w:lineRule="auto"/>
        <w:jc w:val="left"/>
        <w:rPr>
          <w:rFonts w:ascii="宋体" w:hAnsi="宋体" w:cs="仿宋"/>
          <w:szCs w:val="21"/>
        </w:rPr>
      </w:pPr>
    </w:p>
    <w:p>
      <w:pPr>
        <w:spacing w:line="360" w:lineRule="auto"/>
        <w:jc w:val="left"/>
        <w:rPr>
          <w:rFonts w:ascii="宋体" w:hAnsi="宋体" w:cs="仿宋"/>
          <w:szCs w:val="21"/>
        </w:rPr>
      </w:pPr>
      <w:r>
        <w:rPr>
          <w:rFonts w:hint="eastAsia" w:ascii="宋体" w:hAnsi="宋体" w:cs="仿宋"/>
          <w:szCs w:val="21"/>
        </w:rPr>
        <w:t>项目名称</w:t>
      </w:r>
      <w:r>
        <w:rPr>
          <w:rFonts w:ascii="宋体" w:hAnsi="宋体" w:cs="仿宋"/>
          <w:szCs w:val="21"/>
        </w:rPr>
        <w:t>:</w:t>
      </w:r>
      <w:r>
        <w:rPr>
          <w:rFonts w:hint="eastAsia" w:ascii="宋体" w:hAnsi="宋体" w:cs="仿宋"/>
          <w:szCs w:val="21"/>
        </w:rPr>
        <w:t xml:space="preserve"> 招标编号：</w:t>
      </w:r>
    </w:p>
    <w:p>
      <w:pPr>
        <w:spacing w:line="360" w:lineRule="auto"/>
        <w:rPr>
          <w:rFonts w:ascii="宋体" w:hAnsi="宋体"/>
          <w:szCs w:val="21"/>
        </w:rPr>
      </w:pPr>
    </w:p>
    <w:tbl>
      <w:tblPr>
        <w:tblStyle w:val="26"/>
        <w:tblW w:w="8323"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440"/>
        <w:gridCol w:w="2355"/>
        <w:gridCol w:w="1260"/>
        <w:gridCol w:w="25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Borders>
              <w:bottom w:val="nil"/>
            </w:tcBorders>
          </w:tcPr>
          <w:p>
            <w:pPr>
              <w:spacing w:line="360" w:lineRule="auto"/>
              <w:jc w:val="center"/>
              <w:rPr>
                <w:rFonts w:ascii="宋体" w:hAnsi="宋体"/>
                <w:szCs w:val="21"/>
              </w:rPr>
            </w:pPr>
            <w:r>
              <w:rPr>
                <w:rFonts w:hint="eastAsia" w:ascii="宋体" w:hAnsi="宋体" w:cs="仿宋"/>
                <w:szCs w:val="21"/>
              </w:rPr>
              <w:t>序</w:t>
            </w:r>
          </w:p>
        </w:tc>
        <w:tc>
          <w:tcPr>
            <w:tcW w:w="3795" w:type="dxa"/>
            <w:gridSpan w:val="2"/>
          </w:tcPr>
          <w:p>
            <w:pPr>
              <w:spacing w:line="360" w:lineRule="auto"/>
              <w:jc w:val="center"/>
              <w:rPr>
                <w:rFonts w:ascii="宋体" w:hAnsi="宋体"/>
                <w:szCs w:val="21"/>
              </w:rPr>
            </w:pPr>
            <w:r>
              <w:rPr>
                <w:rFonts w:hint="eastAsia" w:ascii="宋体" w:hAnsi="宋体" w:cs="仿宋"/>
                <w:szCs w:val="21"/>
              </w:rPr>
              <w:t>招标文件条款</w:t>
            </w:r>
          </w:p>
        </w:tc>
        <w:tc>
          <w:tcPr>
            <w:tcW w:w="3780" w:type="dxa"/>
            <w:gridSpan w:val="2"/>
          </w:tcPr>
          <w:p>
            <w:pPr>
              <w:spacing w:line="360" w:lineRule="auto"/>
              <w:jc w:val="center"/>
              <w:rPr>
                <w:rFonts w:ascii="宋体" w:hAnsi="宋体"/>
                <w:szCs w:val="21"/>
              </w:rPr>
            </w:pPr>
            <w:r>
              <w:rPr>
                <w:rFonts w:hint="eastAsia" w:ascii="宋体" w:hAnsi="宋体" w:cs="仿宋"/>
                <w:szCs w:val="21"/>
              </w:rPr>
              <w:t>投标书条款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Borders>
              <w:top w:val="nil"/>
            </w:tcBorders>
          </w:tcPr>
          <w:p>
            <w:pPr>
              <w:spacing w:line="360" w:lineRule="auto"/>
              <w:jc w:val="center"/>
              <w:rPr>
                <w:rFonts w:ascii="宋体" w:hAnsi="宋体"/>
                <w:szCs w:val="21"/>
              </w:rPr>
            </w:pPr>
            <w:r>
              <w:rPr>
                <w:rFonts w:hint="eastAsia" w:ascii="宋体" w:hAnsi="宋体" w:cs="仿宋"/>
                <w:szCs w:val="21"/>
              </w:rPr>
              <w:t>号</w:t>
            </w:r>
          </w:p>
        </w:tc>
        <w:tc>
          <w:tcPr>
            <w:tcW w:w="1440" w:type="dxa"/>
          </w:tcPr>
          <w:p>
            <w:pPr>
              <w:spacing w:line="360" w:lineRule="auto"/>
              <w:jc w:val="center"/>
              <w:rPr>
                <w:rFonts w:ascii="宋体" w:hAnsi="宋体"/>
                <w:szCs w:val="21"/>
              </w:rPr>
            </w:pPr>
            <w:r>
              <w:rPr>
                <w:rFonts w:hint="eastAsia" w:ascii="宋体" w:hAnsi="宋体" w:cs="仿宋"/>
                <w:szCs w:val="21"/>
              </w:rPr>
              <w:t>条款号</w:t>
            </w:r>
          </w:p>
        </w:tc>
        <w:tc>
          <w:tcPr>
            <w:tcW w:w="2355" w:type="dxa"/>
          </w:tcPr>
          <w:p>
            <w:pPr>
              <w:spacing w:line="360" w:lineRule="auto"/>
              <w:jc w:val="center"/>
              <w:rPr>
                <w:rFonts w:ascii="宋体" w:hAnsi="宋体"/>
                <w:szCs w:val="21"/>
              </w:rPr>
            </w:pPr>
            <w:r>
              <w:rPr>
                <w:rFonts w:hint="eastAsia" w:ascii="宋体" w:hAnsi="宋体" w:cs="仿宋"/>
                <w:szCs w:val="21"/>
              </w:rPr>
              <w:t>条款内容</w:t>
            </w:r>
          </w:p>
        </w:tc>
        <w:tc>
          <w:tcPr>
            <w:tcW w:w="1260" w:type="dxa"/>
          </w:tcPr>
          <w:p>
            <w:pPr>
              <w:spacing w:line="360" w:lineRule="auto"/>
              <w:jc w:val="center"/>
              <w:rPr>
                <w:rFonts w:ascii="宋体" w:hAnsi="宋体"/>
                <w:szCs w:val="21"/>
              </w:rPr>
            </w:pPr>
            <w:r>
              <w:rPr>
                <w:rFonts w:hint="eastAsia" w:ascii="宋体" w:hAnsi="宋体" w:cs="仿宋"/>
                <w:szCs w:val="21"/>
              </w:rPr>
              <w:t>条款号</w:t>
            </w:r>
          </w:p>
        </w:tc>
        <w:tc>
          <w:tcPr>
            <w:tcW w:w="2520" w:type="dxa"/>
          </w:tcPr>
          <w:p>
            <w:pPr>
              <w:spacing w:line="360" w:lineRule="auto"/>
              <w:jc w:val="center"/>
              <w:rPr>
                <w:rFonts w:ascii="宋体" w:hAnsi="宋体"/>
                <w:szCs w:val="21"/>
              </w:rPr>
            </w:pPr>
            <w:r>
              <w:rPr>
                <w:rFonts w:hint="eastAsia" w:ascii="宋体" w:hAnsi="宋体" w:cs="仿宋"/>
                <w:szCs w:val="21"/>
              </w:rPr>
              <w:t>条款内容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4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355" w:type="dxa"/>
          </w:tcPr>
          <w:p>
            <w:pPr>
              <w:spacing w:line="360" w:lineRule="auto"/>
              <w:rPr>
                <w:rFonts w:ascii="宋体" w:hAnsi="宋体"/>
                <w:szCs w:val="21"/>
              </w:rPr>
            </w:pPr>
          </w:p>
        </w:tc>
        <w:tc>
          <w:tcPr>
            <w:tcW w:w="1260" w:type="dxa"/>
          </w:tcPr>
          <w:p>
            <w:pPr>
              <w:spacing w:line="360" w:lineRule="auto"/>
              <w:rPr>
                <w:rFonts w:ascii="宋体" w:hAnsi="宋体"/>
                <w:szCs w:val="21"/>
              </w:rPr>
            </w:pPr>
          </w:p>
        </w:tc>
        <w:tc>
          <w:tcPr>
            <w:tcW w:w="2520" w:type="dxa"/>
          </w:tcPr>
          <w:p>
            <w:pPr>
              <w:spacing w:line="360" w:lineRule="auto"/>
              <w:rPr>
                <w:rFonts w:ascii="宋体" w:hAnsi="宋体"/>
                <w:szCs w:val="21"/>
              </w:rPr>
            </w:pPr>
          </w:p>
        </w:tc>
      </w:tr>
    </w:tbl>
    <w:p>
      <w:pPr>
        <w:spacing w:line="360" w:lineRule="auto"/>
        <w:rPr>
          <w:rFonts w:ascii="宋体" w:hAnsi="宋体" w:cs="仿宋"/>
          <w:szCs w:val="21"/>
        </w:rPr>
      </w:pPr>
      <w:r>
        <w:rPr>
          <w:rFonts w:hint="eastAsia" w:ascii="宋体" w:hAnsi="宋体" w:cs="仿宋"/>
          <w:szCs w:val="21"/>
        </w:rPr>
        <w:t>注：1.对招标文件商务内容（包括合同主要条款、技术规格和要求）的偏离均应在本表中填写，即使投标人在投标文件的其他部分已对偏离进行了描述，也要填写本表；</w:t>
      </w:r>
    </w:p>
    <w:p>
      <w:pPr>
        <w:spacing w:line="360" w:lineRule="auto"/>
        <w:ind w:firstLine="420" w:firstLineChars="200"/>
        <w:rPr>
          <w:rFonts w:ascii="宋体" w:hAnsi="宋体" w:cs="仿宋"/>
          <w:szCs w:val="21"/>
        </w:rPr>
      </w:pPr>
      <w:r>
        <w:rPr>
          <w:rFonts w:hint="eastAsia" w:ascii="宋体" w:hAnsi="宋体" w:cs="仿宋"/>
          <w:szCs w:val="21"/>
        </w:rPr>
        <w:t>2.如无偏离要在本表中注明“无”字；</w:t>
      </w:r>
    </w:p>
    <w:p>
      <w:pPr>
        <w:spacing w:line="360" w:lineRule="auto"/>
        <w:ind w:firstLine="420" w:firstLineChars="200"/>
        <w:rPr>
          <w:rFonts w:ascii="宋体" w:hAnsi="宋体" w:cs="仿宋"/>
          <w:szCs w:val="21"/>
        </w:rPr>
      </w:pPr>
      <w:r>
        <w:rPr>
          <w:rFonts w:hint="eastAsia" w:ascii="宋体" w:hAnsi="宋体" w:cs="仿宋"/>
          <w:szCs w:val="21"/>
        </w:rPr>
        <w:t>3.投标文件中如无本表，则被视为“无偏离”。</w:t>
      </w:r>
    </w:p>
    <w:p>
      <w:pPr>
        <w:spacing w:line="360" w:lineRule="auto"/>
        <w:rPr>
          <w:rFonts w:ascii="宋体" w:hAnsi="宋体" w:cs="仿宋"/>
          <w:szCs w:val="21"/>
        </w:rPr>
      </w:pPr>
    </w:p>
    <w:p>
      <w:pPr>
        <w:spacing w:line="400" w:lineRule="atLeast"/>
        <w:ind w:left="4200" w:leftChars="2000"/>
        <w:rPr>
          <w:rFonts w:ascii="宋体"/>
          <w:szCs w:val="21"/>
        </w:rPr>
      </w:pPr>
      <w:r>
        <w:rPr>
          <w:rFonts w:hint="eastAsia" w:ascii="宋体"/>
          <w:szCs w:val="21"/>
        </w:rPr>
        <w:t>投标人</w:t>
      </w:r>
      <w:r>
        <w:rPr>
          <w:rFonts w:ascii="宋体"/>
          <w:szCs w:val="21"/>
        </w:rPr>
        <w:t>(</w:t>
      </w:r>
      <w:r>
        <w:rPr>
          <w:rFonts w:hint="eastAsia" w:ascii="宋体"/>
          <w:szCs w:val="21"/>
        </w:rPr>
        <w:t>盖章</w:t>
      </w:r>
      <w:r>
        <w:rPr>
          <w:rFonts w:ascii="宋体"/>
          <w:szCs w:val="21"/>
        </w:rPr>
        <w:t>)</w:t>
      </w:r>
      <w:r>
        <w:rPr>
          <w:rFonts w:hint="eastAsia" w:ascii="宋体"/>
          <w:szCs w:val="21"/>
        </w:rPr>
        <w:t>：</w:t>
      </w:r>
    </w:p>
    <w:p>
      <w:pPr>
        <w:spacing w:line="400" w:lineRule="atLeast"/>
        <w:ind w:firstLine="4200" w:firstLineChars="2000"/>
        <w:rPr>
          <w:rFonts w:ascii="宋体"/>
          <w:szCs w:val="21"/>
        </w:rPr>
      </w:pPr>
      <w:r>
        <w:rPr>
          <w:rFonts w:hint="eastAsia" w:ascii="宋体"/>
          <w:szCs w:val="21"/>
        </w:rPr>
        <w:t>法定代表人或其委托代理人（签字）：</w:t>
      </w:r>
    </w:p>
    <w:p>
      <w:pPr>
        <w:spacing w:line="400" w:lineRule="atLeast"/>
        <w:ind w:firstLine="4200" w:firstLineChars="2000"/>
        <w:rPr>
          <w:rFonts w:ascii="宋体"/>
          <w:szCs w:val="21"/>
        </w:rPr>
      </w:pPr>
      <w:r>
        <w:rPr>
          <w:rFonts w:hint="eastAsia" w:ascii="宋体"/>
          <w:szCs w:val="21"/>
        </w:rPr>
        <w:t>日期：</w:t>
      </w:r>
    </w:p>
    <w:p>
      <w:pPr>
        <w:pStyle w:val="48"/>
      </w:pPr>
      <w:bookmarkStart w:id="58" w:name="_Toc17737"/>
      <w:r>
        <w:rPr>
          <w:rFonts w:hint="eastAsia"/>
        </w:rPr>
        <w:t>七、技术偏离表格式</w:t>
      </w:r>
      <w:bookmarkEnd w:id="58"/>
    </w:p>
    <w:p>
      <w:pPr>
        <w:jc w:val="center"/>
        <w:rPr>
          <w:rFonts w:ascii="黑体" w:hAnsi="宋体" w:eastAsia="黑体"/>
          <w:sz w:val="28"/>
          <w:szCs w:val="28"/>
        </w:rPr>
      </w:pPr>
      <w:r>
        <w:rPr>
          <w:rFonts w:hint="eastAsia" w:ascii="黑体" w:hAnsi="宋体" w:eastAsia="黑体"/>
          <w:sz w:val="28"/>
          <w:szCs w:val="28"/>
        </w:rPr>
        <w:t>技术偏离表</w:t>
      </w:r>
    </w:p>
    <w:p>
      <w:pPr>
        <w:spacing w:line="360" w:lineRule="auto"/>
        <w:jc w:val="left"/>
        <w:rPr>
          <w:rFonts w:ascii="宋体" w:hAnsi="宋体" w:cs="仿宋"/>
          <w:sz w:val="20"/>
          <w:szCs w:val="20"/>
        </w:rPr>
      </w:pPr>
    </w:p>
    <w:p>
      <w:pPr>
        <w:spacing w:line="360" w:lineRule="auto"/>
        <w:jc w:val="left"/>
        <w:rPr>
          <w:rFonts w:ascii="宋体" w:hAnsi="宋体" w:cs="仿宋"/>
          <w:szCs w:val="21"/>
        </w:rPr>
      </w:pPr>
      <w:r>
        <w:rPr>
          <w:rFonts w:hint="eastAsia" w:ascii="宋体" w:hAnsi="宋体" w:cs="仿宋"/>
          <w:szCs w:val="21"/>
        </w:rPr>
        <w:t>项目名称</w:t>
      </w:r>
      <w:r>
        <w:rPr>
          <w:rFonts w:ascii="宋体" w:hAnsi="宋体" w:cs="仿宋"/>
          <w:szCs w:val="21"/>
        </w:rPr>
        <w:t>:</w:t>
      </w:r>
      <w:r>
        <w:rPr>
          <w:rFonts w:hint="eastAsia" w:ascii="宋体" w:hAnsi="宋体" w:cs="仿宋"/>
          <w:szCs w:val="21"/>
        </w:rPr>
        <w:t xml:space="preserve">                                         招标编号：</w:t>
      </w:r>
    </w:p>
    <w:p>
      <w:pPr>
        <w:spacing w:line="360" w:lineRule="auto"/>
        <w:rPr>
          <w:rFonts w:ascii="宋体" w:hAnsi="宋体"/>
          <w:szCs w:val="21"/>
        </w:rPr>
      </w:pPr>
    </w:p>
    <w:tbl>
      <w:tblPr>
        <w:tblStyle w:val="26"/>
        <w:tblW w:w="8323"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28"/>
        <w:gridCol w:w="1440"/>
        <w:gridCol w:w="1920"/>
        <w:gridCol w:w="1440"/>
        <w:gridCol w:w="22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228" w:type="dxa"/>
            <w:tcBorders>
              <w:bottom w:val="nil"/>
            </w:tcBorders>
            <w:vAlign w:val="center"/>
          </w:tcPr>
          <w:p>
            <w:pPr>
              <w:spacing w:line="360" w:lineRule="auto"/>
              <w:jc w:val="center"/>
              <w:rPr>
                <w:rFonts w:ascii="宋体" w:hAnsi="宋体"/>
                <w:szCs w:val="21"/>
              </w:rPr>
            </w:pPr>
            <w:r>
              <w:rPr>
                <w:rFonts w:hint="eastAsia" w:ascii="宋体" w:hAnsi="宋体" w:cs="仿宋"/>
                <w:szCs w:val="21"/>
              </w:rPr>
              <w:t>序</w:t>
            </w:r>
          </w:p>
        </w:tc>
        <w:tc>
          <w:tcPr>
            <w:tcW w:w="3360" w:type="dxa"/>
            <w:gridSpan w:val="2"/>
            <w:vAlign w:val="center"/>
          </w:tcPr>
          <w:p>
            <w:pPr>
              <w:spacing w:line="360" w:lineRule="auto"/>
              <w:jc w:val="center"/>
              <w:rPr>
                <w:rFonts w:ascii="宋体" w:hAnsi="宋体"/>
                <w:szCs w:val="21"/>
              </w:rPr>
            </w:pPr>
            <w:r>
              <w:rPr>
                <w:rFonts w:hint="eastAsia" w:ascii="宋体" w:hAnsi="宋体" w:cs="仿宋"/>
                <w:szCs w:val="21"/>
              </w:rPr>
              <w:t>招标文件条款</w:t>
            </w:r>
          </w:p>
        </w:tc>
        <w:tc>
          <w:tcPr>
            <w:tcW w:w="3735" w:type="dxa"/>
            <w:gridSpan w:val="2"/>
            <w:vAlign w:val="center"/>
          </w:tcPr>
          <w:p>
            <w:pPr>
              <w:spacing w:line="360" w:lineRule="auto"/>
              <w:jc w:val="center"/>
              <w:rPr>
                <w:rFonts w:ascii="宋体" w:hAnsi="宋体"/>
                <w:szCs w:val="21"/>
              </w:rPr>
            </w:pPr>
            <w:r>
              <w:rPr>
                <w:rFonts w:hint="eastAsia" w:ascii="宋体" w:hAnsi="宋体" w:cs="仿宋"/>
                <w:szCs w:val="21"/>
              </w:rPr>
              <w:t>投标书条款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Borders>
              <w:top w:val="nil"/>
            </w:tcBorders>
            <w:vAlign w:val="center"/>
          </w:tcPr>
          <w:p>
            <w:pPr>
              <w:spacing w:line="360" w:lineRule="auto"/>
              <w:jc w:val="center"/>
              <w:rPr>
                <w:rFonts w:ascii="宋体" w:hAnsi="宋体"/>
                <w:szCs w:val="21"/>
              </w:rPr>
            </w:pPr>
            <w:r>
              <w:rPr>
                <w:rFonts w:hint="eastAsia" w:ascii="宋体" w:hAnsi="宋体" w:cs="仿宋"/>
                <w:szCs w:val="21"/>
              </w:rPr>
              <w:t>号</w:t>
            </w:r>
          </w:p>
        </w:tc>
        <w:tc>
          <w:tcPr>
            <w:tcW w:w="1440" w:type="dxa"/>
            <w:vAlign w:val="center"/>
          </w:tcPr>
          <w:p>
            <w:pPr>
              <w:spacing w:line="360" w:lineRule="auto"/>
              <w:jc w:val="center"/>
              <w:rPr>
                <w:rFonts w:ascii="宋体" w:hAnsi="宋体"/>
                <w:szCs w:val="21"/>
              </w:rPr>
            </w:pPr>
            <w:r>
              <w:rPr>
                <w:rFonts w:hint="eastAsia" w:ascii="宋体" w:hAnsi="宋体" w:cs="仿宋"/>
                <w:szCs w:val="21"/>
              </w:rPr>
              <w:t>条款号</w:t>
            </w:r>
          </w:p>
        </w:tc>
        <w:tc>
          <w:tcPr>
            <w:tcW w:w="1920" w:type="dxa"/>
            <w:vAlign w:val="center"/>
          </w:tcPr>
          <w:p>
            <w:pPr>
              <w:spacing w:line="360" w:lineRule="auto"/>
              <w:jc w:val="center"/>
              <w:rPr>
                <w:rFonts w:ascii="宋体" w:hAnsi="宋体"/>
                <w:szCs w:val="21"/>
              </w:rPr>
            </w:pPr>
            <w:r>
              <w:rPr>
                <w:rFonts w:hint="eastAsia" w:ascii="宋体" w:hAnsi="宋体" w:cs="仿宋"/>
                <w:szCs w:val="21"/>
              </w:rPr>
              <w:t>条款内容</w:t>
            </w:r>
          </w:p>
        </w:tc>
        <w:tc>
          <w:tcPr>
            <w:tcW w:w="1440" w:type="dxa"/>
            <w:vAlign w:val="center"/>
          </w:tcPr>
          <w:p>
            <w:pPr>
              <w:spacing w:line="360" w:lineRule="auto"/>
              <w:jc w:val="center"/>
              <w:rPr>
                <w:rFonts w:ascii="宋体" w:hAnsi="宋体"/>
                <w:szCs w:val="21"/>
              </w:rPr>
            </w:pPr>
            <w:r>
              <w:rPr>
                <w:rFonts w:hint="eastAsia" w:ascii="宋体" w:hAnsi="宋体" w:cs="仿宋"/>
                <w:szCs w:val="21"/>
              </w:rPr>
              <w:t>条款号</w:t>
            </w:r>
          </w:p>
        </w:tc>
        <w:tc>
          <w:tcPr>
            <w:tcW w:w="2295" w:type="dxa"/>
            <w:vAlign w:val="center"/>
          </w:tcPr>
          <w:p>
            <w:pPr>
              <w:spacing w:line="360" w:lineRule="auto"/>
              <w:jc w:val="center"/>
              <w:rPr>
                <w:rFonts w:ascii="宋体" w:hAnsi="宋体"/>
                <w:szCs w:val="21"/>
              </w:rPr>
            </w:pPr>
            <w:r>
              <w:rPr>
                <w:rFonts w:hint="eastAsia" w:ascii="宋体" w:hAnsi="宋体" w:cs="仿宋"/>
                <w:szCs w:val="21"/>
              </w:rPr>
              <w:t>条款内容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228"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1920" w:type="dxa"/>
          </w:tcPr>
          <w:p>
            <w:pPr>
              <w:spacing w:line="360" w:lineRule="auto"/>
              <w:rPr>
                <w:rFonts w:ascii="宋体" w:hAnsi="宋体"/>
                <w:szCs w:val="21"/>
              </w:rPr>
            </w:pPr>
          </w:p>
        </w:tc>
        <w:tc>
          <w:tcPr>
            <w:tcW w:w="1440" w:type="dxa"/>
          </w:tcPr>
          <w:p>
            <w:pPr>
              <w:spacing w:line="360" w:lineRule="auto"/>
              <w:rPr>
                <w:rFonts w:ascii="宋体" w:hAnsi="宋体"/>
                <w:szCs w:val="21"/>
              </w:rPr>
            </w:pPr>
          </w:p>
        </w:tc>
        <w:tc>
          <w:tcPr>
            <w:tcW w:w="2295" w:type="dxa"/>
          </w:tcPr>
          <w:p>
            <w:pPr>
              <w:spacing w:line="360" w:lineRule="auto"/>
              <w:rPr>
                <w:rFonts w:ascii="宋体" w:hAnsi="宋体"/>
                <w:szCs w:val="21"/>
              </w:rPr>
            </w:pPr>
          </w:p>
        </w:tc>
      </w:tr>
    </w:tbl>
    <w:p>
      <w:pPr>
        <w:spacing w:line="360" w:lineRule="auto"/>
        <w:rPr>
          <w:rFonts w:ascii="宋体" w:hAnsi="宋体" w:cs="仿宋"/>
          <w:szCs w:val="21"/>
        </w:rPr>
      </w:pPr>
      <w:r>
        <w:rPr>
          <w:rFonts w:hint="eastAsia" w:ascii="宋体" w:hAnsi="宋体" w:cs="仿宋"/>
          <w:szCs w:val="21"/>
        </w:rPr>
        <w:t>注：1.对招标文件技术内容（包括合同主要条款、技术规格和要求）的偏离均应在本表中填写，即使投标人在投标文件的其他部分已对偏离进行了描述，也要填写本表；</w:t>
      </w:r>
    </w:p>
    <w:p>
      <w:pPr>
        <w:spacing w:line="360" w:lineRule="auto"/>
        <w:ind w:firstLine="420" w:firstLineChars="200"/>
        <w:rPr>
          <w:rFonts w:ascii="宋体" w:hAnsi="宋体" w:cs="仿宋"/>
          <w:szCs w:val="21"/>
        </w:rPr>
      </w:pPr>
      <w:r>
        <w:rPr>
          <w:rFonts w:hint="eastAsia" w:ascii="宋体" w:hAnsi="宋体" w:cs="仿宋"/>
          <w:szCs w:val="21"/>
        </w:rPr>
        <w:t>2.如无偏离要在本表中注明“无”字；</w:t>
      </w:r>
    </w:p>
    <w:p>
      <w:pPr>
        <w:spacing w:line="360" w:lineRule="auto"/>
        <w:ind w:firstLine="420" w:firstLineChars="200"/>
        <w:rPr>
          <w:rFonts w:ascii="宋体" w:hAnsi="宋体" w:cs="仿宋"/>
          <w:szCs w:val="21"/>
        </w:rPr>
      </w:pPr>
      <w:r>
        <w:rPr>
          <w:rFonts w:hint="eastAsia" w:ascii="宋体" w:hAnsi="宋体" w:cs="仿宋"/>
          <w:szCs w:val="21"/>
        </w:rPr>
        <w:t>3.投标文件中如无本表，则被视为“无偏离”。</w:t>
      </w:r>
    </w:p>
    <w:p>
      <w:pPr>
        <w:spacing w:line="360" w:lineRule="auto"/>
        <w:rPr>
          <w:rFonts w:ascii="宋体" w:hAnsi="宋体" w:cs="仿宋"/>
          <w:szCs w:val="21"/>
        </w:rPr>
      </w:pPr>
    </w:p>
    <w:p>
      <w:pPr>
        <w:spacing w:line="400" w:lineRule="atLeast"/>
        <w:ind w:left="4200" w:leftChars="2000"/>
        <w:rPr>
          <w:rFonts w:ascii="宋体"/>
          <w:szCs w:val="21"/>
        </w:rPr>
      </w:pPr>
      <w:r>
        <w:rPr>
          <w:rFonts w:hint="eastAsia" w:ascii="宋体"/>
          <w:szCs w:val="21"/>
        </w:rPr>
        <w:t>投标人</w:t>
      </w:r>
      <w:r>
        <w:rPr>
          <w:rFonts w:ascii="宋体"/>
          <w:szCs w:val="21"/>
        </w:rPr>
        <w:t>(</w:t>
      </w:r>
      <w:r>
        <w:rPr>
          <w:rFonts w:hint="eastAsia" w:ascii="宋体"/>
          <w:szCs w:val="21"/>
        </w:rPr>
        <w:t>盖章</w:t>
      </w:r>
      <w:r>
        <w:rPr>
          <w:rFonts w:ascii="宋体"/>
          <w:szCs w:val="21"/>
        </w:rPr>
        <w:t>)</w:t>
      </w:r>
      <w:r>
        <w:rPr>
          <w:rFonts w:hint="eastAsia" w:ascii="宋体"/>
          <w:szCs w:val="21"/>
        </w:rPr>
        <w:t>：</w:t>
      </w:r>
    </w:p>
    <w:p>
      <w:pPr>
        <w:spacing w:line="400" w:lineRule="atLeast"/>
        <w:ind w:firstLine="4200" w:firstLineChars="2000"/>
        <w:rPr>
          <w:rFonts w:ascii="宋体"/>
          <w:szCs w:val="21"/>
        </w:rPr>
      </w:pPr>
      <w:r>
        <w:rPr>
          <w:rFonts w:hint="eastAsia" w:ascii="宋体"/>
          <w:szCs w:val="21"/>
        </w:rPr>
        <w:t>法定代表人或其委托代理人（签字）：</w:t>
      </w:r>
    </w:p>
    <w:p>
      <w:pPr>
        <w:spacing w:line="400" w:lineRule="atLeast"/>
        <w:ind w:firstLine="4200" w:firstLineChars="2000"/>
        <w:rPr>
          <w:rFonts w:ascii="宋体"/>
          <w:szCs w:val="21"/>
        </w:rPr>
      </w:pPr>
      <w:r>
        <w:rPr>
          <w:rFonts w:hint="eastAsia" w:ascii="宋体"/>
          <w:szCs w:val="21"/>
        </w:rPr>
        <w:t>日期：</w:t>
      </w:r>
    </w:p>
    <w:p>
      <w:pPr>
        <w:spacing w:line="360" w:lineRule="auto"/>
        <w:ind w:firstLine="4800" w:firstLineChars="2000"/>
        <w:rPr>
          <w:rFonts w:ascii="宋体" w:hAnsi="宋体" w:cs="仿宋"/>
          <w:sz w:val="24"/>
          <w:szCs w:val="28"/>
        </w:rPr>
        <w:sectPr>
          <w:pgSz w:w="11906" w:h="16838"/>
          <w:pgMar w:top="1440" w:right="1800" w:bottom="1440" w:left="1800" w:header="851" w:footer="992" w:gutter="0"/>
          <w:pgNumType w:fmt="numberInDash"/>
          <w:cols w:space="425" w:num="1"/>
          <w:docGrid w:type="lines" w:linePitch="312" w:charSpace="0"/>
        </w:sectPr>
      </w:pPr>
    </w:p>
    <w:p>
      <w:pPr>
        <w:pStyle w:val="48"/>
      </w:pPr>
      <w:bookmarkStart w:id="59" w:name="_Toc22813"/>
      <w:r>
        <w:rPr>
          <w:rFonts w:hint="eastAsia"/>
        </w:rPr>
        <w:t>八、</w:t>
      </w:r>
      <w:r>
        <w:rPr>
          <w:rFonts w:hint="eastAsia" w:ascii="黑体" w:hAnsi="黑体"/>
        </w:rPr>
        <w:t>实施方案的详细描述</w:t>
      </w:r>
      <w:bookmarkEnd w:id="59"/>
      <w:r>
        <w:rPr>
          <w:rFonts w:hint="eastAsia" w:ascii="黑体" w:hAnsi="黑体"/>
        </w:rPr>
        <w:t>格式</w:t>
      </w:r>
    </w:p>
    <w:p>
      <w:pPr>
        <w:spacing w:line="360" w:lineRule="auto"/>
        <w:ind w:firstLine="480" w:firstLineChars="200"/>
        <w:jc w:val="left"/>
        <w:rPr>
          <w:sz w:val="24"/>
        </w:rPr>
      </w:pPr>
      <w:r>
        <w:rPr>
          <w:rFonts w:hint="eastAsia"/>
          <w:sz w:val="24"/>
        </w:rPr>
        <w:t>投标人根据招标文件“第五部分项目需求及技术要求”和企业实际情况编制切实可行的实施方案并进行详细描述，描述内容包含但不限于安装调试方案、人员配置、质量控制措施、实施周期等与项目实施和评审有关的内容。</w:t>
      </w:r>
    </w:p>
    <w:p>
      <w:pPr>
        <w:spacing w:line="360" w:lineRule="auto"/>
        <w:ind w:firstLine="480" w:firstLineChars="200"/>
        <w:jc w:val="left"/>
        <w:rPr>
          <w:rFonts w:ascii="宋体" w:hAnsi="宋体" w:cs="仿宋"/>
          <w:sz w:val="24"/>
          <w:szCs w:val="28"/>
        </w:rPr>
        <w:sectPr>
          <w:pgSz w:w="11906" w:h="16838"/>
          <w:pgMar w:top="1440" w:right="1800" w:bottom="1440" w:left="1800" w:header="851" w:footer="992" w:gutter="0"/>
          <w:pgNumType w:fmt="numberInDash"/>
          <w:cols w:space="425" w:num="1"/>
          <w:docGrid w:type="lines" w:linePitch="312" w:charSpace="0"/>
        </w:sectPr>
      </w:pPr>
      <w:r>
        <w:rPr>
          <w:rFonts w:hint="eastAsia"/>
          <w:sz w:val="24"/>
        </w:rPr>
        <w:t>对未实质性响应招标文件要求的，其投标文件将被否决。</w:t>
      </w:r>
    </w:p>
    <w:p>
      <w:pPr>
        <w:pStyle w:val="48"/>
      </w:pPr>
      <w:bookmarkStart w:id="60" w:name="_Toc2045"/>
      <w:bookmarkStart w:id="61" w:name="_Toc408844844"/>
      <w:bookmarkStart w:id="62" w:name="_Toc408845626"/>
      <w:bookmarkStart w:id="63" w:name="_Toc3086"/>
      <w:r>
        <w:rPr>
          <w:rFonts w:hint="eastAsia"/>
        </w:rPr>
        <w:t>九、法定代表人身份证明格式</w:t>
      </w:r>
      <w:bookmarkEnd w:id="60"/>
    </w:p>
    <w:p>
      <w:pPr>
        <w:jc w:val="center"/>
        <w:rPr>
          <w:rFonts w:ascii="黑体" w:hAnsi="宋体" w:eastAsia="黑体"/>
          <w:sz w:val="28"/>
          <w:szCs w:val="28"/>
        </w:rPr>
      </w:pPr>
      <w:r>
        <w:rPr>
          <w:rFonts w:hint="eastAsia" w:ascii="黑体" w:hAnsi="宋体" w:eastAsia="黑体"/>
          <w:sz w:val="28"/>
          <w:szCs w:val="28"/>
        </w:rPr>
        <w:t>法定代表人身份证明</w:t>
      </w:r>
    </w:p>
    <w:p>
      <w:pPr>
        <w:spacing w:line="460" w:lineRule="exact"/>
        <w:rPr>
          <w:rFonts w:ascii="宋体" w:hAnsi="宋体"/>
          <w:sz w:val="24"/>
        </w:rPr>
      </w:pPr>
    </w:p>
    <w:p>
      <w:pPr>
        <w:spacing w:line="460" w:lineRule="exact"/>
        <w:ind w:firstLine="420" w:firstLineChars="200"/>
        <w:rPr>
          <w:rFonts w:ascii="宋体" w:hAnsi="宋体"/>
          <w:szCs w:val="21"/>
          <w:u w:val="single"/>
        </w:rPr>
      </w:pPr>
      <w:r>
        <w:rPr>
          <w:rFonts w:hint="eastAsia" w:ascii="宋体" w:hAnsi="宋体"/>
          <w:szCs w:val="21"/>
        </w:rPr>
        <w:t>投标人名称：</w:t>
      </w:r>
    </w:p>
    <w:p>
      <w:pPr>
        <w:spacing w:line="460" w:lineRule="exact"/>
        <w:ind w:firstLine="420" w:firstLineChars="200"/>
        <w:rPr>
          <w:rFonts w:ascii="宋体" w:hAnsi="宋体"/>
          <w:szCs w:val="21"/>
          <w:u w:val="single"/>
        </w:rPr>
      </w:pPr>
      <w:r>
        <w:rPr>
          <w:rFonts w:hint="eastAsia" w:ascii="宋体" w:hAnsi="宋体"/>
          <w:szCs w:val="21"/>
        </w:rPr>
        <w:t>单位性质：</w:t>
      </w:r>
    </w:p>
    <w:p>
      <w:pPr>
        <w:spacing w:line="460" w:lineRule="exact"/>
        <w:ind w:firstLine="420" w:firstLineChars="200"/>
        <w:rPr>
          <w:rFonts w:ascii="宋体" w:hAnsi="宋体"/>
          <w:szCs w:val="21"/>
          <w:u w:val="single"/>
        </w:rPr>
      </w:pPr>
      <w:r>
        <w:rPr>
          <w:rFonts w:hint="eastAsia" w:ascii="宋体" w:hAnsi="宋体"/>
          <w:szCs w:val="21"/>
        </w:rPr>
        <w:t>地    址：</w:t>
      </w:r>
    </w:p>
    <w:p>
      <w:pPr>
        <w:spacing w:line="460" w:lineRule="exact"/>
        <w:ind w:firstLine="315" w:firstLineChars="150"/>
        <w:rPr>
          <w:rFonts w:ascii="宋体" w:hAnsi="宋体"/>
          <w:szCs w:val="21"/>
        </w:rPr>
      </w:pPr>
      <w:r>
        <w:rPr>
          <w:rFonts w:hint="eastAsia" w:ascii="宋体" w:hAnsi="宋体"/>
          <w:szCs w:val="21"/>
        </w:rPr>
        <w:t xml:space="preserve"> 成立时间：</w:t>
      </w:r>
    </w:p>
    <w:p>
      <w:pPr>
        <w:spacing w:line="460" w:lineRule="exact"/>
        <w:ind w:firstLine="420" w:firstLineChars="200"/>
        <w:rPr>
          <w:rFonts w:ascii="宋体" w:hAnsi="宋体"/>
          <w:szCs w:val="21"/>
        </w:rPr>
      </w:pPr>
      <w:r>
        <w:rPr>
          <w:rFonts w:hint="eastAsia" w:ascii="宋体" w:hAnsi="宋体"/>
          <w:szCs w:val="21"/>
        </w:rPr>
        <w:t>经营期限：</w:t>
      </w:r>
    </w:p>
    <w:p>
      <w:pPr>
        <w:spacing w:line="460" w:lineRule="exact"/>
        <w:ind w:firstLine="315" w:firstLineChars="150"/>
        <w:rPr>
          <w:rFonts w:ascii="宋体" w:hAnsi="宋体"/>
          <w:szCs w:val="21"/>
        </w:rPr>
      </w:pPr>
      <w:r>
        <w:rPr>
          <w:rFonts w:hint="eastAsia" w:ascii="宋体" w:hAnsi="宋体"/>
          <w:szCs w:val="21"/>
        </w:rPr>
        <w:t xml:space="preserve"> 姓    名：性别： 年龄：职务：系</w:t>
      </w:r>
      <w:r>
        <w:rPr>
          <w:rFonts w:hint="eastAsia" w:ascii="宋体" w:hAnsi="宋体"/>
          <w:szCs w:val="21"/>
          <w:u w:val="single"/>
        </w:rPr>
        <w:t>（投标人名称）</w:t>
      </w:r>
      <w:r>
        <w:rPr>
          <w:rFonts w:hint="eastAsia" w:ascii="宋体" w:hAnsi="宋体"/>
          <w:szCs w:val="21"/>
        </w:rPr>
        <w:t>的法定代表人。</w:t>
      </w:r>
    </w:p>
    <w:p>
      <w:pPr>
        <w:spacing w:line="460" w:lineRule="exact"/>
        <w:rPr>
          <w:rFonts w:ascii="宋体" w:hAnsi="宋体"/>
          <w:szCs w:val="21"/>
        </w:rPr>
      </w:pPr>
    </w:p>
    <w:p>
      <w:pPr>
        <w:spacing w:line="460" w:lineRule="exact"/>
        <w:ind w:firstLine="420"/>
        <w:rPr>
          <w:rFonts w:ascii="宋体" w:hAnsi="宋体"/>
          <w:szCs w:val="21"/>
        </w:rPr>
      </w:pPr>
      <w:r>
        <w:rPr>
          <w:rFonts w:hint="eastAsia" w:ascii="宋体" w:hAnsi="宋体"/>
          <w:szCs w:val="21"/>
        </w:rPr>
        <w:t>特此证明</w:t>
      </w:r>
    </w:p>
    <w:p>
      <w:pPr>
        <w:spacing w:line="460" w:lineRule="exact"/>
        <w:rPr>
          <w:rFonts w:ascii="宋体" w:hAnsi="宋体"/>
          <w:szCs w:val="21"/>
        </w:rPr>
      </w:pPr>
    </w:p>
    <w:p>
      <w:pPr>
        <w:spacing w:line="460" w:lineRule="exact"/>
        <w:ind w:firstLine="210" w:firstLineChars="100"/>
        <w:rPr>
          <w:rFonts w:ascii="宋体" w:hAnsi="宋体"/>
          <w:szCs w:val="21"/>
        </w:rPr>
      </w:pPr>
      <w:r>
        <w:rPr>
          <w:rFonts w:hint="eastAsia" w:ascii="宋体" w:hAnsi="宋体"/>
          <w:szCs w:val="21"/>
        </w:rPr>
        <w:t xml:space="preserve">                                          投标人：（盖章）</w:t>
      </w:r>
    </w:p>
    <w:p>
      <w:pPr>
        <w:spacing w:line="460" w:lineRule="exact"/>
        <w:ind w:firstLine="4410" w:firstLineChars="2100"/>
        <w:rPr>
          <w:rFonts w:ascii="宋体" w:hAnsi="宋体"/>
          <w:szCs w:val="21"/>
        </w:rPr>
      </w:pPr>
      <w:r>
        <w:rPr>
          <w:rFonts w:hint="eastAsia" w:ascii="宋体" w:hAnsi="宋体"/>
          <w:szCs w:val="21"/>
        </w:rPr>
        <w:t xml:space="preserve">  日  期：年 月日 </w:t>
      </w:r>
    </w:p>
    <w:p>
      <w:pPr>
        <w:spacing w:line="460" w:lineRule="exact"/>
        <w:rPr>
          <w:rFonts w:ascii="宋体" w:hAnsi="宋体"/>
          <w:sz w:val="24"/>
        </w:rPr>
      </w:pPr>
    </w:p>
    <w:p>
      <w:pPr>
        <w:spacing w:line="460" w:lineRule="exact"/>
        <w:rPr>
          <w:rFonts w:ascii="宋体" w:hAnsi="宋体"/>
        </w:rPr>
      </w:pPr>
      <w:r>
        <w:pict>
          <v:rect id="矩形 1" o:spid="_x0000_s1027" o:spt="1" style="position:absolute;left:0pt;margin-left:31.5pt;margin-top:28.6pt;height:187.2pt;width:3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">
            <v:path/>
            <v:fill focussize="0,0"/>
            <v:stroke/>
            <v:imagedata o:title=""/>
            <o:lock v:ext="edit"/>
            <v:textbox>
              <w:txbxContent>
                <w:p/>
                <w:p/>
                <w:p/>
                <w:p/>
                <w:p/>
                <w:p>
                  <w:pPr>
                    <w:jc w:val="center"/>
                  </w:pPr>
                  <w:r>
                    <w:rPr>
                      <w:rFonts w:hint="eastAsia"/>
                    </w:rPr>
                    <w:t>法定代表人身份证正、反面复印件粘贴处</w:t>
                  </w:r>
                </w:p>
              </w:txbxContent>
            </v:textbox>
          </v:rect>
        </w:pict>
      </w:r>
    </w:p>
    <w:bookmarkEnd w:id="61"/>
    <w:bookmarkEnd w:id="62"/>
    <w:bookmarkEnd w:id="63"/>
    <w:p>
      <w:pPr>
        <w:pStyle w:val="48"/>
      </w:pPr>
      <w:bookmarkStart w:id="64" w:name="_Toc44226037"/>
      <w:r>
        <w:rPr>
          <w:rFonts w:hint="eastAsia"/>
          <w:szCs w:val="24"/>
        </w:rPr>
        <w:br w:type="page"/>
      </w:r>
      <w:bookmarkStart w:id="65" w:name="_Toc10680"/>
      <w:r>
        <w:rPr>
          <w:rFonts w:hint="eastAsia"/>
        </w:rPr>
        <w:t>十、授权委托书格式</w:t>
      </w:r>
      <w:bookmarkEnd w:id="65"/>
    </w:p>
    <w:p>
      <w:pPr>
        <w:jc w:val="center"/>
        <w:rPr>
          <w:rFonts w:ascii="黑体" w:hAnsi="宋体" w:eastAsia="黑体"/>
          <w:sz w:val="28"/>
          <w:szCs w:val="28"/>
        </w:rPr>
      </w:pPr>
      <w:r>
        <w:rPr>
          <w:rFonts w:hint="eastAsia" w:ascii="黑体" w:hAnsi="宋体" w:eastAsia="黑体"/>
          <w:sz w:val="28"/>
          <w:szCs w:val="28"/>
        </w:rPr>
        <w:t>授权委托书</w:t>
      </w:r>
    </w:p>
    <w:p>
      <w:pPr>
        <w:jc w:val="center"/>
        <w:rPr>
          <w:rFonts w:ascii="黑体" w:hAnsi="宋体" w:eastAsia="黑体"/>
          <w:sz w:val="22"/>
          <w:szCs w:val="28"/>
        </w:rPr>
      </w:pPr>
      <w:r>
        <w:rPr>
          <w:rFonts w:hint="eastAsia" w:ascii="黑体" w:hAnsi="宋体" w:eastAsia="黑体"/>
          <w:sz w:val="22"/>
          <w:szCs w:val="28"/>
        </w:rPr>
        <w:t>(法定代表人不能参加招标时出具)</w:t>
      </w:r>
    </w:p>
    <w:p>
      <w:pPr>
        <w:spacing w:line="460" w:lineRule="exact"/>
        <w:ind w:firstLine="420"/>
        <w:rPr>
          <w:rFonts w:ascii="宋体" w:hAnsi="宋体"/>
        </w:rPr>
      </w:pPr>
    </w:p>
    <w:p>
      <w:pPr>
        <w:spacing w:line="360" w:lineRule="auto"/>
        <w:ind w:left="105" w:leftChars="50" w:firstLine="262" w:firstLineChars="125"/>
        <w:rPr>
          <w:rFonts w:ascii="宋体" w:hAns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w:t>
      </w:r>
      <w:r>
        <w:rPr>
          <w:rFonts w:hint="eastAsia" w:ascii="宋体" w:hAnsi="宋体"/>
          <w:szCs w:val="21"/>
          <w:u w:val="single"/>
        </w:rPr>
        <w:t>（姓名）</w:t>
      </w:r>
      <w:r>
        <w:rPr>
          <w:rFonts w:hint="eastAsia" w:ascii="宋体" w:hAnsi="宋体"/>
          <w:szCs w:val="21"/>
        </w:rPr>
        <w:t>为我方</w:t>
      </w:r>
      <w:r>
        <w:rPr>
          <w:rFonts w:hint="eastAsia" w:ascii="宋体"/>
          <w:szCs w:val="21"/>
        </w:rPr>
        <w:t>委托代理人</w:t>
      </w:r>
      <w:r>
        <w:rPr>
          <w:rFonts w:hint="eastAsia" w:ascii="宋体" w:hAnsi="宋体"/>
          <w:szCs w:val="21"/>
        </w:rPr>
        <w:t>，代理人根据授权，以我方名义签署、澄清、说明、补正、递交、撤回、修改</w:t>
      </w:r>
      <w:r>
        <w:rPr>
          <w:rFonts w:hint="eastAsia" w:ascii="宋体" w:hAnsi="宋体"/>
          <w:szCs w:val="21"/>
          <w:u w:val="single"/>
        </w:rPr>
        <w:t>（项目名称及编号）</w:t>
      </w:r>
      <w:r>
        <w:rPr>
          <w:rFonts w:hint="eastAsia" w:ascii="宋体" w:hAnsi="宋体"/>
          <w:szCs w:val="21"/>
        </w:rPr>
        <w:t>项目投标文件、签订合同和处理有关事宜，其法律后果由我方承担。</w:t>
      </w:r>
    </w:p>
    <w:p>
      <w:pPr>
        <w:spacing w:line="460" w:lineRule="exact"/>
        <w:ind w:firstLine="420"/>
        <w:rPr>
          <w:rFonts w:ascii="宋体" w:hAnsi="宋体"/>
          <w:szCs w:val="21"/>
        </w:rPr>
      </w:pPr>
      <w:r>
        <w:rPr>
          <w:rFonts w:hint="eastAsia" w:ascii="宋体" w:hAnsi="宋体"/>
          <w:szCs w:val="21"/>
        </w:rPr>
        <w:t>代理人无转委托权。</w:t>
      </w:r>
    </w:p>
    <w:p>
      <w:pPr>
        <w:spacing w:line="460" w:lineRule="exact"/>
        <w:ind w:firstLine="420"/>
        <w:rPr>
          <w:rFonts w:ascii="宋体"/>
          <w:szCs w:val="21"/>
        </w:rPr>
      </w:pPr>
    </w:p>
    <w:p>
      <w:pPr>
        <w:spacing w:line="460" w:lineRule="exact"/>
        <w:ind w:firstLine="420"/>
        <w:rPr>
          <w:rFonts w:ascii="宋体" w:hAnsi="宋体"/>
          <w:szCs w:val="21"/>
          <w:u w:val="single"/>
        </w:rPr>
      </w:pPr>
      <w:r>
        <w:rPr>
          <w:rFonts w:hint="eastAsia" w:ascii="宋体"/>
          <w:szCs w:val="21"/>
        </w:rPr>
        <w:t>委托代理人</w:t>
      </w:r>
      <w:r>
        <w:rPr>
          <w:rFonts w:hint="eastAsia" w:ascii="宋体" w:hAnsi="宋体"/>
          <w:szCs w:val="21"/>
        </w:rPr>
        <w:t>：</w:t>
      </w:r>
      <w:r>
        <w:rPr>
          <w:rFonts w:hint="eastAsia" w:ascii="宋体" w:hAnsi="宋体"/>
          <w:szCs w:val="21"/>
          <w:u w:val="single"/>
        </w:rPr>
        <w:t xml:space="preserve">   （签字）  </w:t>
      </w:r>
      <w:r>
        <w:rPr>
          <w:rFonts w:hint="eastAsia" w:ascii="宋体" w:hAnsi="宋体"/>
          <w:szCs w:val="21"/>
        </w:rPr>
        <w:t>性别：     年龄：</w:t>
      </w:r>
    </w:p>
    <w:p>
      <w:pPr>
        <w:spacing w:line="460" w:lineRule="exact"/>
        <w:ind w:firstLine="420"/>
        <w:rPr>
          <w:rFonts w:ascii="宋体" w:hAnsi="宋体"/>
          <w:szCs w:val="21"/>
          <w:u w:val="single"/>
        </w:rPr>
      </w:pPr>
      <w:r>
        <w:rPr>
          <w:rFonts w:hint="eastAsia" w:ascii="宋体" w:hAnsi="宋体"/>
          <w:szCs w:val="21"/>
        </w:rPr>
        <w:t>身份证号码：                        职务：</w:t>
      </w:r>
    </w:p>
    <w:p>
      <w:pPr>
        <w:spacing w:line="460" w:lineRule="exact"/>
        <w:ind w:firstLine="420"/>
        <w:rPr>
          <w:rFonts w:ascii="宋体" w:hAnsi="宋体"/>
          <w:szCs w:val="21"/>
        </w:rPr>
      </w:pPr>
    </w:p>
    <w:tbl>
      <w:tblPr>
        <w:tblStyle w:val="26"/>
        <w:tblW w:w="0" w:type="auto"/>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6480" w:type="dxa"/>
            <w:vAlign w:val="center"/>
          </w:tcPr>
          <w:p>
            <w:pPr>
              <w:spacing w:line="460" w:lineRule="exact"/>
              <w:ind w:firstLine="420"/>
              <w:jc w:val="center"/>
              <w:rPr>
                <w:rFonts w:ascii="宋体" w:hAnsi="宋体"/>
                <w:szCs w:val="21"/>
              </w:rPr>
            </w:pPr>
            <w:r>
              <w:rPr>
                <w:rFonts w:hint="eastAsia" w:ascii="宋体" w:hAnsi="宋体"/>
                <w:szCs w:val="21"/>
              </w:rPr>
              <w:t>委托代理人身份证正、反面复印件粘贴处</w:t>
            </w:r>
          </w:p>
        </w:tc>
      </w:tr>
    </w:tbl>
    <w:p>
      <w:pPr>
        <w:spacing w:line="460" w:lineRule="exact"/>
        <w:ind w:firstLine="420"/>
        <w:rPr>
          <w:rFonts w:ascii="宋体" w:hAnsi="宋体"/>
          <w:szCs w:val="21"/>
        </w:rPr>
      </w:pPr>
    </w:p>
    <w:p>
      <w:pPr>
        <w:spacing w:line="460" w:lineRule="exact"/>
        <w:ind w:firstLine="420"/>
        <w:rPr>
          <w:rFonts w:ascii="宋体" w:hAnsi="宋体"/>
          <w:szCs w:val="21"/>
        </w:rPr>
      </w:pPr>
    </w:p>
    <w:p>
      <w:pPr>
        <w:snapToGrid w:val="0"/>
        <w:spacing w:line="360" w:lineRule="auto"/>
        <w:ind w:firstLine="4200" w:firstLineChars="2000"/>
        <w:jc w:val="left"/>
        <w:rPr>
          <w:rFonts w:ascii="宋体" w:hAnsi="宋体"/>
          <w:szCs w:val="21"/>
        </w:rPr>
      </w:pPr>
      <w:r>
        <w:rPr>
          <w:rFonts w:hint="eastAsia" w:ascii="宋体" w:hAnsi="宋体"/>
          <w:szCs w:val="21"/>
        </w:rPr>
        <w:t xml:space="preserve">投标人：（盖章）  </w:t>
      </w:r>
    </w:p>
    <w:p>
      <w:pPr>
        <w:snapToGrid w:val="0"/>
        <w:spacing w:line="360" w:lineRule="auto"/>
        <w:ind w:firstLine="4200" w:firstLineChars="2000"/>
        <w:jc w:val="left"/>
        <w:rPr>
          <w:rFonts w:ascii="宋体"/>
          <w:szCs w:val="21"/>
        </w:rPr>
      </w:pPr>
      <w:r>
        <w:rPr>
          <w:rFonts w:hint="eastAsia" w:ascii="宋体"/>
          <w:szCs w:val="21"/>
        </w:rPr>
        <w:t>法定代表人：（签字）</w:t>
      </w:r>
    </w:p>
    <w:p>
      <w:pPr>
        <w:snapToGrid w:val="0"/>
        <w:spacing w:line="360" w:lineRule="auto"/>
        <w:ind w:firstLine="4200" w:firstLineChars="2000"/>
        <w:jc w:val="left"/>
        <w:rPr>
          <w:rFonts w:ascii="宋体"/>
          <w:szCs w:val="21"/>
        </w:rPr>
      </w:pPr>
      <w:r>
        <w:rPr>
          <w:rFonts w:hint="eastAsia" w:ascii="宋体"/>
          <w:szCs w:val="21"/>
        </w:rPr>
        <w:t>身份证号码：</w:t>
      </w:r>
    </w:p>
    <w:p>
      <w:pPr>
        <w:snapToGrid w:val="0"/>
        <w:spacing w:line="360" w:lineRule="auto"/>
        <w:ind w:firstLine="4200" w:firstLineChars="2000"/>
        <w:jc w:val="left"/>
        <w:rPr>
          <w:rFonts w:ascii="宋体"/>
          <w:szCs w:val="21"/>
        </w:rPr>
      </w:pPr>
      <w:r>
        <w:rPr>
          <w:rFonts w:hint="eastAsia" w:ascii="宋体"/>
          <w:szCs w:val="21"/>
        </w:rPr>
        <w:t>授权委托日期：</w:t>
      </w:r>
    </w:p>
    <w:p>
      <w:pPr>
        <w:spacing w:line="540" w:lineRule="exact"/>
        <w:ind w:firstLine="1680" w:firstLineChars="800"/>
        <w:rPr>
          <w:sz w:val="24"/>
        </w:rPr>
      </w:pPr>
      <w:r>
        <w:rPr>
          <w:rFonts w:ascii="宋体"/>
          <w:szCs w:val="21"/>
        </w:rPr>
        <w:br w:type="page"/>
      </w:r>
    </w:p>
    <w:p>
      <w:pPr>
        <w:pStyle w:val="48"/>
        <w:rPr>
          <w:rFonts w:cs="黑体"/>
        </w:rPr>
      </w:pPr>
      <w:bookmarkStart w:id="66" w:name="_Toc12583"/>
      <w:r>
        <w:rPr>
          <w:rFonts w:hint="eastAsia" w:cs="黑体"/>
        </w:rPr>
        <w:t>十一、资格证明文件</w:t>
      </w:r>
      <w:bookmarkEnd w:id="64"/>
      <w:bookmarkEnd w:id="66"/>
    </w:p>
    <w:p>
      <w:pPr>
        <w:spacing w:line="360" w:lineRule="auto"/>
        <w:ind w:firstLine="420" w:firstLineChars="200"/>
        <w:rPr>
          <w:rFonts w:ascii="宋体" w:hAnsi="宋体" w:cs="宋体"/>
          <w:bCs/>
        </w:rPr>
      </w:pPr>
      <w:r>
        <w:rPr>
          <w:rFonts w:hint="eastAsia" w:ascii="宋体" w:hAnsi="宋体" w:cs="宋体"/>
        </w:rPr>
        <w:t>1.</w:t>
      </w:r>
      <w:r>
        <w:rPr>
          <w:rFonts w:hint="eastAsia" w:ascii="宋体" w:hAnsi="宋体" w:cs="宋体"/>
          <w:bCs/>
        </w:rPr>
        <w:t>投标人加载统一社会信用代码的营业执照副本。（原件）</w:t>
      </w:r>
    </w:p>
    <w:p>
      <w:pPr>
        <w:spacing w:line="360" w:lineRule="auto"/>
        <w:ind w:firstLine="420" w:firstLineChars="200"/>
        <w:rPr>
          <w:rFonts w:ascii="宋体" w:hAnsi="宋体" w:cs="宋体"/>
          <w:bCs/>
        </w:rPr>
      </w:pPr>
      <w:r>
        <w:rPr>
          <w:rFonts w:hint="eastAsia" w:ascii="宋体" w:hAnsi="宋体" w:cs="宋体"/>
          <w:bCs/>
        </w:rPr>
        <w:t>2</w:t>
      </w:r>
      <w:r>
        <w:rPr>
          <w:rFonts w:ascii="宋体" w:hAnsi="宋体" w:cs="宋体"/>
          <w:bCs/>
        </w:rPr>
        <w:t>.</w:t>
      </w:r>
      <w:r>
        <w:rPr>
          <w:rFonts w:hint="eastAsia" w:ascii="宋体" w:hAnsi="宋体" w:cs="宋体"/>
          <w:bCs/>
        </w:rPr>
        <w:t>法定代表人证明或法定代表人授权书。（原件）</w:t>
      </w:r>
    </w:p>
    <w:p>
      <w:pPr>
        <w:spacing w:line="360" w:lineRule="auto"/>
        <w:ind w:firstLine="420" w:firstLineChars="200"/>
        <w:rPr>
          <w:rFonts w:ascii="宋体" w:hAnsi="宋体" w:cs="宋体"/>
          <w:bCs/>
        </w:rPr>
      </w:pPr>
      <w:r>
        <w:rPr>
          <w:rFonts w:hint="eastAsia" w:ascii="宋体" w:hAnsi="宋体" w:cs="宋体"/>
          <w:bCs/>
        </w:rPr>
        <w:t>3.投标人法定代表人或委托代理人身份证。（原件）</w:t>
      </w:r>
    </w:p>
    <w:p>
      <w:pPr>
        <w:spacing w:line="360" w:lineRule="auto"/>
        <w:ind w:firstLine="420" w:firstLineChars="200"/>
        <w:rPr>
          <w:rFonts w:ascii="宋体" w:hAnsi="宋体" w:cs="宋体"/>
          <w:bCs/>
        </w:rPr>
      </w:pPr>
      <w:bookmarkStart w:id="67" w:name="_Hlk57386115"/>
      <w:r>
        <w:rPr>
          <w:rFonts w:hint="eastAsia" w:ascii="宋体" w:hAnsi="宋体" w:cs="宋体"/>
          <w:bCs/>
        </w:rPr>
        <w:t>4</w:t>
      </w:r>
      <w:r>
        <w:rPr>
          <w:rFonts w:ascii="宋体" w:hAnsi="宋体" w:cs="宋体"/>
          <w:bCs/>
        </w:rPr>
        <w:t>.</w:t>
      </w:r>
      <w:r>
        <w:rPr>
          <w:rFonts w:hint="eastAsia" w:ascii="宋体" w:hAnsi="宋体"/>
          <w:szCs w:val="21"/>
        </w:rPr>
        <w:t>委托代理人参加投标的，提供委托代理人与投标人单位签订的劳动合同（复印件加盖公章）以及委托代理人在投标人单位自2022年11月以来连续6个月缴纳社保记录证明（原件或加盖投标人公章社保网站查询截图）</w:t>
      </w:r>
      <w:r>
        <w:rPr>
          <w:rFonts w:hint="eastAsia" w:ascii="宋体" w:hAnsi="宋体" w:cs="宋体"/>
          <w:bCs/>
        </w:rPr>
        <w:t>。</w:t>
      </w:r>
    </w:p>
    <w:bookmarkEnd w:id="67"/>
    <w:p>
      <w:pPr>
        <w:spacing w:line="360" w:lineRule="auto"/>
        <w:ind w:firstLine="420" w:firstLineChars="200"/>
        <w:rPr>
          <w:rFonts w:ascii="宋体" w:hAnsi="宋体" w:cs="宋体"/>
          <w:bCs/>
        </w:rPr>
      </w:pPr>
      <w:r>
        <w:rPr>
          <w:rFonts w:hint="eastAsia" w:ascii="宋体" w:hAnsi="宋体" w:cs="宋体"/>
          <w:bCs/>
        </w:rPr>
        <w:t>5</w:t>
      </w:r>
      <w:r>
        <w:rPr>
          <w:rFonts w:ascii="宋体" w:hAnsi="宋体" w:cs="宋体"/>
          <w:bCs/>
        </w:rPr>
        <w:t>.</w:t>
      </w:r>
      <w:r>
        <w:rPr>
          <w:rFonts w:hint="eastAsia" w:ascii="宋体" w:hAnsi="宋体" w:cs="宋体"/>
          <w:bCs/>
        </w:rPr>
        <w:t>投标保证金银行回执单。（原件或加盖投标人公章的复印件）</w:t>
      </w:r>
    </w:p>
    <w:p>
      <w:pPr>
        <w:spacing w:line="360" w:lineRule="auto"/>
        <w:ind w:firstLine="420" w:firstLineChars="200"/>
        <w:rPr>
          <w:rFonts w:ascii="宋体" w:hAnsi="宋体" w:cs="宋体"/>
          <w:bCs/>
        </w:rPr>
      </w:pPr>
      <w:r>
        <w:rPr>
          <w:rFonts w:hint="eastAsia" w:ascii="宋体" w:hAnsi="宋体" w:cs="宋体"/>
          <w:bCs/>
        </w:rPr>
        <w:t>6.投标人承诺书</w:t>
      </w:r>
      <w:r>
        <w:rPr>
          <w:rFonts w:ascii="宋体" w:hAnsi="宋体" w:cs="宋体"/>
          <w:bCs/>
        </w:rPr>
        <w:t>。</w:t>
      </w:r>
      <w:r>
        <w:rPr>
          <w:rFonts w:hint="eastAsia" w:ascii="宋体" w:hAnsi="宋体" w:cs="宋体"/>
          <w:bCs/>
        </w:rPr>
        <w:t>（原件）</w:t>
      </w:r>
    </w:p>
    <w:p>
      <w:pPr>
        <w:spacing w:line="360" w:lineRule="auto"/>
        <w:ind w:firstLine="420" w:firstLineChars="200"/>
        <w:rPr>
          <w:rFonts w:ascii="宋体" w:hAnsi="宋体" w:cs="宋体"/>
          <w:bCs/>
        </w:rPr>
      </w:pPr>
      <w:r>
        <w:rPr>
          <w:rFonts w:hint="eastAsia" w:ascii="宋体" w:hAnsi="宋体" w:cs="宋体"/>
          <w:bCs/>
        </w:rPr>
        <w:t>7.单位负责人为同一人或者存在控股、管理关系的不同单位，不得同时参加本项目投标，否则由最先报名单位取得投标资格，以“国家企业信用信息公示系统和天眼查”的查询结果为准。（加盖投标人公章的网站截图复印件）</w:t>
      </w:r>
    </w:p>
    <w:p>
      <w:pPr>
        <w:spacing w:line="360" w:lineRule="auto"/>
        <w:ind w:firstLine="420" w:firstLineChars="200"/>
        <w:rPr>
          <w:rFonts w:ascii="宋体" w:hAnsi="宋体" w:cs="宋体"/>
          <w:bCs/>
        </w:rPr>
      </w:pPr>
      <w:r>
        <w:rPr>
          <w:rFonts w:hint="eastAsia" w:ascii="宋体" w:hAnsi="宋体" w:cs="宋体"/>
          <w:bCs/>
        </w:rPr>
        <w:t>8.投标人无违反有关的国家法律、法规和条例及违反商业道德的劣迹及其他不良记录(列入黑名单、经营异常或严重违法失信行为信息记录的)，自</w:t>
      </w:r>
      <w:r>
        <w:rPr>
          <w:rFonts w:hint="eastAsia" w:ascii="宋体" w:hAnsi="宋体" w:cs="宋体"/>
        </w:rPr>
        <w:t>2020年05月01日</w:t>
      </w:r>
      <w:r>
        <w:rPr>
          <w:rFonts w:hint="eastAsia" w:ascii="宋体" w:hAnsi="宋体" w:cs="宋体"/>
          <w:bCs/>
        </w:rPr>
        <w:t>以来在“国家企业信用信息公示系统、天眼查、中国政府采购网和信用中国”查询结果。（提供加盖投标人公章的网站截图复印件）。</w:t>
      </w:r>
    </w:p>
    <w:p>
      <w:pPr>
        <w:spacing w:line="360" w:lineRule="auto"/>
        <w:ind w:firstLine="420" w:firstLineChars="200"/>
        <w:rPr>
          <w:rFonts w:ascii="宋体" w:hAnsi="宋体" w:cs="宋体"/>
          <w:bCs/>
        </w:rPr>
      </w:pPr>
      <w:r>
        <w:rPr>
          <w:rFonts w:hint="eastAsia" w:ascii="宋体" w:hAnsi="宋体" w:cs="宋体"/>
          <w:bCs/>
        </w:rPr>
        <w:t>9</w:t>
      </w:r>
      <w:r>
        <w:rPr>
          <w:rFonts w:ascii="宋体" w:hAnsi="宋体" w:cs="宋体"/>
          <w:bCs/>
        </w:rPr>
        <w:t>.</w:t>
      </w:r>
      <w:r>
        <w:rPr>
          <w:rFonts w:hint="eastAsia" w:ascii="宋体" w:hAnsi="宋体" w:cs="宋体"/>
          <w:bCs/>
        </w:rPr>
        <w:t>投标人自</w:t>
      </w:r>
      <w:r>
        <w:rPr>
          <w:rFonts w:hint="eastAsia" w:ascii="宋体" w:hAnsi="宋体" w:cs="宋体"/>
        </w:rPr>
        <w:t>2020年05月01日</w:t>
      </w:r>
      <w:r>
        <w:rPr>
          <w:rFonts w:hint="eastAsia" w:ascii="宋体" w:hAnsi="宋体" w:cs="宋体"/>
          <w:bCs/>
        </w:rPr>
        <w:t>至今无行贿犯罪行为记录查询结果（以中国裁判文书网的查询结果为准）（提供加盖投标人公章的网站截图复印件）。</w:t>
      </w:r>
    </w:p>
    <w:p>
      <w:pPr>
        <w:spacing w:line="360" w:lineRule="auto"/>
        <w:jc w:val="center"/>
        <w:rPr>
          <w:rFonts w:ascii="宋体" w:hAnsi="宋体"/>
          <w:bCs/>
          <w:szCs w:val="21"/>
        </w:rPr>
      </w:pPr>
      <w:r>
        <w:rPr>
          <w:rFonts w:hint="eastAsia" w:ascii="宋体" w:hAnsi="宋体"/>
          <w:bCs/>
          <w:szCs w:val="21"/>
        </w:rPr>
        <w:t xml:space="preserve">   10.投标人未被列入烟草行业及所属单位行贿行为供应商名单范围（还包括行贿行为供应</w:t>
      </w:r>
    </w:p>
    <w:p>
      <w:pPr>
        <w:widowControl/>
        <w:jc w:val="left"/>
        <w:rPr>
          <w:rFonts w:ascii="宋体" w:hAnsi="宋体"/>
          <w:bCs/>
          <w:szCs w:val="21"/>
        </w:rPr>
      </w:pPr>
      <w:r>
        <w:rPr>
          <w:rFonts w:hint="eastAsia" w:ascii="宋体" w:hAnsi="宋体"/>
          <w:bCs/>
          <w:szCs w:val="21"/>
        </w:rPr>
        <w:t>商名单中的人员担任法定代表人、主要负责人或实际控制人的其他企业）。</w:t>
      </w:r>
    </w:p>
    <w:p>
      <w:pPr>
        <w:spacing w:line="360" w:lineRule="auto"/>
        <w:ind w:firstLine="315" w:firstLineChars="150"/>
        <w:rPr>
          <w:rFonts w:ascii="宋体" w:hAnsi="宋体"/>
          <w:bCs/>
          <w:szCs w:val="21"/>
        </w:rPr>
      </w:pPr>
      <w:r>
        <w:rPr>
          <w:rFonts w:hint="eastAsia" w:ascii="宋体" w:hAnsi="宋体"/>
          <w:bCs/>
          <w:szCs w:val="21"/>
        </w:rPr>
        <w:t>11.投标人未被列入山东中烟不良行为记录名单。</w:t>
      </w:r>
    </w:p>
    <w:p>
      <w:pPr>
        <w:spacing w:line="360" w:lineRule="auto"/>
        <w:rPr>
          <w:rFonts w:ascii="宋体" w:hAnsi="宋体"/>
          <w:b/>
          <w:sz w:val="24"/>
        </w:rPr>
      </w:pPr>
    </w:p>
    <w:p>
      <w:pPr>
        <w:snapToGrid w:val="0"/>
        <w:spacing w:line="360" w:lineRule="auto"/>
        <w:ind w:firstLine="420" w:firstLineChars="200"/>
        <w:rPr>
          <w:rFonts w:ascii="黑体" w:hAnsi="黑体" w:eastAsia="黑体"/>
        </w:rPr>
      </w:pPr>
      <w:r>
        <w:rPr>
          <w:rFonts w:hint="eastAsia" w:ascii="黑体" w:hAnsi="黑体" w:eastAsia="黑体"/>
        </w:rPr>
        <w:t>说明：资格证明文件为投标人的必备资格条件，以上资格证明文件须按照要求提供并密封在一个密封袋内（第2-3项无需密封，开标现场查验，第7至9项无需单独提供，装订在投标文件中即可，10-11项由代理公司按照招标公告中“投标人资格要求”查询投标企业无需提供），在开标现场与投标文件同时递交，迟交的资格证明文件将不予受理。</w:t>
      </w:r>
    </w:p>
    <w:p>
      <w:pPr>
        <w:snapToGrid w:val="0"/>
        <w:spacing w:line="360" w:lineRule="auto"/>
        <w:ind w:firstLine="420" w:firstLineChars="200"/>
        <w:rPr>
          <w:rFonts w:ascii="黑体" w:hAnsi="黑体" w:eastAsia="黑体"/>
        </w:rPr>
      </w:pPr>
      <w:r>
        <w:rPr>
          <w:rFonts w:hint="eastAsia" w:ascii="黑体" w:hAnsi="黑体" w:eastAsia="黑体"/>
        </w:rPr>
        <w:t>在投标文件中必须有对应的加盖投标人公章的复印件。未按照要求提供或提供不全的，资格审查不合格，按无效投标处理。</w:t>
      </w:r>
      <w:r>
        <w:rPr>
          <w:rFonts w:ascii="黑体" w:hAnsi="黑体" w:eastAsia="黑体"/>
        </w:rPr>
        <w:br w:type="page"/>
      </w:r>
    </w:p>
    <w:p>
      <w:pPr>
        <w:pStyle w:val="48"/>
      </w:pPr>
      <w:bookmarkStart w:id="68" w:name="_Toc132966102"/>
      <w:bookmarkStart w:id="69" w:name="_Toc11749"/>
      <w:bookmarkStart w:id="70" w:name="_Toc527489871"/>
      <w:bookmarkStart w:id="71" w:name="_Toc488999307"/>
      <w:r>
        <w:rPr>
          <w:rFonts w:cs="黑体"/>
        </w:rPr>
        <w:t>十</w:t>
      </w:r>
      <w:r>
        <w:rPr>
          <w:rFonts w:hint="eastAsia" w:cs="黑体"/>
        </w:rPr>
        <w:t>二、招标文件要求的其他内容</w:t>
      </w:r>
      <w:bookmarkEnd w:id="68"/>
      <w:bookmarkEnd w:id="69"/>
    </w:p>
    <w:p>
      <w:pPr>
        <w:tabs>
          <w:tab w:val="left" w:pos="360"/>
          <w:tab w:val="left" w:pos="5940"/>
        </w:tabs>
        <w:ind w:firstLine="480" w:firstLineChars="200"/>
        <w:contextualSpacing/>
        <w:rPr>
          <w:rFonts w:ascii="宋体" w:hAnsi="宋体"/>
          <w:sz w:val="24"/>
        </w:rPr>
      </w:pPr>
    </w:p>
    <w:p>
      <w:pPr>
        <w:tabs>
          <w:tab w:val="left" w:pos="360"/>
          <w:tab w:val="left" w:pos="5940"/>
        </w:tabs>
        <w:spacing w:line="360" w:lineRule="auto"/>
        <w:ind w:firstLine="420" w:firstLineChars="200"/>
        <w:rPr>
          <w:rFonts w:ascii="宋体" w:hAnsi="宋体"/>
          <w:szCs w:val="21"/>
        </w:rPr>
      </w:pPr>
      <w:r>
        <w:rPr>
          <w:rFonts w:hint="eastAsia" w:ascii="宋体" w:hAnsi="宋体"/>
          <w:szCs w:val="21"/>
        </w:rPr>
        <w:t>本部分内容未提供表格及格式，各投标人根据要求自行设计。</w:t>
      </w:r>
    </w:p>
    <w:p>
      <w:pPr>
        <w:widowControl/>
        <w:jc w:val="left"/>
        <w:rPr>
          <w:rFonts w:ascii="宋体" w:eastAsia="黑体"/>
          <w:bCs/>
          <w:sz w:val="28"/>
          <w:szCs w:val="21"/>
        </w:rPr>
      </w:pPr>
    </w:p>
    <w:p>
      <w:pPr>
        <w:widowControl/>
        <w:jc w:val="left"/>
        <w:rPr>
          <w:rFonts w:ascii="宋体" w:eastAsia="黑体"/>
          <w:bCs/>
          <w:sz w:val="28"/>
          <w:szCs w:val="21"/>
        </w:rPr>
      </w:pPr>
      <w:r>
        <w:rPr>
          <w:rFonts w:ascii="宋体"/>
          <w:szCs w:val="21"/>
        </w:rPr>
        <w:br w:type="page"/>
      </w:r>
    </w:p>
    <w:bookmarkEnd w:id="70"/>
    <w:bookmarkEnd w:id="71"/>
    <w:p>
      <w:pPr>
        <w:pStyle w:val="48"/>
        <w:rPr>
          <w:rFonts w:ascii="宋体"/>
          <w:szCs w:val="21"/>
        </w:rPr>
      </w:pPr>
      <w:bookmarkStart w:id="72" w:name="_Toc483659296"/>
      <w:bookmarkStart w:id="73" w:name="_Toc13242"/>
      <w:bookmarkStart w:id="74" w:name="_Toc479235393"/>
      <w:bookmarkStart w:id="75" w:name="_Toc479250002"/>
      <w:bookmarkStart w:id="76" w:name="_Toc488999308"/>
      <w:bookmarkStart w:id="77" w:name="_Toc478672212"/>
      <w:bookmarkStart w:id="78" w:name="_Toc527489872"/>
      <w:bookmarkStart w:id="79" w:name="_Toc107777346"/>
      <w:bookmarkStart w:id="80" w:name="_Toc478720877"/>
      <w:r>
        <w:rPr>
          <w:rFonts w:hint="eastAsia"/>
          <w:kern w:val="0"/>
        </w:rPr>
        <w:t>十三、投标保证金退款及开票信息表</w:t>
      </w:r>
      <w:bookmarkEnd w:id="72"/>
      <w:bookmarkEnd w:id="73"/>
      <w:bookmarkEnd w:id="74"/>
      <w:bookmarkEnd w:id="75"/>
      <w:bookmarkEnd w:id="76"/>
      <w:bookmarkEnd w:id="77"/>
      <w:bookmarkEnd w:id="78"/>
      <w:bookmarkEnd w:id="79"/>
      <w:bookmarkEnd w:id="8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334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投标单位名称</w:t>
            </w:r>
          </w:p>
        </w:tc>
        <w:tc>
          <w:tcPr>
            <w:tcW w:w="3438" w:type="dxa"/>
            <w:shd w:val="clear" w:color="auto" w:fill="auto"/>
            <w:vAlign w:val="center"/>
          </w:tcPr>
          <w:p>
            <w:pPr>
              <w:rPr>
                <w:sz w:val="18"/>
                <w:szCs w:val="18"/>
              </w:rPr>
            </w:pPr>
          </w:p>
        </w:tc>
        <w:tc>
          <w:tcPr>
            <w:tcW w:w="2970" w:type="dxa"/>
            <w:shd w:val="clear" w:color="auto" w:fill="auto"/>
            <w:vAlign w:val="center"/>
          </w:tcPr>
          <w:p>
            <w:pPr>
              <w:rPr>
                <w:sz w:val="18"/>
                <w:szCs w:val="18"/>
              </w:rPr>
            </w:pPr>
            <w:r>
              <w:rPr>
                <w:rFonts w:hint="eastAsia"/>
                <w:sz w:val="18"/>
                <w:szCs w:val="18"/>
              </w:rPr>
              <w:t>填写投标单位全称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投标单位是否为一般纳税人</w:t>
            </w:r>
          </w:p>
        </w:tc>
        <w:tc>
          <w:tcPr>
            <w:tcW w:w="3438" w:type="dxa"/>
            <w:shd w:val="clear" w:color="auto" w:fill="auto"/>
            <w:vAlign w:val="center"/>
          </w:tcPr>
          <w:p>
            <w:pPr>
              <w:rPr>
                <w:sz w:val="18"/>
                <w:szCs w:val="18"/>
              </w:rPr>
            </w:pPr>
          </w:p>
        </w:tc>
        <w:tc>
          <w:tcPr>
            <w:tcW w:w="2970" w:type="dxa"/>
            <w:shd w:val="clear" w:color="auto" w:fill="auto"/>
            <w:vAlign w:val="center"/>
          </w:tcPr>
          <w:p>
            <w:pPr>
              <w:rPr>
                <w:sz w:val="18"/>
                <w:szCs w:val="18"/>
              </w:rPr>
            </w:pPr>
            <w:r>
              <w:rPr>
                <w:rFonts w:hint="eastAsia"/>
                <w:sz w:val="18"/>
                <w:szCs w:val="18"/>
              </w:rPr>
              <w:t>一般纳税人填写：是</w:t>
            </w:r>
          </w:p>
          <w:p>
            <w:pPr>
              <w:rPr>
                <w:sz w:val="18"/>
                <w:szCs w:val="18"/>
              </w:rPr>
            </w:pPr>
            <w:r>
              <w:rPr>
                <w:rFonts w:hint="eastAsia"/>
                <w:sz w:val="18"/>
                <w:szCs w:val="18"/>
              </w:rPr>
              <w:t>不是一般纳税人填写：否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投标单位税号</w:t>
            </w:r>
          </w:p>
        </w:tc>
        <w:tc>
          <w:tcPr>
            <w:tcW w:w="3438" w:type="dxa"/>
            <w:shd w:val="clear" w:color="auto" w:fill="auto"/>
            <w:vAlign w:val="center"/>
          </w:tcPr>
          <w:p>
            <w:pPr>
              <w:rPr>
                <w:sz w:val="18"/>
                <w:szCs w:val="18"/>
              </w:rPr>
            </w:pPr>
          </w:p>
        </w:tc>
        <w:tc>
          <w:tcPr>
            <w:tcW w:w="2970" w:type="dxa"/>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投标单位开户行名称</w:t>
            </w:r>
          </w:p>
        </w:tc>
        <w:tc>
          <w:tcPr>
            <w:tcW w:w="3438" w:type="dxa"/>
            <w:shd w:val="clear" w:color="auto" w:fill="auto"/>
            <w:vAlign w:val="center"/>
          </w:tcPr>
          <w:p>
            <w:pPr>
              <w:rPr>
                <w:sz w:val="18"/>
                <w:szCs w:val="18"/>
              </w:rPr>
            </w:pPr>
          </w:p>
        </w:tc>
        <w:tc>
          <w:tcPr>
            <w:tcW w:w="2970" w:type="dxa"/>
            <w:vMerge w:val="restart"/>
            <w:shd w:val="clear" w:color="auto" w:fill="auto"/>
            <w:vAlign w:val="center"/>
          </w:tcPr>
          <w:p>
            <w:pPr>
              <w:rPr>
                <w:sz w:val="18"/>
                <w:szCs w:val="18"/>
              </w:rPr>
            </w:pPr>
            <w:r>
              <w:rPr>
                <w:rFonts w:hint="eastAsia"/>
                <w:sz w:val="18"/>
                <w:szCs w:val="18"/>
              </w:rPr>
              <w:t>必须与汇出投标保证金的基本账户信息一致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银行账号</w:t>
            </w:r>
          </w:p>
        </w:tc>
        <w:tc>
          <w:tcPr>
            <w:tcW w:w="3438" w:type="dxa"/>
            <w:shd w:val="clear" w:color="auto" w:fill="auto"/>
            <w:vAlign w:val="center"/>
          </w:tcPr>
          <w:p>
            <w:pPr>
              <w:rPr>
                <w:sz w:val="18"/>
                <w:szCs w:val="18"/>
              </w:rPr>
            </w:pPr>
          </w:p>
        </w:tc>
        <w:tc>
          <w:tcPr>
            <w:tcW w:w="2970"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投标单位地址</w:t>
            </w:r>
          </w:p>
          <w:p>
            <w:pPr>
              <w:jc w:val="center"/>
              <w:rPr>
                <w:sz w:val="18"/>
                <w:szCs w:val="18"/>
              </w:rPr>
            </w:pPr>
            <w:r>
              <w:rPr>
                <w:rFonts w:hint="eastAsia"/>
                <w:sz w:val="18"/>
                <w:szCs w:val="18"/>
              </w:rPr>
              <w:t>投标单位电话</w:t>
            </w:r>
          </w:p>
        </w:tc>
        <w:tc>
          <w:tcPr>
            <w:tcW w:w="3438" w:type="dxa"/>
            <w:shd w:val="clear" w:color="auto" w:fill="auto"/>
            <w:vAlign w:val="center"/>
          </w:tcPr>
          <w:p>
            <w:pPr>
              <w:rPr>
                <w:sz w:val="18"/>
                <w:szCs w:val="18"/>
              </w:rPr>
            </w:pPr>
          </w:p>
        </w:tc>
        <w:tc>
          <w:tcPr>
            <w:tcW w:w="2970" w:type="dxa"/>
            <w:shd w:val="clear" w:color="auto" w:fill="auto"/>
            <w:vAlign w:val="center"/>
          </w:tcPr>
          <w:p>
            <w:pPr>
              <w:rPr>
                <w:sz w:val="18"/>
                <w:szCs w:val="18"/>
              </w:rPr>
            </w:pPr>
            <w:r>
              <w:rPr>
                <w:rFonts w:hint="eastAsia"/>
                <w:sz w:val="18"/>
                <w:szCs w:val="18"/>
              </w:rPr>
              <w:t>必须与税务登记的地址和电话号码一致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实交投标保证金金额</w:t>
            </w:r>
          </w:p>
        </w:tc>
        <w:tc>
          <w:tcPr>
            <w:tcW w:w="3438" w:type="dxa"/>
            <w:shd w:val="clear" w:color="auto" w:fill="auto"/>
            <w:vAlign w:val="center"/>
          </w:tcPr>
          <w:p>
            <w:pPr>
              <w:rPr>
                <w:sz w:val="18"/>
                <w:szCs w:val="18"/>
              </w:rPr>
            </w:pPr>
          </w:p>
        </w:tc>
        <w:tc>
          <w:tcPr>
            <w:tcW w:w="2970" w:type="dxa"/>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2464" w:type="dxa"/>
            <w:shd w:val="clear" w:color="auto" w:fill="auto"/>
            <w:vAlign w:val="center"/>
          </w:tcPr>
          <w:p>
            <w:pPr>
              <w:jc w:val="center"/>
              <w:rPr>
                <w:sz w:val="18"/>
                <w:szCs w:val="18"/>
              </w:rPr>
            </w:pPr>
            <w:r>
              <w:rPr>
                <w:rFonts w:hint="eastAsia"/>
                <w:sz w:val="18"/>
                <w:szCs w:val="18"/>
              </w:rPr>
              <w:t>投标保证金汇款日期</w:t>
            </w:r>
          </w:p>
        </w:tc>
        <w:tc>
          <w:tcPr>
            <w:tcW w:w="3438" w:type="dxa"/>
            <w:shd w:val="clear" w:color="auto" w:fill="auto"/>
            <w:vAlign w:val="center"/>
          </w:tcPr>
          <w:p>
            <w:pPr>
              <w:ind w:firstLine="1260" w:firstLineChars="700"/>
              <w:rPr>
                <w:sz w:val="18"/>
                <w:szCs w:val="18"/>
              </w:rPr>
            </w:pPr>
            <w:r>
              <w:rPr>
                <w:rFonts w:hint="eastAsia"/>
                <w:sz w:val="18"/>
                <w:szCs w:val="18"/>
              </w:rPr>
              <w:t>年月日</w:t>
            </w:r>
          </w:p>
        </w:tc>
        <w:tc>
          <w:tcPr>
            <w:tcW w:w="2970" w:type="dxa"/>
            <w:shd w:val="clear" w:color="auto" w:fill="auto"/>
            <w:vAlign w:val="center"/>
          </w:tcPr>
          <w:p>
            <w:pPr>
              <w:rPr>
                <w:sz w:val="18"/>
                <w:szCs w:val="18"/>
              </w:rPr>
            </w:pPr>
          </w:p>
        </w:tc>
      </w:tr>
    </w:tbl>
    <w:p>
      <w:pPr>
        <w:tabs>
          <w:tab w:val="left" w:pos="360"/>
          <w:tab w:val="left" w:pos="5940"/>
        </w:tabs>
        <w:ind w:firstLine="600" w:firstLineChars="250"/>
        <w:contextualSpacing/>
        <w:rPr>
          <w:rFonts w:ascii="宋体" w:hAnsi="宋体"/>
          <w:sz w:val="24"/>
        </w:rPr>
      </w:pPr>
    </w:p>
    <w:p>
      <w:pPr>
        <w:pStyle w:val="48"/>
      </w:pPr>
      <w:r>
        <w:rPr>
          <w:rFonts w:ascii="宋体"/>
          <w:szCs w:val="21"/>
        </w:rPr>
        <w:br w:type="page"/>
      </w:r>
      <w:bookmarkStart w:id="81" w:name="_Toc524596456"/>
      <w:bookmarkStart w:id="82" w:name="_Toc107777347"/>
      <w:bookmarkStart w:id="83" w:name="_Toc524530087"/>
      <w:bookmarkStart w:id="84" w:name="_Toc527489873"/>
      <w:bookmarkStart w:id="85" w:name="_Toc524621410"/>
      <w:bookmarkStart w:id="86" w:name="_Toc524465620"/>
      <w:bookmarkStart w:id="87" w:name="_Toc51159793"/>
      <w:bookmarkStart w:id="88" w:name="_Toc20099"/>
      <w:bookmarkStart w:id="89" w:name="_Toc132966104"/>
      <w:bookmarkStart w:id="90" w:name="_Hlk51167720"/>
      <w:r>
        <w:rPr>
          <w:rFonts w:hint="eastAsia"/>
        </w:rPr>
        <w:t>十四、投标人承诺书格式</w:t>
      </w:r>
      <w:bookmarkEnd w:id="81"/>
      <w:bookmarkEnd w:id="82"/>
      <w:bookmarkEnd w:id="83"/>
      <w:bookmarkEnd w:id="84"/>
      <w:bookmarkEnd w:id="85"/>
      <w:bookmarkEnd w:id="86"/>
      <w:bookmarkEnd w:id="87"/>
      <w:bookmarkEnd w:id="88"/>
      <w:bookmarkEnd w:id="89"/>
    </w:p>
    <w:p>
      <w:pPr>
        <w:spacing w:line="360" w:lineRule="auto"/>
        <w:ind w:firstLine="420" w:firstLineChars="150"/>
        <w:jc w:val="center"/>
        <w:rPr>
          <w:rFonts w:eastAsia="黑体"/>
          <w:sz w:val="28"/>
        </w:rPr>
      </w:pPr>
      <w:r>
        <w:rPr>
          <w:rFonts w:hint="eastAsia" w:eastAsia="黑体"/>
          <w:sz w:val="28"/>
        </w:rPr>
        <w:t>投标人承诺书</w:t>
      </w:r>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山东中烟工业有限责任公司青州卷烟厂：</w:t>
      </w:r>
    </w:p>
    <w:p>
      <w:pPr>
        <w:snapToGrid w:val="0"/>
        <w:spacing w:line="360" w:lineRule="auto"/>
        <w:ind w:firstLine="420" w:firstLineChars="200"/>
        <w:rPr>
          <w:rFonts w:ascii="宋体" w:hAnsi="宋体" w:cs="宋体"/>
        </w:rPr>
      </w:pPr>
      <w:r>
        <w:rPr>
          <w:rFonts w:hint="eastAsia" w:ascii="宋体" w:hAnsi="宋体" w:cs="宋体"/>
        </w:rPr>
        <w:t>我公司作为      项目（招标人编号：      ）的投标人，对以下事项做出郑重承诺：</w:t>
      </w:r>
    </w:p>
    <w:p>
      <w:pPr>
        <w:widowControl/>
        <w:snapToGrid w:val="0"/>
        <w:spacing w:line="360" w:lineRule="auto"/>
        <w:ind w:firstLine="422" w:firstLineChars="200"/>
        <w:jc w:val="left"/>
        <w:rPr>
          <w:rFonts w:ascii="宋体" w:hAnsi="宋体" w:cs="宋体"/>
          <w:b/>
        </w:rPr>
      </w:pPr>
      <w:r>
        <w:rPr>
          <w:rFonts w:hint="eastAsia" w:ascii="宋体" w:hAnsi="宋体" w:cs="宋体"/>
          <w:b/>
        </w:rPr>
        <w:t>一、无重大违法违规行为记录承诺</w:t>
      </w:r>
    </w:p>
    <w:p>
      <w:pPr>
        <w:snapToGrid w:val="0"/>
        <w:spacing w:line="360" w:lineRule="auto"/>
        <w:ind w:firstLine="420" w:firstLineChars="200"/>
        <w:rPr>
          <w:rFonts w:ascii="宋体" w:hAnsi="宋体"/>
        </w:rPr>
      </w:pPr>
      <w:r>
        <w:rPr>
          <w:rFonts w:hint="eastAsia" w:ascii="宋体" w:hAnsi="宋体"/>
        </w:rPr>
        <w:t>我公司自参加本项目招标活动近三年来，在经营活动中无任何重大违法违规行为，无不良记录。</w:t>
      </w:r>
    </w:p>
    <w:p>
      <w:pPr>
        <w:widowControl/>
        <w:snapToGrid w:val="0"/>
        <w:spacing w:line="360" w:lineRule="auto"/>
        <w:ind w:firstLine="422" w:firstLineChars="200"/>
        <w:jc w:val="left"/>
        <w:rPr>
          <w:rFonts w:ascii="宋体" w:hAnsi="宋体" w:cs="宋体"/>
          <w:b/>
        </w:rPr>
      </w:pPr>
      <w:r>
        <w:rPr>
          <w:rFonts w:hint="eastAsia" w:ascii="宋体" w:hAnsi="宋体" w:cs="宋体"/>
          <w:b/>
        </w:rPr>
        <w:t>二、无其他违规行为记录承诺</w:t>
      </w:r>
    </w:p>
    <w:p>
      <w:pPr>
        <w:snapToGrid w:val="0"/>
        <w:spacing w:line="360" w:lineRule="auto"/>
        <w:ind w:firstLine="420" w:firstLineChars="200"/>
        <w:rPr>
          <w:rFonts w:ascii="宋体" w:hAnsi="宋体"/>
        </w:rPr>
      </w:pPr>
      <w:r>
        <w:rPr>
          <w:rFonts w:hint="eastAsia" w:ascii="宋体" w:hAnsi="宋体"/>
        </w:rPr>
        <w:t>我公司自参加本项目招标活动近三年来，无违反有关的国家法律、法规和条例及违反商业道德的劣迹及其他不良记录（列入黑名单、经营异常或严重违法失信行为信息记录）。</w:t>
      </w:r>
    </w:p>
    <w:p>
      <w:pPr>
        <w:widowControl/>
        <w:snapToGrid w:val="0"/>
        <w:spacing w:line="360" w:lineRule="auto"/>
        <w:ind w:firstLine="422" w:firstLineChars="200"/>
        <w:jc w:val="left"/>
        <w:rPr>
          <w:rFonts w:ascii="宋体" w:hAnsi="宋体" w:cs="宋体"/>
          <w:b/>
        </w:rPr>
      </w:pPr>
      <w:r>
        <w:rPr>
          <w:rFonts w:hint="eastAsia" w:ascii="宋体" w:hAnsi="宋体" w:cs="宋体"/>
          <w:b/>
        </w:rPr>
        <w:t>三、无不良行为承诺</w:t>
      </w:r>
    </w:p>
    <w:p>
      <w:pPr>
        <w:snapToGrid w:val="0"/>
        <w:spacing w:line="360" w:lineRule="auto"/>
        <w:ind w:firstLine="420" w:firstLineChars="200"/>
        <w:rPr>
          <w:rFonts w:ascii="宋体" w:hAnsi="宋体"/>
        </w:rPr>
      </w:pPr>
      <w:r>
        <w:rPr>
          <w:rFonts w:hint="eastAsia" w:ascii="宋体" w:hAnsi="宋体" w:cs="宋体"/>
        </w:rPr>
        <w:t>我公司严格执行国家、烟草行业招标投标有关法律规定。</w:t>
      </w:r>
      <w:r>
        <w:rPr>
          <w:rFonts w:hint="eastAsia" w:ascii="宋体" w:hAnsi="宋体"/>
        </w:rPr>
        <w:t>我公司如提供虚假材料谋取中标、成交，采取不正当手段诋毁、排挤其他供应商，与采购人、其他供应商或者招标代理机构恶意串通，向招标代理机构行贿或者提供其他不正当利益，拒绝有关部门监督检查或者提供虚假情况等不良行为，同意被招标人纳入山东中烟不良行为名单并承诺自该项目开标之日起1年内不再参加山东中烟组织的所有采购活动。</w:t>
      </w:r>
    </w:p>
    <w:p>
      <w:pPr>
        <w:widowControl/>
        <w:snapToGrid w:val="0"/>
        <w:spacing w:line="360" w:lineRule="auto"/>
        <w:ind w:firstLine="422" w:firstLineChars="200"/>
        <w:jc w:val="left"/>
        <w:rPr>
          <w:rFonts w:ascii="宋体" w:hAnsi="宋体" w:cs="宋体"/>
          <w:b/>
        </w:rPr>
      </w:pPr>
      <w:r>
        <w:rPr>
          <w:rFonts w:hint="eastAsia" w:ascii="宋体" w:hAnsi="宋体" w:cs="宋体"/>
          <w:b/>
        </w:rPr>
        <w:t>四、廉洁承诺</w:t>
      </w:r>
    </w:p>
    <w:p>
      <w:pPr>
        <w:snapToGrid w:val="0"/>
        <w:spacing w:line="360" w:lineRule="auto"/>
        <w:ind w:firstLine="420" w:firstLineChars="200"/>
        <w:rPr>
          <w:rFonts w:ascii="宋体" w:hAnsi="宋体"/>
        </w:rPr>
      </w:pPr>
      <w:r>
        <w:rPr>
          <w:rFonts w:hint="eastAsia" w:ascii="宋体" w:hAnsi="宋体"/>
        </w:rPr>
        <w:t>我公司承诺：在招标人组织招标活动中，我公司将严格遵守国家、行业招标投标有关法律规定，廉洁自律，不赠送礼品、礼金、有价证券、贵重物品、好处费、感谢费及其他不正当利益，不在本公司报销任何应由对方单位或其工作人员个人承担的费用。我公司将严格履行上述承诺，如有违反，我公司愿承担相应的经济与法律责任，并同意被招标人纳入山东中烟行贿行为供应商名单并承诺自该项目开标之日起1年内不再参加山东中烟组织的所有采购活动。</w:t>
      </w:r>
    </w:p>
    <w:p>
      <w:pPr>
        <w:widowControl/>
        <w:snapToGrid w:val="0"/>
        <w:spacing w:line="360" w:lineRule="auto"/>
        <w:ind w:firstLine="422" w:firstLineChars="200"/>
        <w:jc w:val="left"/>
        <w:rPr>
          <w:rFonts w:ascii="宋体" w:hAnsi="宋体" w:cs="宋体"/>
          <w:b/>
        </w:rPr>
      </w:pPr>
      <w:r>
        <w:rPr>
          <w:rFonts w:hint="eastAsia" w:ascii="宋体" w:hAnsi="宋体" w:cs="宋体"/>
          <w:b/>
        </w:rPr>
        <w:t>五、履行合同承诺</w:t>
      </w:r>
    </w:p>
    <w:p>
      <w:pPr>
        <w:snapToGrid w:val="0"/>
        <w:spacing w:line="360" w:lineRule="auto"/>
        <w:ind w:firstLine="420" w:firstLineChars="200"/>
        <w:rPr>
          <w:rFonts w:ascii="宋体" w:hAnsi="宋体" w:cs="宋体"/>
          <w:bCs/>
        </w:rPr>
      </w:pPr>
      <w:r>
        <w:rPr>
          <w:rFonts w:hint="eastAsia" w:ascii="宋体" w:hAnsi="宋体" w:cs="宋体"/>
        </w:rPr>
        <w:t>我公司承诺：在招标人组织的招标活动中，如我公司中标，严格执行符合国家规定的增值税税率。如国家税率发生调整，按调整后的税率执行；在招标人组织的招标活动中，如我公司中标，将严格按照中标价格履行合同。如因我公司原因未履行合同，我公司愿承担相应的经济与法律责任。</w:t>
      </w:r>
    </w:p>
    <w:p>
      <w:pPr>
        <w:widowControl/>
        <w:snapToGrid w:val="0"/>
        <w:spacing w:line="360" w:lineRule="auto"/>
        <w:ind w:firstLine="422" w:firstLineChars="200"/>
        <w:jc w:val="left"/>
        <w:rPr>
          <w:rFonts w:ascii="宋体" w:hAnsi="宋体" w:cs="宋体"/>
          <w:b/>
        </w:rPr>
      </w:pPr>
      <w:r>
        <w:rPr>
          <w:rFonts w:hint="eastAsia" w:ascii="宋体" w:hAnsi="宋体" w:cs="宋体"/>
          <w:b/>
        </w:rPr>
        <w:t>本承诺书自签字盖章之日起生效。</w:t>
      </w:r>
    </w:p>
    <w:p>
      <w:pPr>
        <w:widowControl/>
        <w:snapToGrid w:val="0"/>
        <w:spacing w:line="360" w:lineRule="auto"/>
        <w:ind w:firstLine="3578" w:firstLineChars="1704"/>
        <w:jc w:val="left"/>
        <w:rPr>
          <w:rFonts w:ascii="宋体" w:hAnsi="宋体" w:cs="宋体"/>
        </w:rPr>
      </w:pPr>
    </w:p>
    <w:p>
      <w:pPr>
        <w:widowControl/>
        <w:snapToGrid w:val="0"/>
        <w:spacing w:line="360" w:lineRule="auto"/>
        <w:ind w:firstLine="3578" w:firstLineChars="1704"/>
        <w:jc w:val="left"/>
        <w:rPr>
          <w:rFonts w:ascii="宋体" w:hAnsi="宋体" w:cs="宋体"/>
        </w:rPr>
      </w:pPr>
      <w:r>
        <w:rPr>
          <w:rFonts w:hint="eastAsia" w:ascii="宋体" w:hAnsi="宋体" w:cs="宋体"/>
        </w:rPr>
        <w:t xml:space="preserve">投标人（盖章）：               </w:t>
      </w:r>
    </w:p>
    <w:p>
      <w:pPr>
        <w:widowControl/>
        <w:snapToGrid w:val="0"/>
        <w:spacing w:line="360" w:lineRule="auto"/>
        <w:ind w:firstLine="3578" w:firstLineChars="1704"/>
        <w:jc w:val="left"/>
        <w:rPr>
          <w:rFonts w:ascii="宋体" w:hAnsi="宋体" w:cs="宋体"/>
        </w:rPr>
      </w:pPr>
      <w:r>
        <w:rPr>
          <w:rFonts w:hint="eastAsia" w:ascii="宋体" w:hAnsi="宋体" w:cs="宋体"/>
        </w:rPr>
        <w:t>法定代表人或委托代理人（签字）：</w:t>
      </w:r>
    </w:p>
    <w:p>
      <w:pPr>
        <w:widowControl/>
        <w:snapToGrid w:val="0"/>
        <w:spacing w:line="360" w:lineRule="auto"/>
        <w:ind w:firstLine="3578" w:firstLineChars="1704"/>
        <w:jc w:val="left"/>
        <w:rPr>
          <w:rFonts w:ascii="宋体" w:hAnsi="宋体" w:cs="宋体"/>
        </w:rPr>
      </w:pPr>
      <w:r>
        <w:rPr>
          <w:rFonts w:hint="eastAsia" w:ascii="宋体" w:hAnsi="宋体" w:cs="宋体"/>
        </w:rPr>
        <w:t xml:space="preserve">             年    月    日</w:t>
      </w:r>
    </w:p>
    <w:p>
      <w:pPr>
        <w:snapToGrid w:val="0"/>
        <w:spacing w:line="360" w:lineRule="auto"/>
        <w:jc w:val="left"/>
      </w:pPr>
      <w:r>
        <w:rPr>
          <w:rFonts w:hint="eastAsia" w:ascii="宋体" w:hAnsi="宋体"/>
          <w:b/>
        </w:rPr>
        <w:t>备注：除与投标文件装订在一起之外，另外单独准备一份于投标现场与资格证明文件一起递交。</w:t>
      </w:r>
    </w:p>
    <w:p>
      <w:pPr>
        <w:spacing w:line="360" w:lineRule="auto"/>
        <w:jc w:val="left"/>
      </w:pPr>
    </w:p>
    <w:bookmarkEnd w:id="90"/>
    <w:p>
      <w:pPr>
        <w:pStyle w:val="48"/>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方正兰亭超细黑简体">
    <w:altName w:val="@方正舒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imSun,Bold">
    <w:altName w:val="华文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w:t>
    </w:r>
    <w:r>
      <w:t xml:space="preserve"> 8 -</w:t>
    </w:r>
    <w:r>
      <w:fldChar w:fldCharType="end"/>
    </w:r>
  </w:p>
  <w:p>
    <w:pPr>
      <w:pStyle w:val="18"/>
      <w:jc w:val="center"/>
    </w:pPr>
    <w:r>
      <w:rPr>
        <w:rFonts w:hint="eastAsia"/>
      </w:rPr>
      <w:drawing>
        <wp:inline distT="0" distB="0" distL="0" distR="0">
          <wp:extent cx="5267325" cy="390525"/>
          <wp:effectExtent l="0" t="0" r="9525" b="9525"/>
          <wp:docPr id="2" name="图片 2" descr="index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ndex_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67325" cy="390525"/>
                  </a:xfrm>
                  <a:prstGeom prst="rect">
                    <a:avLst/>
                  </a:prstGeom>
                  <a:noFill/>
                  <a:ln>
                    <a:noFill/>
                  </a:ln>
                </pic:spPr>
              </pic:pic>
            </a:graphicData>
          </a:graphic>
        </wp:inline>
      </w:drawing>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szCs w:val="21"/>
      </w:rPr>
      <w:t>山东中烟工业有限责任公司青州卷烟</w:t>
    </w:r>
    <w:r>
      <w:rPr>
        <w:rFonts w:hint="eastAsia" w:ascii="宋体" w:hAnsi="宋体" w:cs="宋体"/>
        <w:szCs w:val="21"/>
      </w:rPr>
      <w:t>厂滤棒搭口胶集中制冷装置维修</w:t>
    </w:r>
    <w:r>
      <w:rPr>
        <w:rFonts w:hint="eastAsia"/>
      </w:rPr>
      <w:t>项目（二次）</w:t>
    </w:r>
    <w:r>
      <w:rPr>
        <w:rFonts w:hint="eastAsia" w:ascii="宋体" w:hAnsi="宋体" w:cs="仿宋"/>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92247"/>
    <w:multiLevelType w:val="multilevel"/>
    <w:tmpl w:val="6A092247"/>
    <w:lvl w:ilvl="0" w:tentative="0">
      <w:start w:val="1"/>
      <w:numFmt w:val="upperLetter"/>
      <w:suff w:val="nothing"/>
      <w:lvlText w:val="%1"/>
      <w:lvlJc w:val="left"/>
      <w:pPr>
        <w:ind w:left="0" w:firstLine="0"/>
      </w:pPr>
    </w:lvl>
    <w:lvl w:ilvl="1" w:tentative="0">
      <w:start w:val="1"/>
      <w:numFmt w:val="decimal"/>
      <w:pStyle w:val="68"/>
      <w:suff w:val="nothing"/>
      <w:lvlText w:val="表 %1.%2　"/>
      <w:lvlJc w:val="left"/>
      <w:pPr>
        <w:ind w:left="2836" w:firstLine="0"/>
      </w:pPr>
      <w:rPr>
        <w:rFonts w:hint="eastAsia" w:ascii="黑体" w:hAnsi="黑体" w:eastAsia="黑体"/>
        <w:lang w:val="en-US"/>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wODY5M2M5ZDJiMzc3NjZkMGQyYzk5YTliZWE3NTkifQ=="/>
  </w:docVars>
  <w:rsids>
    <w:rsidRoot w:val="00594767"/>
    <w:rsid w:val="00002C11"/>
    <w:rsid w:val="000070A2"/>
    <w:rsid w:val="000079F1"/>
    <w:rsid w:val="000100D0"/>
    <w:rsid w:val="000114D6"/>
    <w:rsid w:val="000127D5"/>
    <w:rsid w:val="000153D6"/>
    <w:rsid w:val="0002202E"/>
    <w:rsid w:val="000225B8"/>
    <w:rsid w:val="00025F72"/>
    <w:rsid w:val="00030079"/>
    <w:rsid w:val="000328B5"/>
    <w:rsid w:val="0003322E"/>
    <w:rsid w:val="00033FC4"/>
    <w:rsid w:val="00035596"/>
    <w:rsid w:val="00040652"/>
    <w:rsid w:val="000417DA"/>
    <w:rsid w:val="000568BE"/>
    <w:rsid w:val="00061D01"/>
    <w:rsid w:val="000664FB"/>
    <w:rsid w:val="00066914"/>
    <w:rsid w:val="0006769B"/>
    <w:rsid w:val="0006789B"/>
    <w:rsid w:val="00070E6D"/>
    <w:rsid w:val="00072FB8"/>
    <w:rsid w:val="0007759F"/>
    <w:rsid w:val="00080646"/>
    <w:rsid w:val="00080BE9"/>
    <w:rsid w:val="00097D2B"/>
    <w:rsid w:val="000A1C8C"/>
    <w:rsid w:val="000A2BB1"/>
    <w:rsid w:val="000B3AA0"/>
    <w:rsid w:val="000B52D5"/>
    <w:rsid w:val="000C51D6"/>
    <w:rsid w:val="000C73F3"/>
    <w:rsid w:val="000D0F35"/>
    <w:rsid w:val="000D1334"/>
    <w:rsid w:val="000D191E"/>
    <w:rsid w:val="000D1E6B"/>
    <w:rsid w:val="000D208E"/>
    <w:rsid w:val="000D20C7"/>
    <w:rsid w:val="000D2B7C"/>
    <w:rsid w:val="000D51DE"/>
    <w:rsid w:val="000E1273"/>
    <w:rsid w:val="000E7ECA"/>
    <w:rsid w:val="000F33A1"/>
    <w:rsid w:val="00101D09"/>
    <w:rsid w:val="001039A3"/>
    <w:rsid w:val="001042FF"/>
    <w:rsid w:val="00104A7B"/>
    <w:rsid w:val="0010636C"/>
    <w:rsid w:val="00110B57"/>
    <w:rsid w:val="00112F09"/>
    <w:rsid w:val="00112FC7"/>
    <w:rsid w:val="00117456"/>
    <w:rsid w:val="00133A97"/>
    <w:rsid w:val="00135338"/>
    <w:rsid w:val="00144818"/>
    <w:rsid w:val="00144A0A"/>
    <w:rsid w:val="00154A27"/>
    <w:rsid w:val="0015639E"/>
    <w:rsid w:val="001625FD"/>
    <w:rsid w:val="00164DC3"/>
    <w:rsid w:val="00172291"/>
    <w:rsid w:val="00172DD5"/>
    <w:rsid w:val="00173950"/>
    <w:rsid w:val="00174354"/>
    <w:rsid w:val="001806B4"/>
    <w:rsid w:val="00183286"/>
    <w:rsid w:val="00183D82"/>
    <w:rsid w:val="00186CE7"/>
    <w:rsid w:val="00192E78"/>
    <w:rsid w:val="001A3D9D"/>
    <w:rsid w:val="001A5695"/>
    <w:rsid w:val="001A793F"/>
    <w:rsid w:val="001B095F"/>
    <w:rsid w:val="001B1E20"/>
    <w:rsid w:val="001B4353"/>
    <w:rsid w:val="001B7C6E"/>
    <w:rsid w:val="001B7DDE"/>
    <w:rsid w:val="001E1FE5"/>
    <w:rsid w:val="001E290F"/>
    <w:rsid w:val="001E6B29"/>
    <w:rsid w:val="001F2B6A"/>
    <w:rsid w:val="00200FB3"/>
    <w:rsid w:val="0020136F"/>
    <w:rsid w:val="00202EB1"/>
    <w:rsid w:val="0021221B"/>
    <w:rsid w:val="00217FC8"/>
    <w:rsid w:val="002249A8"/>
    <w:rsid w:val="0023199C"/>
    <w:rsid w:val="00240A38"/>
    <w:rsid w:val="0024291F"/>
    <w:rsid w:val="002539A3"/>
    <w:rsid w:val="002542DC"/>
    <w:rsid w:val="002652B6"/>
    <w:rsid w:val="00267A02"/>
    <w:rsid w:val="002765EC"/>
    <w:rsid w:val="0028583F"/>
    <w:rsid w:val="002A422E"/>
    <w:rsid w:val="002A4ADB"/>
    <w:rsid w:val="002A57BB"/>
    <w:rsid w:val="002A7500"/>
    <w:rsid w:val="002A7C5A"/>
    <w:rsid w:val="002B4C44"/>
    <w:rsid w:val="002D0FD9"/>
    <w:rsid w:val="002D79C7"/>
    <w:rsid w:val="002E0044"/>
    <w:rsid w:val="002E059D"/>
    <w:rsid w:val="002E3D5E"/>
    <w:rsid w:val="002F2803"/>
    <w:rsid w:val="002F593A"/>
    <w:rsid w:val="002F6ED0"/>
    <w:rsid w:val="00302E31"/>
    <w:rsid w:val="00302FB2"/>
    <w:rsid w:val="00321D0E"/>
    <w:rsid w:val="003241E1"/>
    <w:rsid w:val="00325BBC"/>
    <w:rsid w:val="00325E9C"/>
    <w:rsid w:val="00327F11"/>
    <w:rsid w:val="003320EC"/>
    <w:rsid w:val="00347DBB"/>
    <w:rsid w:val="00356D34"/>
    <w:rsid w:val="003574E4"/>
    <w:rsid w:val="00357ABB"/>
    <w:rsid w:val="00361E40"/>
    <w:rsid w:val="003637ED"/>
    <w:rsid w:val="00372769"/>
    <w:rsid w:val="00373D72"/>
    <w:rsid w:val="00390791"/>
    <w:rsid w:val="00391502"/>
    <w:rsid w:val="00393610"/>
    <w:rsid w:val="00397371"/>
    <w:rsid w:val="003A01B4"/>
    <w:rsid w:val="003A1861"/>
    <w:rsid w:val="003A5A45"/>
    <w:rsid w:val="003A61C4"/>
    <w:rsid w:val="003B03F9"/>
    <w:rsid w:val="003B6448"/>
    <w:rsid w:val="003B66D6"/>
    <w:rsid w:val="003C154F"/>
    <w:rsid w:val="003C29B9"/>
    <w:rsid w:val="003D3D34"/>
    <w:rsid w:val="003D410E"/>
    <w:rsid w:val="003D79FB"/>
    <w:rsid w:val="003E3FE2"/>
    <w:rsid w:val="003E65AD"/>
    <w:rsid w:val="003F6C75"/>
    <w:rsid w:val="00400D11"/>
    <w:rsid w:val="00407171"/>
    <w:rsid w:val="0042087F"/>
    <w:rsid w:val="004228E3"/>
    <w:rsid w:val="004253A5"/>
    <w:rsid w:val="00426401"/>
    <w:rsid w:val="004320C1"/>
    <w:rsid w:val="004336C3"/>
    <w:rsid w:val="004423EF"/>
    <w:rsid w:val="004438E7"/>
    <w:rsid w:val="00444A2E"/>
    <w:rsid w:val="00452467"/>
    <w:rsid w:val="00454937"/>
    <w:rsid w:val="00461434"/>
    <w:rsid w:val="004640C8"/>
    <w:rsid w:val="00475FE1"/>
    <w:rsid w:val="00476D90"/>
    <w:rsid w:val="00485E6F"/>
    <w:rsid w:val="0049136E"/>
    <w:rsid w:val="00491942"/>
    <w:rsid w:val="00491C32"/>
    <w:rsid w:val="004A13B9"/>
    <w:rsid w:val="004A2BD9"/>
    <w:rsid w:val="004A607A"/>
    <w:rsid w:val="004A6379"/>
    <w:rsid w:val="004B389E"/>
    <w:rsid w:val="004B6B00"/>
    <w:rsid w:val="004B6B85"/>
    <w:rsid w:val="004B77BC"/>
    <w:rsid w:val="004B7F83"/>
    <w:rsid w:val="004C5205"/>
    <w:rsid w:val="004C6ADC"/>
    <w:rsid w:val="004C768C"/>
    <w:rsid w:val="004D7B3B"/>
    <w:rsid w:val="004F1801"/>
    <w:rsid w:val="004F1B65"/>
    <w:rsid w:val="004F5068"/>
    <w:rsid w:val="004F52DA"/>
    <w:rsid w:val="005005FA"/>
    <w:rsid w:val="0050063C"/>
    <w:rsid w:val="00503967"/>
    <w:rsid w:val="00515D0F"/>
    <w:rsid w:val="00523869"/>
    <w:rsid w:val="00526913"/>
    <w:rsid w:val="0052770D"/>
    <w:rsid w:val="005324C1"/>
    <w:rsid w:val="0053285F"/>
    <w:rsid w:val="005406A8"/>
    <w:rsid w:val="00541D80"/>
    <w:rsid w:val="0056705F"/>
    <w:rsid w:val="005712F5"/>
    <w:rsid w:val="005747EA"/>
    <w:rsid w:val="0057576D"/>
    <w:rsid w:val="00583277"/>
    <w:rsid w:val="005903B6"/>
    <w:rsid w:val="00593ACF"/>
    <w:rsid w:val="00594767"/>
    <w:rsid w:val="005A5516"/>
    <w:rsid w:val="005A7979"/>
    <w:rsid w:val="005A7F06"/>
    <w:rsid w:val="005B0D52"/>
    <w:rsid w:val="005B515B"/>
    <w:rsid w:val="005B6F74"/>
    <w:rsid w:val="005C56D2"/>
    <w:rsid w:val="005D1C36"/>
    <w:rsid w:val="005D5761"/>
    <w:rsid w:val="005D6B0D"/>
    <w:rsid w:val="005E24F4"/>
    <w:rsid w:val="005F729C"/>
    <w:rsid w:val="0060796C"/>
    <w:rsid w:val="00617B84"/>
    <w:rsid w:val="00621F74"/>
    <w:rsid w:val="0062287C"/>
    <w:rsid w:val="006234BD"/>
    <w:rsid w:val="006245A4"/>
    <w:rsid w:val="00624E62"/>
    <w:rsid w:val="00626EA9"/>
    <w:rsid w:val="00630B6B"/>
    <w:rsid w:val="00630CDF"/>
    <w:rsid w:val="00641175"/>
    <w:rsid w:val="00643547"/>
    <w:rsid w:val="0064532D"/>
    <w:rsid w:val="00645529"/>
    <w:rsid w:val="006477C8"/>
    <w:rsid w:val="006536C9"/>
    <w:rsid w:val="006546E5"/>
    <w:rsid w:val="00655239"/>
    <w:rsid w:val="00655697"/>
    <w:rsid w:val="00655D49"/>
    <w:rsid w:val="006574C9"/>
    <w:rsid w:val="00670D56"/>
    <w:rsid w:val="00672872"/>
    <w:rsid w:val="0067530B"/>
    <w:rsid w:val="006772E9"/>
    <w:rsid w:val="0068105C"/>
    <w:rsid w:val="006824DC"/>
    <w:rsid w:val="00685502"/>
    <w:rsid w:val="0068561B"/>
    <w:rsid w:val="00687027"/>
    <w:rsid w:val="00690490"/>
    <w:rsid w:val="006909EE"/>
    <w:rsid w:val="0069567B"/>
    <w:rsid w:val="006A1E82"/>
    <w:rsid w:val="006A4DC5"/>
    <w:rsid w:val="006B1733"/>
    <w:rsid w:val="006B67A5"/>
    <w:rsid w:val="006C15A4"/>
    <w:rsid w:val="006C2582"/>
    <w:rsid w:val="006C44AE"/>
    <w:rsid w:val="006D0246"/>
    <w:rsid w:val="006D1168"/>
    <w:rsid w:val="006D2C20"/>
    <w:rsid w:val="006D40AB"/>
    <w:rsid w:val="006D4C7F"/>
    <w:rsid w:val="006D5626"/>
    <w:rsid w:val="006D79AB"/>
    <w:rsid w:val="006D7F29"/>
    <w:rsid w:val="006E0750"/>
    <w:rsid w:val="006E2973"/>
    <w:rsid w:val="006E3CDF"/>
    <w:rsid w:val="006E4092"/>
    <w:rsid w:val="006E6865"/>
    <w:rsid w:val="006F4C1F"/>
    <w:rsid w:val="006F4ED3"/>
    <w:rsid w:val="006F648D"/>
    <w:rsid w:val="007002D9"/>
    <w:rsid w:val="007009EA"/>
    <w:rsid w:val="00701D0F"/>
    <w:rsid w:val="00701FF8"/>
    <w:rsid w:val="007039D3"/>
    <w:rsid w:val="00714786"/>
    <w:rsid w:val="007147B9"/>
    <w:rsid w:val="00715471"/>
    <w:rsid w:val="00716FBE"/>
    <w:rsid w:val="00717EFE"/>
    <w:rsid w:val="0072680B"/>
    <w:rsid w:val="007304CC"/>
    <w:rsid w:val="00732025"/>
    <w:rsid w:val="00733063"/>
    <w:rsid w:val="00734941"/>
    <w:rsid w:val="007421FD"/>
    <w:rsid w:val="00750A7D"/>
    <w:rsid w:val="007516B0"/>
    <w:rsid w:val="0075522A"/>
    <w:rsid w:val="007633AC"/>
    <w:rsid w:val="007653F9"/>
    <w:rsid w:val="007720A4"/>
    <w:rsid w:val="00772A57"/>
    <w:rsid w:val="00775F8A"/>
    <w:rsid w:val="007774D3"/>
    <w:rsid w:val="00777A48"/>
    <w:rsid w:val="00777E64"/>
    <w:rsid w:val="00780F5E"/>
    <w:rsid w:val="007821B1"/>
    <w:rsid w:val="00785057"/>
    <w:rsid w:val="00787F5E"/>
    <w:rsid w:val="00791568"/>
    <w:rsid w:val="007937B1"/>
    <w:rsid w:val="007A1140"/>
    <w:rsid w:val="007A538D"/>
    <w:rsid w:val="007B11BC"/>
    <w:rsid w:val="007B50D0"/>
    <w:rsid w:val="007C2DA6"/>
    <w:rsid w:val="007C5AF8"/>
    <w:rsid w:val="007D0596"/>
    <w:rsid w:val="007D12A0"/>
    <w:rsid w:val="007D156F"/>
    <w:rsid w:val="007D550A"/>
    <w:rsid w:val="007D623B"/>
    <w:rsid w:val="007E3385"/>
    <w:rsid w:val="007F09B3"/>
    <w:rsid w:val="007F16BA"/>
    <w:rsid w:val="007F5586"/>
    <w:rsid w:val="00804B4C"/>
    <w:rsid w:val="0081680E"/>
    <w:rsid w:val="00826171"/>
    <w:rsid w:val="008340BC"/>
    <w:rsid w:val="00836EB6"/>
    <w:rsid w:val="00843702"/>
    <w:rsid w:val="00843BD2"/>
    <w:rsid w:val="00845AFC"/>
    <w:rsid w:val="00845D7F"/>
    <w:rsid w:val="00850BFA"/>
    <w:rsid w:val="00853B35"/>
    <w:rsid w:val="00854BCD"/>
    <w:rsid w:val="00854D41"/>
    <w:rsid w:val="008643CA"/>
    <w:rsid w:val="00864B47"/>
    <w:rsid w:val="00865358"/>
    <w:rsid w:val="008804E0"/>
    <w:rsid w:val="00882960"/>
    <w:rsid w:val="008850CB"/>
    <w:rsid w:val="00885F84"/>
    <w:rsid w:val="00895819"/>
    <w:rsid w:val="008A0705"/>
    <w:rsid w:val="008A6099"/>
    <w:rsid w:val="008B09FF"/>
    <w:rsid w:val="008B14C2"/>
    <w:rsid w:val="008B2FF0"/>
    <w:rsid w:val="008C38F2"/>
    <w:rsid w:val="008C70A2"/>
    <w:rsid w:val="008D3129"/>
    <w:rsid w:val="008D4354"/>
    <w:rsid w:val="008D486F"/>
    <w:rsid w:val="008E0B5B"/>
    <w:rsid w:val="008E2911"/>
    <w:rsid w:val="008E2D81"/>
    <w:rsid w:val="008E31E4"/>
    <w:rsid w:val="008F0058"/>
    <w:rsid w:val="008F1F5A"/>
    <w:rsid w:val="008F6554"/>
    <w:rsid w:val="008F7243"/>
    <w:rsid w:val="00903F26"/>
    <w:rsid w:val="00905C37"/>
    <w:rsid w:val="00907BB2"/>
    <w:rsid w:val="00910C22"/>
    <w:rsid w:val="00915A17"/>
    <w:rsid w:val="009239B6"/>
    <w:rsid w:val="00925B5A"/>
    <w:rsid w:val="00931CE3"/>
    <w:rsid w:val="00932280"/>
    <w:rsid w:val="009337DF"/>
    <w:rsid w:val="0093384E"/>
    <w:rsid w:val="00934D3B"/>
    <w:rsid w:val="00935B78"/>
    <w:rsid w:val="0093787C"/>
    <w:rsid w:val="00937F98"/>
    <w:rsid w:val="009404EC"/>
    <w:rsid w:val="00946D12"/>
    <w:rsid w:val="009505A1"/>
    <w:rsid w:val="00951944"/>
    <w:rsid w:val="0095355E"/>
    <w:rsid w:val="0096217C"/>
    <w:rsid w:val="00970B16"/>
    <w:rsid w:val="00973419"/>
    <w:rsid w:val="00974499"/>
    <w:rsid w:val="009760CC"/>
    <w:rsid w:val="00977142"/>
    <w:rsid w:val="00984410"/>
    <w:rsid w:val="0099369A"/>
    <w:rsid w:val="0099752A"/>
    <w:rsid w:val="00997D6E"/>
    <w:rsid w:val="009A0623"/>
    <w:rsid w:val="009A402C"/>
    <w:rsid w:val="009A72B8"/>
    <w:rsid w:val="009B2A1D"/>
    <w:rsid w:val="009C1546"/>
    <w:rsid w:val="009D101A"/>
    <w:rsid w:val="009D24A9"/>
    <w:rsid w:val="009D57C6"/>
    <w:rsid w:val="009E130B"/>
    <w:rsid w:val="009E39E3"/>
    <w:rsid w:val="009E5283"/>
    <w:rsid w:val="009F7BE9"/>
    <w:rsid w:val="00A01EC8"/>
    <w:rsid w:val="00A06948"/>
    <w:rsid w:val="00A072C7"/>
    <w:rsid w:val="00A11372"/>
    <w:rsid w:val="00A33A7F"/>
    <w:rsid w:val="00A407A7"/>
    <w:rsid w:val="00A46C70"/>
    <w:rsid w:val="00A506BF"/>
    <w:rsid w:val="00A50777"/>
    <w:rsid w:val="00A5422F"/>
    <w:rsid w:val="00A54D2A"/>
    <w:rsid w:val="00A55566"/>
    <w:rsid w:val="00A74428"/>
    <w:rsid w:val="00A90648"/>
    <w:rsid w:val="00A92F3C"/>
    <w:rsid w:val="00A95FCA"/>
    <w:rsid w:val="00AA1B4A"/>
    <w:rsid w:val="00AA2208"/>
    <w:rsid w:val="00AB1406"/>
    <w:rsid w:val="00AB1CF0"/>
    <w:rsid w:val="00AB5A88"/>
    <w:rsid w:val="00AB6F88"/>
    <w:rsid w:val="00AC0F4D"/>
    <w:rsid w:val="00AC1098"/>
    <w:rsid w:val="00AC475A"/>
    <w:rsid w:val="00AC6F5F"/>
    <w:rsid w:val="00AD09C4"/>
    <w:rsid w:val="00AD677B"/>
    <w:rsid w:val="00AE07F4"/>
    <w:rsid w:val="00AE2906"/>
    <w:rsid w:val="00AE5D74"/>
    <w:rsid w:val="00AE6542"/>
    <w:rsid w:val="00AE75F4"/>
    <w:rsid w:val="00AF0296"/>
    <w:rsid w:val="00B008AC"/>
    <w:rsid w:val="00B00923"/>
    <w:rsid w:val="00B02C5A"/>
    <w:rsid w:val="00B10097"/>
    <w:rsid w:val="00B106F9"/>
    <w:rsid w:val="00B20F5A"/>
    <w:rsid w:val="00B30A0D"/>
    <w:rsid w:val="00B33129"/>
    <w:rsid w:val="00B369A4"/>
    <w:rsid w:val="00B4594A"/>
    <w:rsid w:val="00B56452"/>
    <w:rsid w:val="00B61B79"/>
    <w:rsid w:val="00B61FC6"/>
    <w:rsid w:val="00B64644"/>
    <w:rsid w:val="00B655CA"/>
    <w:rsid w:val="00B73F61"/>
    <w:rsid w:val="00B7472A"/>
    <w:rsid w:val="00B75329"/>
    <w:rsid w:val="00B810F0"/>
    <w:rsid w:val="00B8351E"/>
    <w:rsid w:val="00B92AB0"/>
    <w:rsid w:val="00BA1521"/>
    <w:rsid w:val="00BA599E"/>
    <w:rsid w:val="00BA73A0"/>
    <w:rsid w:val="00BB362D"/>
    <w:rsid w:val="00BB427B"/>
    <w:rsid w:val="00BB73F3"/>
    <w:rsid w:val="00BC1C5B"/>
    <w:rsid w:val="00BC20AA"/>
    <w:rsid w:val="00BC7F74"/>
    <w:rsid w:val="00BD37A5"/>
    <w:rsid w:val="00BE223D"/>
    <w:rsid w:val="00BF1CF6"/>
    <w:rsid w:val="00BF5F51"/>
    <w:rsid w:val="00C00850"/>
    <w:rsid w:val="00C0246E"/>
    <w:rsid w:val="00C064ED"/>
    <w:rsid w:val="00C117CF"/>
    <w:rsid w:val="00C13C1C"/>
    <w:rsid w:val="00C156A0"/>
    <w:rsid w:val="00C15748"/>
    <w:rsid w:val="00C15DD4"/>
    <w:rsid w:val="00C23072"/>
    <w:rsid w:val="00C30B1A"/>
    <w:rsid w:val="00C31D16"/>
    <w:rsid w:val="00C31FCD"/>
    <w:rsid w:val="00C32919"/>
    <w:rsid w:val="00C3307F"/>
    <w:rsid w:val="00C45034"/>
    <w:rsid w:val="00C47158"/>
    <w:rsid w:val="00C51A1B"/>
    <w:rsid w:val="00C535A6"/>
    <w:rsid w:val="00C557C1"/>
    <w:rsid w:val="00C622C9"/>
    <w:rsid w:val="00C645F5"/>
    <w:rsid w:val="00C75CE2"/>
    <w:rsid w:val="00C819C7"/>
    <w:rsid w:val="00C913B2"/>
    <w:rsid w:val="00C9321C"/>
    <w:rsid w:val="00C933E2"/>
    <w:rsid w:val="00C94BCA"/>
    <w:rsid w:val="00C955CB"/>
    <w:rsid w:val="00CA293A"/>
    <w:rsid w:val="00CA40DC"/>
    <w:rsid w:val="00CA603D"/>
    <w:rsid w:val="00CB29CC"/>
    <w:rsid w:val="00CC230A"/>
    <w:rsid w:val="00CC75D1"/>
    <w:rsid w:val="00CE68FA"/>
    <w:rsid w:val="00CE71E1"/>
    <w:rsid w:val="00CF2327"/>
    <w:rsid w:val="00CF25B5"/>
    <w:rsid w:val="00CF535B"/>
    <w:rsid w:val="00D0159E"/>
    <w:rsid w:val="00D02422"/>
    <w:rsid w:val="00D06B30"/>
    <w:rsid w:val="00D11D8A"/>
    <w:rsid w:val="00D13337"/>
    <w:rsid w:val="00D14651"/>
    <w:rsid w:val="00D16290"/>
    <w:rsid w:val="00D16A70"/>
    <w:rsid w:val="00D17632"/>
    <w:rsid w:val="00D17A09"/>
    <w:rsid w:val="00D231D1"/>
    <w:rsid w:val="00D32D29"/>
    <w:rsid w:val="00D34BFE"/>
    <w:rsid w:val="00D35DF5"/>
    <w:rsid w:val="00D411B4"/>
    <w:rsid w:val="00D431D9"/>
    <w:rsid w:val="00D43E9D"/>
    <w:rsid w:val="00D50FF5"/>
    <w:rsid w:val="00D5105A"/>
    <w:rsid w:val="00D55A66"/>
    <w:rsid w:val="00D71042"/>
    <w:rsid w:val="00D71969"/>
    <w:rsid w:val="00D80DF9"/>
    <w:rsid w:val="00D82847"/>
    <w:rsid w:val="00D82EBF"/>
    <w:rsid w:val="00D850FA"/>
    <w:rsid w:val="00D9037C"/>
    <w:rsid w:val="00D9352D"/>
    <w:rsid w:val="00D947BF"/>
    <w:rsid w:val="00D955EC"/>
    <w:rsid w:val="00DA0BB2"/>
    <w:rsid w:val="00DA28CC"/>
    <w:rsid w:val="00DA2E3E"/>
    <w:rsid w:val="00DB2132"/>
    <w:rsid w:val="00DB2ECB"/>
    <w:rsid w:val="00DB3D55"/>
    <w:rsid w:val="00DC5763"/>
    <w:rsid w:val="00DD04EE"/>
    <w:rsid w:val="00DD105E"/>
    <w:rsid w:val="00DD5DAC"/>
    <w:rsid w:val="00DE0688"/>
    <w:rsid w:val="00DE0E5E"/>
    <w:rsid w:val="00DE3596"/>
    <w:rsid w:val="00DF10CD"/>
    <w:rsid w:val="00DF5DAB"/>
    <w:rsid w:val="00E07EB2"/>
    <w:rsid w:val="00E134FF"/>
    <w:rsid w:val="00E13F72"/>
    <w:rsid w:val="00E17837"/>
    <w:rsid w:val="00E17B5A"/>
    <w:rsid w:val="00E21B0C"/>
    <w:rsid w:val="00E24D0C"/>
    <w:rsid w:val="00E24E00"/>
    <w:rsid w:val="00E3387C"/>
    <w:rsid w:val="00E3483D"/>
    <w:rsid w:val="00E34BBA"/>
    <w:rsid w:val="00E35A60"/>
    <w:rsid w:val="00E40C92"/>
    <w:rsid w:val="00E41316"/>
    <w:rsid w:val="00E41E66"/>
    <w:rsid w:val="00E51522"/>
    <w:rsid w:val="00E6166A"/>
    <w:rsid w:val="00E61EF7"/>
    <w:rsid w:val="00E66E71"/>
    <w:rsid w:val="00E67597"/>
    <w:rsid w:val="00E80CAF"/>
    <w:rsid w:val="00E815E8"/>
    <w:rsid w:val="00E81C18"/>
    <w:rsid w:val="00E82B5D"/>
    <w:rsid w:val="00E82B99"/>
    <w:rsid w:val="00E86BE4"/>
    <w:rsid w:val="00E913CA"/>
    <w:rsid w:val="00E927F1"/>
    <w:rsid w:val="00E94FEC"/>
    <w:rsid w:val="00E976B6"/>
    <w:rsid w:val="00EA07DC"/>
    <w:rsid w:val="00EA273E"/>
    <w:rsid w:val="00EB0BB2"/>
    <w:rsid w:val="00EB3E65"/>
    <w:rsid w:val="00EB59DB"/>
    <w:rsid w:val="00EB784D"/>
    <w:rsid w:val="00EC56D6"/>
    <w:rsid w:val="00EC5FB6"/>
    <w:rsid w:val="00ED03B9"/>
    <w:rsid w:val="00ED3BF1"/>
    <w:rsid w:val="00ED77CD"/>
    <w:rsid w:val="00ED7DC2"/>
    <w:rsid w:val="00EE4938"/>
    <w:rsid w:val="00EF0DA4"/>
    <w:rsid w:val="00EF514D"/>
    <w:rsid w:val="00EF5427"/>
    <w:rsid w:val="00F024CA"/>
    <w:rsid w:val="00F03703"/>
    <w:rsid w:val="00F04718"/>
    <w:rsid w:val="00F06979"/>
    <w:rsid w:val="00F0770D"/>
    <w:rsid w:val="00F22755"/>
    <w:rsid w:val="00F25771"/>
    <w:rsid w:val="00F3737D"/>
    <w:rsid w:val="00F43FD0"/>
    <w:rsid w:val="00F44B83"/>
    <w:rsid w:val="00F461DC"/>
    <w:rsid w:val="00F469B4"/>
    <w:rsid w:val="00F533FE"/>
    <w:rsid w:val="00F5370E"/>
    <w:rsid w:val="00F620F4"/>
    <w:rsid w:val="00F65578"/>
    <w:rsid w:val="00F7252C"/>
    <w:rsid w:val="00F84912"/>
    <w:rsid w:val="00F87647"/>
    <w:rsid w:val="00F91C83"/>
    <w:rsid w:val="00F93A34"/>
    <w:rsid w:val="00F93F0F"/>
    <w:rsid w:val="00F96386"/>
    <w:rsid w:val="00F966D4"/>
    <w:rsid w:val="00FA28AA"/>
    <w:rsid w:val="00FB1617"/>
    <w:rsid w:val="00FB1AE5"/>
    <w:rsid w:val="00FC011D"/>
    <w:rsid w:val="00FC50DF"/>
    <w:rsid w:val="00FC763F"/>
    <w:rsid w:val="00FD014E"/>
    <w:rsid w:val="00FD4D19"/>
    <w:rsid w:val="00FF08CC"/>
    <w:rsid w:val="00FF68F8"/>
    <w:rsid w:val="01A30E5C"/>
    <w:rsid w:val="03CC79B9"/>
    <w:rsid w:val="0529776D"/>
    <w:rsid w:val="083A18A4"/>
    <w:rsid w:val="08A72371"/>
    <w:rsid w:val="0A224510"/>
    <w:rsid w:val="0AD26C12"/>
    <w:rsid w:val="0C5529F3"/>
    <w:rsid w:val="0CB93D79"/>
    <w:rsid w:val="0FBB4AEB"/>
    <w:rsid w:val="11947DA5"/>
    <w:rsid w:val="128D1D94"/>
    <w:rsid w:val="1386086F"/>
    <w:rsid w:val="16751E7F"/>
    <w:rsid w:val="16D5395C"/>
    <w:rsid w:val="1804358A"/>
    <w:rsid w:val="1A0A0EFF"/>
    <w:rsid w:val="1C1E6613"/>
    <w:rsid w:val="1F2C30E0"/>
    <w:rsid w:val="21072E4C"/>
    <w:rsid w:val="227F528A"/>
    <w:rsid w:val="228E7A3D"/>
    <w:rsid w:val="244C054A"/>
    <w:rsid w:val="29235B3A"/>
    <w:rsid w:val="29514EC3"/>
    <w:rsid w:val="2ACA308F"/>
    <w:rsid w:val="2C0F712F"/>
    <w:rsid w:val="2CAE1C47"/>
    <w:rsid w:val="2E235F24"/>
    <w:rsid w:val="2E4317D6"/>
    <w:rsid w:val="2EA37866"/>
    <w:rsid w:val="2EE25C61"/>
    <w:rsid w:val="2EF70D48"/>
    <w:rsid w:val="307A0735"/>
    <w:rsid w:val="310048D1"/>
    <w:rsid w:val="314E0AC9"/>
    <w:rsid w:val="33E504C8"/>
    <w:rsid w:val="34824AF3"/>
    <w:rsid w:val="3575344F"/>
    <w:rsid w:val="35E47F1F"/>
    <w:rsid w:val="369C27EF"/>
    <w:rsid w:val="36A4329F"/>
    <w:rsid w:val="37E243AD"/>
    <w:rsid w:val="38C25238"/>
    <w:rsid w:val="3A382A9C"/>
    <w:rsid w:val="3C882D40"/>
    <w:rsid w:val="3ED65299"/>
    <w:rsid w:val="3F19451F"/>
    <w:rsid w:val="3FA902A6"/>
    <w:rsid w:val="403A5280"/>
    <w:rsid w:val="42C42BE0"/>
    <w:rsid w:val="44BC2266"/>
    <w:rsid w:val="458B60EF"/>
    <w:rsid w:val="46923006"/>
    <w:rsid w:val="481B7AFF"/>
    <w:rsid w:val="4897225A"/>
    <w:rsid w:val="4CCC2834"/>
    <w:rsid w:val="4D784B05"/>
    <w:rsid w:val="4D785BA5"/>
    <w:rsid w:val="4F441100"/>
    <w:rsid w:val="50515AB1"/>
    <w:rsid w:val="523C3CBE"/>
    <w:rsid w:val="541F6F8F"/>
    <w:rsid w:val="57727ABB"/>
    <w:rsid w:val="59783BF4"/>
    <w:rsid w:val="599C2C1B"/>
    <w:rsid w:val="59C85B76"/>
    <w:rsid w:val="5A3B3201"/>
    <w:rsid w:val="5A450D09"/>
    <w:rsid w:val="5B7114D5"/>
    <w:rsid w:val="5BA34A69"/>
    <w:rsid w:val="5CDD6300"/>
    <w:rsid w:val="5D280252"/>
    <w:rsid w:val="5E0E06B3"/>
    <w:rsid w:val="5F2177EA"/>
    <w:rsid w:val="5F6661A5"/>
    <w:rsid w:val="5FA23BC9"/>
    <w:rsid w:val="61D947E6"/>
    <w:rsid w:val="62A13618"/>
    <w:rsid w:val="638D70D8"/>
    <w:rsid w:val="64875CE1"/>
    <w:rsid w:val="64CE344B"/>
    <w:rsid w:val="65382792"/>
    <w:rsid w:val="66BB0D4F"/>
    <w:rsid w:val="672E110F"/>
    <w:rsid w:val="687C07E7"/>
    <w:rsid w:val="69CA363A"/>
    <w:rsid w:val="69E4719C"/>
    <w:rsid w:val="6A471EFD"/>
    <w:rsid w:val="6A4C0A7B"/>
    <w:rsid w:val="6A5129EA"/>
    <w:rsid w:val="6A7E2C0A"/>
    <w:rsid w:val="6C044EDE"/>
    <w:rsid w:val="6D52166E"/>
    <w:rsid w:val="6F13527E"/>
    <w:rsid w:val="6F436A2E"/>
    <w:rsid w:val="6FED7342"/>
    <w:rsid w:val="709B0AB9"/>
    <w:rsid w:val="7278772A"/>
    <w:rsid w:val="75422AFB"/>
    <w:rsid w:val="76403B3E"/>
    <w:rsid w:val="78A14685"/>
    <w:rsid w:val="7A464226"/>
    <w:rsid w:val="7C632142"/>
    <w:rsid w:val="7EE21F1E"/>
    <w:rsid w:val="7F796D66"/>
    <w:rsid w:val="7F9B5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3"/>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adjustRightInd w:val="0"/>
      <w:spacing w:line="360" w:lineRule="auto"/>
    </w:pPr>
    <w:rPr>
      <w:rFonts w:ascii="仿宋_GB2312" w:hAnsi="仿宋_GB2312" w:eastAsia="仿宋_GB2312"/>
      <w:sz w:val="24"/>
      <w:szCs w:val="20"/>
    </w:rPr>
  </w:style>
  <w:style w:type="paragraph" w:styleId="7">
    <w:name w:val="Body Text 2"/>
    <w:basedOn w:val="1"/>
    <w:next w:val="8"/>
    <w:qFormat/>
    <w:uiPriority w:val="0"/>
    <w:pPr>
      <w:spacing w:after="120" w:line="480" w:lineRule="auto"/>
    </w:pPr>
  </w:style>
  <w:style w:type="paragraph" w:styleId="8">
    <w:name w:val="Body Text"/>
    <w:basedOn w:val="1"/>
    <w:link w:val="53"/>
    <w:qFormat/>
    <w:uiPriority w:val="0"/>
    <w:pPr>
      <w:spacing w:after="120"/>
    </w:pPr>
  </w:style>
  <w:style w:type="paragraph" w:styleId="9">
    <w:name w:val="Document Map"/>
    <w:basedOn w:val="1"/>
    <w:link w:val="65"/>
    <w:semiHidden/>
    <w:unhideWhenUsed/>
    <w:qFormat/>
    <w:uiPriority w:val="99"/>
    <w:rPr>
      <w:rFonts w:ascii="宋体"/>
      <w:sz w:val="18"/>
      <w:szCs w:val="18"/>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63"/>
    <w:semiHidden/>
    <w:unhideWhenUsed/>
    <w:qFormat/>
    <w:uiPriority w:val="99"/>
    <w:pPr>
      <w:jc w:val="left"/>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customStyle="1" w:styleId="13">
    <w:name w:val="Default"/>
    <w:next w:val="1"/>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4">
    <w:name w:val="toc 3"/>
    <w:basedOn w:val="1"/>
    <w:next w:val="1"/>
    <w:qFormat/>
    <w:uiPriority w:val="39"/>
    <w:pPr>
      <w:ind w:left="840" w:leftChars="400"/>
    </w:pPr>
  </w:style>
  <w:style w:type="paragraph" w:styleId="15">
    <w:name w:val="Plain Text"/>
    <w:basedOn w:val="1"/>
    <w:link w:val="72"/>
    <w:qFormat/>
    <w:uiPriority w:val="0"/>
    <w:rPr>
      <w:rFonts w:ascii="宋体" w:hAnsi="Courier New"/>
      <w:szCs w:val="20"/>
    </w:rPr>
  </w:style>
  <w:style w:type="paragraph" w:styleId="16">
    <w:name w:val="Body Text Indent 2"/>
    <w:basedOn w:val="1"/>
    <w:link w:val="71"/>
    <w:semiHidden/>
    <w:unhideWhenUsed/>
    <w:qFormat/>
    <w:uiPriority w:val="99"/>
    <w:pPr>
      <w:spacing w:after="120" w:line="480" w:lineRule="auto"/>
      <w:ind w:left="420" w:leftChars="200"/>
    </w:pPr>
  </w:style>
  <w:style w:type="paragraph" w:styleId="17">
    <w:name w:val="Balloon Text"/>
    <w:basedOn w:val="1"/>
    <w:link w:val="37"/>
    <w:qFormat/>
    <w:uiPriority w:val="0"/>
    <w:rPr>
      <w:sz w:val="18"/>
      <w:szCs w:val="18"/>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2"/>
    <w:basedOn w:val="1"/>
    <w:next w:val="1"/>
    <w:qFormat/>
    <w:uiPriority w:val="39"/>
    <w:pPr>
      <w:tabs>
        <w:tab w:val="right" w:leader="dot" w:pos="8302"/>
      </w:tabs>
      <w:spacing w:line="360" w:lineRule="auto"/>
      <w:ind w:left="420" w:leftChars="2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39"/>
    <w:qFormat/>
    <w:uiPriority w:val="10"/>
    <w:pPr>
      <w:spacing w:before="240" w:after="60"/>
      <w:jc w:val="center"/>
      <w:outlineLvl w:val="0"/>
    </w:pPr>
    <w:rPr>
      <w:rFonts w:ascii="Cambria" w:hAnsi="Cambria"/>
      <w:b/>
      <w:bCs/>
      <w:sz w:val="32"/>
      <w:szCs w:val="32"/>
    </w:rPr>
  </w:style>
  <w:style w:type="paragraph" w:styleId="24">
    <w:name w:val="annotation subject"/>
    <w:basedOn w:val="11"/>
    <w:next w:val="11"/>
    <w:link w:val="64"/>
    <w:semiHidden/>
    <w:unhideWhenUsed/>
    <w:qFormat/>
    <w:uiPriority w:val="99"/>
    <w:rPr>
      <w:b/>
      <w:bCs/>
    </w:rPr>
  </w:style>
  <w:style w:type="paragraph" w:styleId="25">
    <w:name w:val="Body Text First Indent 2"/>
    <w:basedOn w:val="12"/>
    <w:next w:val="6"/>
    <w:qFormat/>
    <w:uiPriority w:val="0"/>
    <w:pPr>
      <w:ind w:firstLine="420" w:firstLineChars="200"/>
    </w:pPr>
  </w:style>
  <w:style w:type="table" w:styleId="27">
    <w:name w:val="Table Grid"/>
    <w:basedOn w:val="2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unhideWhenUsed/>
    <w:qFormat/>
    <w:uiPriority w:val="99"/>
    <w:rPr>
      <w:color w:val="0000FF"/>
      <w:u w:val="single"/>
    </w:rPr>
  </w:style>
  <w:style w:type="character" w:styleId="30">
    <w:name w:val="annotation reference"/>
    <w:basedOn w:val="28"/>
    <w:semiHidden/>
    <w:unhideWhenUsed/>
    <w:qFormat/>
    <w:uiPriority w:val="0"/>
    <w:rPr>
      <w:sz w:val="21"/>
      <w:szCs w:val="21"/>
    </w:rPr>
  </w:style>
  <w:style w:type="character" w:customStyle="1" w:styleId="31">
    <w:name w:val="标题 1 Char"/>
    <w:basedOn w:val="28"/>
    <w:link w:val="2"/>
    <w:qFormat/>
    <w:uiPriority w:val="0"/>
    <w:rPr>
      <w:rFonts w:ascii="Times New Roman" w:hAnsi="Times New Roman" w:eastAsia="宋体" w:cs="Times New Roman"/>
      <w:b/>
      <w:bCs/>
      <w:kern w:val="44"/>
      <w:sz w:val="44"/>
      <w:szCs w:val="44"/>
    </w:rPr>
  </w:style>
  <w:style w:type="character" w:customStyle="1" w:styleId="32">
    <w:name w:val="标题 2 Char"/>
    <w:basedOn w:val="28"/>
    <w:link w:val="3"/>
    <w:qFormat/>
    <w:uiPriority w:val="0"/>
    <w:rPr>
      <w:rFonts w:ascii="Cambria" w:hAnsi="Cambria" w:eastAsia="宋体" w:cs="Times New Roman"/>
      <w:b/>
      <w:bCs/>
      <w:sz w:val="32"/>
      <w:szCs w:val="32"/>
    </w:rPr>
  </w:style>
  <w:style w:type="character" w:customStyle="1" w:styleId="33">
    <w:name w:val="标题 3 Char"/>
    <w:basedOn w:val="28"/>
    <w:link w:val="4"/>
    <w:semiHidden/>
    <w:qFormat/>
    <w:uiPriority w:val="0"/>
    <w:rPr>
      <w:rFonts w:ascii="Times New Roman" w:hAnsi="Times New Roman" w:eastAsia="宋体" w:cs="Times New Roman"/>
      <w:b/>
      <w:bCs/>
      <w:sz w:val="32"/>
      <w:szCs w:val="32"/>
    </w:rPr>
  </w:style>
  <w:style w:type="character" w:customStyle="1" w:styleId="34">
    <w:name w:val="标题 4 Char"/>
    <w:basedOn w:val="28"/>
    <w:link w:val="5"/>
    <w:qFormat/>
    <w:uiPriority w:val="0"/>
    <w:rPr>
      <w:rFonts w:ascii="Cambria" w:hAnsi="Cambria" w:eastAsia="宋体" w:cs="Times New Roman"/>
      <w:b/>
      <w:bCs/>
      <w:sz w:val="28"/>
      <w:szCs w:val="28"/>
    </w:rPr>
  </w:style>
  <w:style w:type="character" w:customStyle="1" w:styleId="35">
    <w:name w:val="页眉 Char"/>
    <w:basedOn w:val="28"/>
    <w:link w:val="19"/>
    <w:qFormat/>
    <w:uiPriority w:val="99"/>
    <w:rPr>
      <w:rFonts w:ascii="Times New Roman" w:hAnsi="Times New Roman" w:eastAsia="宋体" w:cs="Times New Roman"/>
      <w:sz w:val="18"/>
      <w:szCs w:val="18"/>
    </w:rPr>
  </w:style>
  <w:style w:type="character" w:customStyle="1" w:styleId="36">
    <w:name w:val="页脚 Char"/>
    <w:basedOn w:val="28"/>
    <w:link w:val="18"/>
    <w:qFormat/>
    <w:uiPriority w:val="99"/>
    <w:rPr>
      <w:rFonts w:ascii="Times New Roman" w:hAnsi="Times New Roman" w:eastAsia="宋体" w:cs="Times New Roman"/>
      <w:sz w:val="18"/>
      <w:szCs w:val="18"/>
    </w:rPr>
  </w:style>
  <w:style w:type="character" w:customStyle="1" w:styleId="37">
    <w:name w:val="批注框文本 Char"/>
    <w:basedOn w:val="28"/>
    <w:link w:val="17"/>
    <w:qFormat/>
    <w:uiPriority w:val="0"/>
    <w:rPr>
      <w:rFonts w:ascii="Times New Roman" w:hAnsi="Times New Roman" w:eastAsia="宋体" w:cs="Times New Roman"/>
      <w:sz w:val="18"/>
      <w:szCs w:val="18"/>
    </w:rPr>
  </w:style>
  <w:style w:type="paragraph" w:customStyle="1" w:styleId="38">
    <w:name w:val="第几部分"/>
    <w:basedOn w:val="23"/>
    <w:qFormat/>
    <w:uiPriority w:val="0"/>
  </w:style>
  <w:style w:type="character" w:customStyle="1" w:styleId="39">
    <w:name w:val="标题 Char"/>
    <w:basedOn w:val="28"/>
    <w:link w:val="23"/>
    <w:qFormat/>
    <w:uiPriority w:val="10"/>
    <w:rPr>
      <w:rFonts w:ascii="Cambria" w:hAnsi="Cambria" w:eastAsia="宋体" w:cs="Times New Roman"/>
      <w:b/>
      <w:bCs/>
      <w:sz w:val="32"/>
      <w:szCs w:val="32"/>
    </w:rPr>
  </w:style>
  <w:style w:type="paragraph" w:customStyle="1" w:styleId="40">
    <w:name w:val="第一层"/>
    <w:basedOn w:val="2"/>
    <w:link w:val="41"/>
    <w:qFormat/>
    <w:uiPriority w:val="0"/>
    <w:pPr>
      <w:jc w:val="center"/>
    </w:pPr>
    <w:rPr>
      <w:rFonts w:eastAsia="黑体"/>
      <w:b w:val="0"/>
      <w:sz w:val="32"/>
    </w:rPr>
  </w:style>
  <w:style w:type="character" w:customStyle="1" w:styleId="41">
    <w:name w:val="第一层 Char"/>
    <w:link w:val="40"/>
    <w:qFormat/>
    <w:uiPriority w:val="0"/>
    <w:rPr>
      <w:rFonts w:ascii="Times New Roman" w:hAnsi="Times New Roman" w:eastAsia="黑体" w:cs="Times New Roman"/>
      <w:bCs/>
      <w:kern w:val="44"/>
      <w:sz w:val="32"/>
      <w:szCs w:val="44"/>
    </w:rPr>
  </w:style>
  <w:style w:type="paragraph" w:customStyle="1" w:styleId="42">
    <w:name w:val="第二层"/>
    <w:basedOn w:val="3"/>
    <w:link w:val="43"/>
    <w:qFormat/>
    <w:uiPriority w:val="0"/>
    <w:pPr>
      <w:jc w:val="center"/>
    </w:pPr>
    <w:rPr>
      <w:rFonts w:eastAsia="黑体"/>
      <w:b w:val="0"/>
      <w:szCs w:val="36"/>
    </w:rPr>
  </w:style>
  <w:style w:type="character" w:customStyle="1" w:styleId="43">
    <w:name w:val="第二层 Char"/>
    <w:link w:val="42"/>
    <w:qFormat/>
    <w:uiPriority w:val="0"/>
    <w:rPr>
      <w:rFonts w:ascii="Cambria" w:hAnsi="Cambria" w:eastAsia="黑体" w:cs="Times New Roman"/>
      <w:bCs/>
      <w:sz w:val="32"/>
      <w:szCs w:val="36"/>
    </w:rPr>
  </w:style>
  <w:style w:type="paragraph" w:customStyle="1" w:styleId="44">
    <w:name w:val="Char2 Char Char Char Char Char Char Char Char Char Char Char"/>
    <w:basedOn w:val="1"/>
    <w:qFormat/>
    <w:uiPriority w:val="0"/>
    <w:rPr>
      <w:rFonts w:ascii="Tahoma" w:hAnsi="Tahoma"/>
      <w:sz w:val="24"/>
      <w:szCs w:val="20"/>
    </w:rPr>
  </w:style>
  <w:style w:type="paragraph" w:customStyle="1" w:styleId="45">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样式1"/>
    <w:basedOn w:val="4"/>
    <w:link w:val="47"/>
    <w:qFormat/>
    <w:uiPriority w:val="0"/>
    <w:pPr>
      <w:adjustRightInd w:val="0"/>
      <w:snapToGrid w:val="0"/>
      <w:jc w:val="center"/>
      <w:outlineLvl w:val="1"/>
    </w:pPr>
    <w:rPr>
      <w:rFonts w:ascii="宋体" w:hAnsi="宋体"/>
      <w:b w:val="0"/>
      <w:bCs w:val="0"/>
    </w:rPr>
  </w:style>
  <w:style w:type="character" w:customStyle="1" w:styleId="47">
    <w:name w:val="样式1 Char"/>
    <w:link w:val="46"/>
    <w:qFormat/>
    <w:uiPriority w:val="0"/>
    <w:rPr>
      <w:rFonts w:ascii="宋体" w:hAnsi="宋体" w:eastAsia="宋体" w:cs="Times New Roman"/>
      <w:sz w:val="32"/>
      <w:szCs w:val="32"/>
    </w:rPr>
  </w:style>
  <w:style w:type="paragraph" w:customStyle="1" w:styleId="48">
    <w:name w:val="第三层"/>
    <w:basedOn w:val="4"/>
    <w:link w:val="49"/>
    <w:qFormat/>
    <w:uiPriority w:val="0"/>
    <w:pPr>
      <w:jc w:val="center"/>
    </w:pPr>
    <w:rPr>
      <w:rFonts w:eastAsia="黑体"/>
      <w:b w:val="0"/>
      <w:sz w:val="28"/>
    </w:rPr>
  </w:style>
  <w:style w:type="character" w:customStyle="1" w:styleId="49">
    <w:name w:val="第三层 Char"/>
    <w:link w:val="48"/>
    <w:qFormat/>
    <w:uiPriority w:val="0"/>
    <w:rPr>
      <w:rFonts w:ascii="Times New Roman" w:hAnsi="Times New Roman" w:eastAsia="黑体" w:cs="Times New Roman"/>
      <w:bCs/>
      <w:sz w:val="28"/>
      <w:szCs w:val="32"/>
    </w:rPr>
  </w:style>
  <w:style w:type="paragraph" w:customStyle="1" w:styleId="50">
    <w:name w:val="第四层"/>
    <w:basedOn w:val="5"/>
    <w:link w:val="51"/>
    <w:qFormat/>
    <w:uiPriority w:val="0"/>
    <w:pPr>
      <w:spacing w:line="360" w:lineRule="auto"/>
      <w:ind w:firstLine="118" w:firstLineChars="49"/>
    </w:pPr>
    <w:rPr>
      <w:rFonts w:ascii="宋体" w:hAnsi="宋体" w:eastAsia="黑体"/>
      <w:b w:val="0"/>
      <w:sz w:val="24"/>
    </w:rPr>
  </w:style>
  <w:style w:type="character" w:customStyle="1" w:styleId="51">
    <w:name w:val="第四层 Char"/>
    <w:link w:val="50"/>
    <w:qFormat/>
    <w:uiPriority w:val="0"/>
    <w:rPr>
      <w:rFonts w:ascii="宋体" w:hAnsi="宋体" w:eastAsia="黑体" w:cs="Times New Roman"/>
      <w:bCs/>
      <w:sz w:val="24"/>
      <w:szCs w:val="28"/>
    </w:rPr>
  </w:style>
  <w:style w:type="paragraph" w:customStyle="1" w:styleId="52">
    <w:name w:val="第几"/>
    <w:basedOn w:val="5"/>
    <w:qFormat/>
    <w:uiPriority w:val="0"/>
    <w:pPr>
      <w:jc w:val="center"/>
    </w:pPr>
  </w:style>
  <w:style w:type="character" w:customStyle="1" w:styleId="53">
    <w:name w:val="正文文本 Char1"/>
    <w:link w:val="8"/>
    <w:qFormat/>
    <w:uiPriority w:val="0"/>
    <w:rPr>
      <w:rFonts w:ascii="Times New Roman" w:hAnsi="Times New Roman" w:eastAsia="宋体" w:cs="Times New Roman"/>
      <w:szCs w:val="24"/>
    </w:rPr>
  </w:style>
  <w:style w:type="character" w:customStyle="1" w:styleId="54">
    <w:name w:val="正文文本 Char"/>
    <w:basedOn w:val="28"/>
    <w:qFormat/>
    <w:uiPriority w:val="0"/>
    <w:rPr>
      <w:rFonts w:ascii="Times New Roman" w:hAnsi="Times New Roman" w:eastAsia="宋体" w:cs="Times New Roman"/>
      <w:szCs w:val="24"/>
    </w:rPr>
  </w:style>
  <w:style w:type="paragraph" w:customStyle="1" w:styleId="55">
    <w:name w:val="第4层次"/>
    <w:basedOn w:val="5"/>
    <w:link w:val="56"/>
    <w:qFormat/>
    <w:uiPriority w:val="0"/>
    <w:pPr>
      <w:spacing w:line="360" w:lineRule="auto"/>
    </w:pPr>
    <w:rPr>
      <w:rFonts w:ascii="宋体" w:hAnsi="宋体"/>
      <w:sz w:val="24"/>
      <w:szCs w:val="24"/>
    </w:rPr>
  </w:style>
  <w:style w:type="character" w:customStyle="1" w:styleId="56">
    <w:name w:val="第4层次 Char"/>
    <w:link w:val="55"/>
    <w:qFormat/>
    <w:uiPriority w:val="0"/>
    <w:rPr>
      <w:rFonts w:ascii="宋体" w:hAnsi="宋体" w:eastAsia="宋体" w:cs="Times New Roman"/>
      <w:b/>
      <w:bCs/>
      <w:sz w:val="24"/>
      <w:szCs w:val="24"/>
    </w:rPr>
  </w:style>
  <w:style w:type="paragraph" w:styleId="57">
    <w:name w:val="List Paragraph"/>
    <w:basedOn w:val="1"/>
    <w:link w:val="74"/>
    <w:qFormat/>
    <w:uiPriority w:val="34"/>
    <w:pPr>
      <w:ind w:firstLine="420" w:firstLineChars="200"/>
    </w:pPr>
  </w:style>
  <w:style w:type="paragraph" w:customStyle="1" w:styleId="58">
    <w:name w:val="第3层次"/>
    <w:basedOn w:val="4"/>
    <w:link w:val="59"/>
    <w:qFormat/>
    <w:uiPriority w:val="0"/>
    <w:pPr>
      <w:keepLines w:val="0"/>
      <w:spacing w:before="100" w:beforeAutospacing="1" w:after="100" w:afterAutospacing="1" w:line="360" w:lineRule="auto"/>
      <w:jc w:val="left"/>
    </w:pPr>
    <w:rPr>
      <w:rFonts w:ascii="宋体" w:hAnsi="宋体"/>
      <w:kern w:val="0"/>
      <w:sz w:val="28"/>
      <w:szCs w:val="24"/>
    </w:rPr>
  </w:style>
  <w:style w:type="character" w:customStyle="1" w:styleId="59">
    <w:name w:val="第3层次 Char"/>
    <w:link w:val="58"/>
    <w:qFormat/>
    <w:uiPriority w:val="0"/>
    <w:rPr>
      <w:rFonts w:ascii="宋体" w:hAnsi="宋体" w:eastAsia="宋体" w:cs="Times New Roman"/>
      <w:b/>
      <w:bCs/>
      <w:kern w:val="0"/>
      <w:sz w:val="28"/>
      <w:szCs w:val="24"/>
    </w:rPr>
  </w:style>
  <w:style w:type="paragraph" w:customStyle="1" w:styleId="60">
    <w:name w:val="第几章"/>
    <w:basedOn w:val="1"/>
    <w:qFormat/>
    <w:uiPriority w:val="0"/>
    <w:pPr>
      <w:spacing w:before="100" w:beforeAutospacing="1" w:after="100" w:afterAutospacing="1"/>
      <w:jc w:val="center"/>
    </w:pPr>
    <w:rPr>
      <w:rFonts w:ascii="宋体" w:hAnsi="宋体"/>
      <w:b/>
      <w:sz w:val="32"/>
      <w:szCs w:val="20"/>
    </w:rPr>
  </w:style>
  <w:style w:type="paragraph" w:customStyle="1" w:styleId="6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63">
    <w:name w:val="批注文字 Char"/>
    <w:basedOn w:val="28"/>
    <w:link w:val="11"/>
    <w:semiHidden/>
    <w:qFormat/>
    <w:uiPriority w:val="99"/>
    <w:rPr>
      <w:rFonts w:ascii="Times New Roman" w:hAnsi="Times New Roman" w:eastAsia="宋体" w:cs="Times New Roman"/>
      <w:szCs w:val="24"/>
    </w:rPr>
  </w:style>
  <w:style w:type="character" w:customStyle="1" w:styleId="64">
    <w:name w:val="批注主题 Char"/>
    <w:basedOn w:val="63"/>
    <w:link w:val="24"/>
    <w:semiHidden/>
    <w:qFormat/>
    <w:uiPriority w:val="99"/>
    <w:rPr>
      <w:rFonts w:ascii="Times New Roman" w:hAnsi="Times New Roman" w:eastAsia="宋体" w:cs="Times New Roman"/>
      <w:b/>
      <w:bCs/>
      <w:szCs w:val="24"/>
    </w:rPr>
  </w:style>
  <w:style w:type="character" w:customStyle="1" w:styleId="65">
    <w:name w:val="文档结构图 Char"/>
    <w:basedOn w:val="28"/>
    <w:link w:val="9"/>
    <w:semiHidden/>
    <w:qFormat/>
    <w:uiPriority w:val="99"/>
    <w:rPr>
      <w:rFonts w:ascii="宋体" w:hAnsi="Times New Roman" w:eastAsia="宋体" w:cs="Times New Roman"/>
      <w:sz w:val="18"/>
      <w:szCs w:val="18"/>
    </w:rPr>
  </w:style>
  <w:style w:type="paragraph" w:customStyle="1" w:styleId="66">
    <w:name w:val="附录表标号"/>
    <w:basedOn w:val="1"/>
    <w:next w:val="1"/>
    <w:qFormat/>
    <w:uiPriority w:val="0"/>
    <w:pPr>
      <w:spacing w:line="14" w:lineRule="exact"/>
    </w:pPr>
    <w:rPr>
      <w:color w:val="FFFFFF"/>
      <w:szCs w:val="21"/>
    </w:rPr>
  </w:style>
  <w:style w:type="paragraph" w:customStyle="1" w:styleId="67">
    <w:name w:val="Char Char Char Char"/>
    <w:basedOn w:val="1"/>
    <w:qFormat/>
    <w:uiPriority w:val="0"/>
  </w:style>
  <w:style w:type="paragraph" w:customStyle="1" w:styleId="68">
    <w:name w:val="附录表题"/>
    <w:basedOn w:val="1"/>
    <w:next w:val="1"/>
    <w:qFormat/>
    <w:uiPriority w:val="0"/>
    <w:pPr>
      <w:numPr>
        <w:ilvl w:val="1"/>
        <w:numId w:val="1"/>
      </w:numPr>
      <w:spacing w:beforeLines="50" w:afterLines="50"/>
      <w:ind w:left="7372"/>
      <w:jc w:val="center"/>
    </w:pPr>
    <w:rPr>
      <w:rFonts w:ascii="黑体" w:eastAsia="黑体"/>
      <w:szCs w:val="21"/>
    </w:rPr>
  </w:style>
  <w:style w:type="character" w:customStyle="1" w:styleId="69">
    <w:name w:val="case31"/>
    <w:qFormat/>
    <w:uiPriority w:val="0"/>
    <w:rPr>
      <w:rFonts w:hint="default" w:ascii="??" w:hAnsi="??" w:cs="@方正兰亭超细黑简体"/>
      <w:sz w:val="21"/>
      <w:szCs w:val="21"/>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正文文本缩进 2 Char"/>
    <w:basedOn w:val="28"/>
    <w:link w:val="16"/>
    <w:semiHidden/>
    <w:qFormat/>
    <w:uiPriority w:val="99"/>
    <w:rPr>
      <w:rFonts w:ascii="Times New Roman" w:hAnsi="Times New Roman" w:eastAsia="宋体" w:cs="Times New Roman"/>
      <w:kern w:val="2"/>
      <w:sz w:val="21"/>
      <w:szCs w:val="24"/>
    </w:rPr>
  </w:style>
  <w:style w:type="character" w:customStyle="1" w:styleId="72">
    <w:name w:val="纯文本 Char"/>
    <w:basedOn w:val="28"/>
    <w:link w:val="15"/>
    <w:qFormat/>
    <w:uiPriority w:val="0"/>
    <w:rPr>
      <w:rFonts w:ascii="宋体" w:hAnsi="Courier New" w:eastAsia="宋体" w:cs="Times New Roman"/>
      <w:kern w:val="2"/>
      <w:sz w:val="21"/>
    </w:rPr>
  </w:style>
  <w:style w:type="paragraph" w:customStyle="1" w:styleId="73">
    <w:name w:val="xl25"/>
    <w:basedOn w:val="1"/>
    <w:qFormat/>
    <w:uiPriority w:val="0"/>
    <w:pPr>
      <w:widowControl/>
      <w:pBdr>
        <w:bottom w:val="single" w:color="auto" w:sz="4" w:space="0"/>
        <w:right w:val="single" w:color="auto" w:sz="4" w:space="0"/>
      </w:pBdr>
      <w:spacing w:before="100" w:beforeAutospacing="1" w:after="100" w:afterAutospacing="1"/>
      <w:textAlignment w:val="top"/>
    </w:pPr>
    <w:rPr>
      <w:rFonts w:hint="eastAsia" w:ascii="楷体_GB2312" w:hAnsi="宋体" w:eastAsia="楷体_GB2312"/>
      <w:kern w:val="0"/>
      <w:sz w:val="28"/>
      <w:szCs w:val="28"/>
    </w:rPr>
  </w:style>
  <w:style w:type="character" w:customStyle="1" w:styleId="74">
    <w:name w:val="列出段落 Char"/>
    <w:basedOn w:val="28"/>
    <w:link w:val="57"/>
    <w:qFormat/>
    <w:uiPriority w:val="34"/>
    <w:rPr>
      <w:rFonts w:ascii="Times New Roman" w:hAnsi="Times New Roman" w:eastAsia="宋体" w:cs="Times New Roman"/>
      <w:kern w:val="2"/>
      <w:sz w:val="21"/>
      <w:szCs w:val="24"/>
    </w:rPr>
  </w:style>
  <w:style w:type="table" w:customStyle="1" w:styleId="75">
    <w:name w:val="网格型2"/>
    <w:basedOn w:val="2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65F44-5652-4494-82AC-7D592A8C2E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4470</Words>
  <Characters>25481</Characters>
  <Lines>212</Lines>
  <Paragraphs>59</Paragraphs>
  <TotalTime>134</TotalTime>
  <ScaleCrop>false</ScaleCrop>
  <LinksUpToDate>false</LinksUpToDate>
  <CharactersWithSpaces>29892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2023-04-04T09:09:00Z</dcterms:created>
  <dc:creator>高磊</dc:creator>
  <cp:lastModifiedBy>弎佰公里的幸福</cp:lastModifiedBy>
  <cp:lastPrinted>2023-04-16T13:37:00Z</cp:lastPrinted>
  <dcterms:modified xsi:type="dcterms:W3CDTF">2023-09-25T09:01:07Z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66DED737EFF446FF8D6FBF8F708F36E3_13</vt:lpwstr>
  </property>
</Properties>
</file>