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240" w:after="240" w:line="276" w:lineRule="auto"/>
        <w:jc w:val="center"/>
        <w:rPr>
          <w:sz w:val="40"/>
          <w:szCs w:val="40"/>
          <w:highlight w:val="none"/>
        </w:rPr>
      </w:pPr>
      <w:bookmarkStart w:id="1" w:name="_GoBack"/>
      <w:r>
        <w:rPr>
          <w:rFonts w:hint="eastAsia"/>
          <w:sz w:val="40"/>
          <w:szCs w:val="40"/>
          <w:highlight w:val="none"/>
        </w:rPr>
        <w:t>山东网瑞物产有限公司2022年三月第一次物资公开竞争性谈判采购项目</w:t>
      </w:r>
    </w:p>
    <w:p>
      <w:pPr>
        <w:pStyle w:val="3"/>
        <w:spacing w:before="240" w:after="240" w:line="980" w:lineRule="exact"/>
        <w:jc w:val="center"/>
        <w:rPr>
          <w:b w:val="0"/>
          <w:bCs w:val="0"/>
          <w:sz w:val="32"/>
          <w:szCs w:val="32"/>
          <w:highlight w:val="none"/>
        </w:rPr>
      </w:pPr>
      <w:r>
        <w:rPr>
          <w:rFonts w:hint="eastAsia"/>
          <w:b w:val="0"/>
          <w:bCs w:val="0"/>
          <w:sz w:val="32"/>
          <w:szCs w:val="32"/>
          <w:highlight w:val="none"/>
        </w:rPr>
        <w:t>采购公告</w:t>
      </w:r>
    </w:p>
    <w:p>
      <w:pPr>
        <w:adjustRightInd w:val="0"/>
        <w:snapToGrid w:val="0"/>
        <w:jc w:val="center"/>
        <w:rPr>
          <w:rFonts w:ascii="宋体" w:hAnsi="宋体"/>
          <w:szCs w:val="21"/>
          <w:highlight w:val="none"/>
        </w:rPr>
      </w:pPr>
      <w:r>
        <w:rPr>
          <w:rFonts w:hint="eastAsia" w:ascii="宋体" w:hAnsi="宋体"/>
          <w:szCs w:val="21"/>
          <w:highlight w:val="none"/>
        </w:rPr>
        <w:t>（采购编号：WRWC22-WZ-JT0301）</w:t>
      </w:r>
    </w:p>
    <w:p>
      <w:pPr>
        <w:adjustRightInd w:val="0"/>
        <w:snapToGrid w:val="0"/>
        <w:jc w:val="center"/>
        <w:rPr>
          <w:rFonts w:ascii="宋体" w:hAnsi="宋体"/>
          <w:szCs w:val="21"/>
          <w:highlight w:val="none"/>
        </w:rPr>
      </w:pPr>
    </w:p>
    <w:p>
      <w:pPr>
        <w:adjustRightInd w:val="0"/>
        <w:snapToGrid w:val="0"/>
        <w:jc w:val="center"/>
        <w:rPr>
          <w:rFonts w:ascii="宋体" w:hAnsi="宋体"/>
          <w:szCs w:val="21"/>
          <w:highlight w:val="none"/>
        </w:rPr>
      </w:pPr>
    </w:p>
    <w:p>
      <w:pPr>
        <w:adjustRightInd w:val="0"/>
        <w:snapToGrid w:val="0"/>
        <w:jc w:val="center"/>
        <w:rPr>
          <w:rFonts w:ascii="宋体" w:hAnsi="宋体"/>
          <w:szCs w:val="21"/>
          <w:highlight w:val="none"/>
        </w:rPr>
      </w:pPr>
    </w:p>
    <w:p>
      <w:pPr>
        <w:adjustRightInd w:val="0"/>
        <w:snapToGrid w:val="0"/>
        <w:jc w:val="left"/>
        <w:rPr>
          <w:rFonts w:ascii="宋体" w:hAnsi="宋体"/>
          <w:sz w:val="24"/>
          <w:szCs w:val="24"/>
          <w:highlight w:val="none"/>
        </w:rPr>
      </w:pPr>
      <w:r>
        <w:rPr>
          <w:rFonts w:hint="eastAsia" w:ascii="宋体" w:hAnsi="宋体"/>
          <w:sz w:val="24"/>
          <w:szCs w:val="24"/>
          <w:highlight w:val="none"/>
        </w:rPr>
        <w:t>特别提示：</w:t>
      </w:r>
    </w:p>
    <w:p>
      <w:pPr>
        <w:tabs>
          <w:tab w:val="left" w:pos="2688"/>
        </w:tabs>
        <w:adjustRightInd w:val="0"/>
        <w:snapToGrid w:val="0"/>
        <w:spacing w:line="500" w:lineRule="exact"/>
        <w:ind w:firstLine="480" w:firstLineChars="200"/>
        <w:rPr>
          <w:rFonts w:ascii="宋体" w:hAnsi="宋体"/>
          <w:sz w:val="24"/>
          <w:szCs w:val="24"/>
          <w:highlight w:val="none"/>
        </w:rPr>
      </w:pPr>
      <w:r>
        <w:rPr>
          <w:rFonts w:ascii="宋体" w:hAnsi="宋体"/>
          <w:sz w:val="24"/>
          <w:szCs w:val="24"/>
          <w:highlight w:val="none"/>
        </w:rPr>
        <w:t>1</w:t>
      </w:r>
      <w:r>
        <w:rPr>
          <w:rFonts w:hint="eastAsia" w:ascii="宋体" w:hAnsi="宋体"/>
          <w:sz w:val="24"/>
          <w:szCs w:val="24"/>
          <w:highlight w:val="none"/>
        </w:rPr>
        <w:t>、</w:t>
      </w:r>
      <w:r>
        <w:rPr>
          <w:rFonts w:ascii="宋体" w:hAnsi="宋体"/>
          <w:sz w:val="24"/>
          <w:szCs w:val="24"/>
          <w:highlight w:val="none"/>
        </w:rPr>
        <w:t>据当地病毒防控工作总体要求，有效落实各项防控措施，采用远程办公等先进手段防止人员积聚，遏制疫情蔓延势头。</w:t>
      </w:r>
      <w:r>
        <w:rPr>
          <w:rFonts w:hint="eastAsia" w:ascii="宋体" w:hAnsi="宋体"/>
          <w:sz w:val="24"/>
          <w:szCs w:val="24"/>
          <w:highlight w:val="none"/>
        </w:rPr>
        <w:t>山东网瑞物产有限公司将采用一系列工作措施，为投标人投标、开标等各项工作提供支撑和服务。在做好病毒防控工作的同时，为确保电力安全可靠供应做出贡献。</w:t>
      </w:r>
    </w:p>
    <w:p>
      <w:pPr>
        <w:tabs>
          <w:tab w:val="left" w:pos="2688"/>
        </w:tabs>
        <w:adjustRightInd w:val="0"/>
        <w:snapToGrid w:val="0"/>
        <w:spacing w:line="500" w:lineRule="exact"/>
        <w:ind w:firstLine="480" w:firstLineChars="200"/>
        <w:rPr>
          <w:rFonts w:ascii="宋体" w:hAnsi="宋体"/>
          <w:sz w:val="24"/>
          <w:szCs w:val="24"/>
          <w:highlight w:val="none"/>
        </w:rPr>
      </w:pPr>
      <w:r>
        <w:rPr>
          <w:rFonts w:hint="eastAsia" w:ascii="宋体" w:hAnsi="宋体"/>
          <w:sz w:val="24"/>
          <w:szCs w:val="24"/>
          <w:highlight w:val="none"/>
        </w:rPr>
        <w:t>2、应答文件递交特别说明！本次采购接受邮寄递交和电子邮件递交的应答方式。</w:t>
      </w:r>
    </w:p>
    <w:p>
      <w:pPr>
        <w:adjustRightInd w:val="0"/>
        <w:snapToGrid w:val="0"/>
        <w:spacing w:line="500" w:lineRule="exact"/>
        <w:ind w:firstLine="480" w:firstLineChars="200"/>
        <w:jc w:val="left"/>
        <w:rPr>
          <w:rFonts w:ascii="宋体" w:hAnsi="宋体"/>
          <w:sz w:val="24"/>
          <w:szCs w:val="24"/>
          <w:highlight w:val="none"/>
        </w:rPr>
      </w:pPr>
      <w:r>
        <w:rPr>
          <w:rFonts w:hint="eastAsia" w:ascii="宋体" w:hAnsi="宋体"/>
          <w:sz w:val="24"/>
          <w:szCs w:val="24"/>
          <w:highlight w:val="none"/>
        </w:rPr>
        <w:t>如采购人根据中央和地方政府的新型冠状病毒肺炎疫情防控工作要求，并结合国务院办公厅及地方政府复工复产工作安排等通知，对该时间进行调整，将在实际的应答截止时间前至少</w:t>
      </w:r>
      <w:r>
        <w:rPr>
          <w:rFonts w:ascii="宋体" w:hAnsi="宋体"/>
          <w:sz w:val="24"/>
          <w:szCs w:val="24"/>
          <w:highlight w:val="none"/>
        </w:rPr>
        <w:t>3</w:t>
      </w:r>
      <w:r>
        <w:rPr>
          <w:rFonts w:hint="eastAsia" w:ascii="宋体" w:hAnsi="宋体"/>
          <w:sz w:val="24"/>
          <w:szCs w:val="24"/>
          <w:highlight w:val="none"/>
        </w:rPr>
        <w:t>日另行通知应答人。</w:t>
      </w:r>
    </w:p>
    <w:p>
      <w:pPr>
        <w:adjustRightInd w:val="0"/>
        <w:snapToGrid w:val="0"/>
        <w:spacing w:line="500" w:lineRule="exact"/>
        <w:ind w:firstLine="480" w:firstLineChars="200"/>
        <w:jc w:val="left"/>
        <w:rPr>
          <w:rFonts w:asciiTheme="majorEastAsia" w:hAnsiTheme="majorEastAsia" w:eastAsiaTheme="majorEastAsia"/>
          <w:bCs/>
          <w:sz w:val="24"/>
          <w:szCs w:val="24"/>
          <w:highlight w:val="none"/>
        </w:rPr>
      </w:pPr>
    </w:p>
    <w:p>
      <w:pPr>
        <w:widowControl/>
        <w:jc w:val="left"/>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br w:type="page"/>
      </w:r>
    </w:p>
    <w:p>
      <w:pPr>
        <w:spacing w:line="400" w:lineRule="exact"/>
        <w:rPr>
          <w:rFonts w:ascii="宋体" w:hAnsi="宋体"/>
          <w:b/>
          <w:szCs w:val="21"/>
          <w:highlight w:val="none"/>
        </w:rPr>
      </w:pPr>
      <w:r>
        <w:rPr>
          <w:rFonts w:hint="eastAsia" w:ascii="宋体" w:hAnsi="宋体"/>
          <w:b/>
          <w:szCs w:val="21"/>
          <w:highlight w:val="none"/>
        </w:rPr>
        <w:t>1. 采购条件</w:t>
      </w:r>
    </w:p>
    <w:p>
      <w:pPr>
        <w:spacing w:line="400" w:lineRule="exact"/>
        <w:ind w:firstLine="420" w:firstLineChars="200"/>
        <w:rPr>
          <w:rFonts w:ascii="宋体" w:hAnsi="宋体"/>
          <w:szCs w:val="21"/>
          <w:highlight w:val="none"/>
        </w:rPr>
      </w:pPr>
      <w:r>
        <w:rPr>
          <w:rFonts w:hint="eastAsia" w:ascii="宋体" w:hAnsi="宋体"/>
          <w:szCs w:val="21"/>
          <w:highlight w:val="none"/>
        </w:rPr>
        <w:t>本批采购项目建设资金已落实，项目单位为山东网瑞物产有限公司。项目已具备采购条件，现对该批项目进行采购。采购人委托法正项目管理集团有限公司（以下简称“采购代理机构”），采用公开采购方式邀请有兴趣的合格应答人（以下简称“应答人”）就山东网瑞物产有限公司运兴电力节能照明物资采购项目提交密封的有竞争性的应答文件。</w:t>
      </w:r>
    </w:p>
    <w:p>
      <w:pPr>
        <w:spacing w:line="400" w:lineRule="exact"/>
        <w:rPr>
          <w:rFonts w:ascii="宋体" w:hAnsi="宋体"/>
          <w:szCs w:val="21"/>
          <w:highlight w:val="none"/>
        </w:rPr>
      </w:pPr>
      <w:r>
        <w:rPr>
          <w:rFonts w:hint="eastAsia" w:ascii="宋体" w:hAnsi="宋体"/>
          <w:b/>
          <w:szCs w:val="21"/>
          <w:highlight w:val="none"/>
        </w:rPr>
        <w:t>2. 采购范围</w:t>
      </w:r>
    </w:p>
    <w:tbl>
      <w:tblPr>
        <w:tblStyle w:val="10"/>
        <w:tblW w:w="9320" w:type="dxa"/>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87"/>
        <w:gridCol w:w="4086"/>
        <w:gridCol w:w="4147"/>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1087"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序号</w:t>
            </w:r>
          </w:p>
        </w:tc>
        <w:tc>
          <w:tcPr>
            <w:tcW w:w="4086"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分标编号</w:t>
            </w:r>
          </w:p>
        </w:tc>
        <w:tc>
          <w:tcPr>
            <w:tcW w:w="414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分标名称</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087"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cs="Arial" w:asciiTheme="minorEastAsia" w:hAnsiTheme="minorEastAsia" w:eastAsiaTheme="minorEastAsia"/>
                <w:sz w:val="18"/>
                <w:szCs w:val="18"/>
                <w:highlight w:val="none"/>
              </w:rPr>
            </w:pPr>
            <w:r>
              <w:rPr>
                <w:rFonts w:hint="eastAsia" w:cs="Arial" w:asciiTheme="minorEastAsia" w:hAnsiTheme="minorEastAsia" w:eastAsiaTheme="minorEastAsia"/>
                <w:sz w:val="18"/>
                <w:szCs w:val="18"/>
                <w:highlight w:val="none"/>
              </w:rPr>
              <w:t>1</w:t>
            </w:r>
          </w:p>
        </w:tc>
        <w:tc>
          <w:tcPr>
            <w:tcW w:w="4086" w:type="dxa"/>
            <w:tcBorders>
              <w:top w:val="single" w:color="auto" w:sz="4" w:space="0"/>
              <w:left w:val="single" w:color="auto" w:sz="4" w:space="0"/>
              <w:bottom w:val="single" w:color="auto" w:sz="4" w:space="0"/>
              <w:right w:val="single" w:color="auto" w:sz="4" w:space="0"/>
            </w:tcBorders>
            <w:vAlign w:val="center"/>
          </w:tcPr>
          <w:p>
            <w:pPr>
              <w:jc w:val="center"/>
              <w:rPr>
                <w:rFonts w:cs="Arial" w:asciiTheme="minorEastAsia" w:hAnsiTheme="minorEastAsia" w:eastAsiaTheme="minorEastAsia"/>
                <w:sz w:val="18"/>
                <w:szCs w:val="18"/>
                <w:highlight w:val="none"/>
              </w:rPr>
            </w:pPr>
            <w:r>
              <w:rPr>
                <w:rFonts w:hint="eastAsia" w:cs="Arial" w:asciiTheme="minorEastAsia" w:hAnsiTheme="minorEastAsia" w:eastAsiaTheme="minorEastAsia"/>
                <w:sz w:val="18"/>
                <w:szCs w:val="18"/>
                <w:highlight w:val="none"/>
              </w:rPr>
              <w:t>WRWC22-WZ-JT0301</w:t>
            </w:r>
            <w:r>
              <w:rPr>
                <w:rFonts w:cs="Arial" w:asciiTheme="minorEastAsia" w:hAnsiTheme="minorEastAsia" w:eastAsiaTheme="minorEastAsia"/>
                <w:sz w:val="18"/>
                <w:szCs w:val="18"/>
                <w:highlight w:val="none"/>
              </w:rPr>
              <w:t>-01</w:t>
            </w:r>
          </w:p>
        </w:tc>
        <w:tc>
          <w:tcPr>
            <w:tcW w:w="414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cs="Arial" w:asciiTheme="minorEastAsia" w:hAnsiTheme="minorEastAsia" w:eastAsiaTheme="minorEastAsia"/>
                <w:sz w:val="18"/>
                <w:szCs w:val="18"/>
                <w:highlight w:val="none"/>
              </w:rPr>
            </w:pPr>
            <w:r>
              <w:rPr>
                <w:rFonts w:hint="eastAsia" w:cs="Arial" w:asciiTheme="minorEastAsia" w:hAnsiTheme="minorEastAsia" w:eastAsiaTheme="minorEastAsia"/>
                <w:sz w:val="18"/>
                <w:szCs w:val="18"/>
                <w:highlight w:val="none"/>
              </w:rPr>
              <w:t>综合物资</w:t>
            </w:r>
          </w:p>
        </w:tc>
      </w:tr>
    </w:tbl>
    <w:p>
      <w:pPr>
        <w:spacing w:line="500" w:lineRule="exact"/>
        <w:rPr>
          <w:rFonts w:ascii="宋体" w:hAnsi="宋体"/>
          <w:b/>
          <w:szCs w:val="21"/>
          <w:highlight w:val="none"/>
        </w:rPr>
      </w:pPr>
      <w:r>
        <w:rPr>
          <w:rFonts w:hint="eastAsia" w:ascii="宋体" w:hAnsi="宋体"/>
          <w:szCs w:val="21"/>
          <w:highlight w:val="none"/>
        </w:rPr>
        <w:t>采购范围详见附件1：采购需求一览表。</w:t>
      </w:r>
    </w:p>
    <w:p>
      <w:pPr>
        <w:spacing w:line="400" w:lineRule="exact"/>
        <w:rPr>
          <w:rFonts w:ascii="宋体" w:hAnsi="宋体"/>
          <w:b/>
          <w:szCs w:val="21"/>
          <w:highlight w:val="none"/>
        </w:rPr>
      </w:pPr>
      <w:r>
        <w:rPr>
          <w:rFonts w:hint="eastAsia" w:ascii="宋体" w:hAnsi="宋体"/>
          <w:b/>
          <w:szCs w:val="21"/>
          <w:highlight w:val="none"/>
        </w:rPr>
        <w:t>3. 应答人资格要求</w:t>
      </w:r>
    </w:p>
    <w:p>
      <w:pPr>
        <w:spacing w:line="400" w:lineRule="exact"/>
        <w:ind w:firstLine="420" w:firstLineChars="200"/>
        <w:rPr>
          <w:rFonts w:ascii="宋体" w:hAnsi="宋体"/>
          <w:szCs w:val="21"/>
          <w:highlight w:val="none"/>
        </w:rPr>
      </w:pPr>
      <w:r>
        <w:rPr>
          <w:rFonts w:hint="eastAsia" w:ascii="宋体" w:hAnsi="宋体"/>
          <w:szCs w:val="21"/>
          <w:highlight w:val="none"/>
        </w:rPr>
        <w:t>本次采购要求应答人须为中华人民共和国境内依法注册的法人或其它组织，须具备完成和保障如期交付承担采购项目的能力。</w:t>
      </w:r>
    </w:p>
    <w:p>
      <w:pPr>
        <w:spacing w:line="400" w:lineRule="exact"/>
        <w:ind w:firstLine="422" w:firstLineChars="200"/>
        <w:rPr>
          <w:rFonts w:ascii="宋体" w:hAnsi="宋体"/>
          <w:b/>
          <w:szCs w:val="21"/>
          <w:highlight w:val="none"/>
        </w:rPr>
      </w:pPr>
      <w:r>
        <w:rPr>
          <w:rFonts w:ascii="宋体" w:hAnsi="宋体"/>
          <w:b/>
          <w:szCs w:val="21"/>
          <w:highlight w:val="none"/>
        </w:rPr>
        <w:t>3.1应答人及其</w:t>
      </w:r>
      <w:r>
        <w:rPr>
          <w:rFonts w:hint="eastAsia" w:ascii="宋体" w:hAnsi="宋体"/>
          <w:b/>
          <w:szCs w:val="21"/>
          <w:highlight w:val="none"/>
        </w:rPr>
        <w:t>应答</w:t>
      </w:r>
      <w:r>
        <w:rPr>
          <w:rFonts w:ascii="宋体" w:hAnsi="宋体"/>
          <w:b/>
          <w:szCs w:val="21"/>
          <w:highlight w:val="none"/>
        </w:rPr>
        <w:t>的服务须满足如下通用资格要求：</w:t>
      </w:r>
    </w:p>
    <w:p>
      <w:pPr>
        <w:spacing w:line="400" w:lineRule="exact"/>
        <w:ind w:firstLine="420" w:firstLineChars="200"/>
        <w:rPr>
          <w:rFonts w:ascii="宋体" w:hAnsi="宋体"/>
          <w:szCs w:val="21"/>
          <w:highlight w:val="none"/>
        </w:rPr>
      </w:pPr>
      <w:r>
        <w:rPr>
          <w:rFonts w:hint="eastAsia" w:ascii="宋体" w:hAnsi="宋体"/>
          <w:szCs w:val="21"/>
          <w:highlight w:val="none"/>
        </w:rPr>
        <w:t>（1）根据最高人民法院、国家发改委等九部门联合印发的《关于在招标投标活动中对失信被执行人实施联合惩戒的通知》的规定，应答人不得被人民法院列为失信被执行人。联合体投标的，联合体各方均不得被人民法院列为失信被执行人。</w:t>
      </w:r>
    </w:p>
    <w:p>
      <w:pPr>
        <w:spacing w:line="400" w:lineRule="exact"/>
        <w:ind w:firstLine="420" w:firstLineChars="200"/>
        <w:rPr>
          <w:rFonts w:ascii="宋体" w:hAnsi="宋体"/>
          <w:szCs w:val="21"/>
          <w:highlight w:val="none"/>
        </w:rPr>
      </w:pPr>
      <w:r>
        <w:rPr>
          <w:rFonts w:hint="eastAsia" w:ascii="宋体" w:hAnsi="宋体"/>
          <w:szCs w:val="21"/>
          <w:highlight w:val="none"/>
        </w:rPr>
        <w:t>（2）根据国家发改委等部委联合印发《印发&lt;关于对电力行业严重违法失信市场主体及其有关人员实施联合惩戒的合作备忘录&gt;的通知》（发改运行〔2017〕946号）的规定，应答人不得被政府主管部门认定存在严重违法失信行为并纳入电力行业“黑名单”。联合体投标的，联合体各方均不得被政府主管部门认定存在严重违法失信行为并纳入电力行业“黑名单”。</w:t>
      </w:r>
    </w:p>
    <w:p>
      <w:pPr>
        <w:spacing w:line="400" w:lineRule="exact"/>
        <w:ind w:firstLine="420" w:firstLineChars="200"/>
        <w:rPr>
          <w:rFonts w:ascii="宋体" w:hAnsi="宋体"/>
          <w:szCs w:val="21"/>
          <w:highlight w:val="none"/>
        </w:rPr>
      </w:pPr>
      <w:r>
        <w:rPr>
          <w:rFonts w:hint="eastAsia" w:ascii="宋体" w:hAnsi="宋体"/>
          <w:szCs w:val="21"/>
          <w:highlight w:val="none"/>
        </w:rPr>
        <w:t>（3）如在成交人公示后，采购人接到对成交人行贿犯罪的举报，经查属实的，将取消成交人资格，并将其行为视为“在采购活动中提供虚假信息”，根据国家电网有限公司《供应商不良行为处理管理细则》规定纳入供应商不良行为处理。</w:t>
      </w:r>
    </w:p>
    <w:p>
      <w:pPr>
        <w:spacing w:line="400" w:lineRule="exact"/>
        <w:ind w:firstLine="420" w:firstLineChars="200"/>
        <w:rPr>
          <w:rFonts w:ascii="宋体" w:hAnsi="宋体"/>
          <w:szCs w:val="21"/>
          <w:highlight w:val="none"/>
        </w:rPr>
      </w:pPr>
      <w:r>
        <w:rPr>
          <w:rFonts w:hint="eastAsia" w:ascii="宋体" w:hAnsi="宋体"/>
          <w:szCs w:val="21"/>
          <w:highlight w:val="none"/>
        </w:rPr>
        <w:t>（4）应答人在商务文件中提供国家企业信用信息公示系统（http://www.gsxt.gov.cn/index.html）上打印的企业信用信息公示报告，报告中应包含“营业执照信息”、“列入经营异常名录信息”和“列入严重违法失信企业名单（黑名单）信息”，报告出具之日为开标日前一个月内。如应答人未提供企业信用信息公示报告，或提供的报告不符合采购文件规定的格式与内容，或报告内容被评审委员会认定有异议的，应答人的“列入经营异常名录信息”和“列入严重违法失信企业名单（黑名单）信息”以评审委员会在国家企业信用信息公示系统（http://www.gsxt.gov.cn/index.html）的查询的结果为准。评审委员会将会对未提供或提供的报告不符合采购文件规定的格式与内容的应答人作出不利的评价。</w:t>
      </w:r>
    </w:p>
    <w:p>
      <w:pPr>
        <w:spacing w:line="400" w:lineRule="exact"/>
        <w:ind w:firstLine="420" w:firstLineChars="200"/>
        <w:rPr>
          <w:rFonts w:ascii="宋体" w:hAnsi="宋体"/>
          <w:szCs w:val="21"/>
          <w:highlight w:val="none"/>
        </w:rPr>
      </w:pPr>
      <w:r>
        <w:rPr>
          <w:rFonts w:ascii="宋体" w:hAnsi="宋体"/>
          <w:szCs w:val="21"/>
          <w:highlight w:val="none"/>
        </w:rPr>
        <w:t>（</w:t>
      </w:r>
      <w:r>
        <w:rPr>
          <w:rFonts w:hint="eastAsia" w:ascii="宋体" w:hAnsi="宋体"/>
          <w:szCs w:val="21"/>
          <w:highlight w:val="none"/>
        </w:rPr>
        <w:t>5</w:t>
      </w:r>
      <w:r>
        <w:rPr>
          <w:rFonts w:ascii="宋体" w:hAnsi="宋体"/>
          <w:szCs w:val="21"/>
          <w:highlight w:val="none"/>
        </w:rPr>
        <w:t>）</w:t>
      </w:r>
      <w:r>
        <w:rPr>
          <w:rFonts w:hint="eastAsia" w:ascii="宋体" w:hAnsi="宋体"/>
          <w:szCs w:val="21"/>
          <w:highlight w:val="none"/>
        </w:rPr>
        <w:t>不良行为处理：在国内招投标活动、合同履行、质保期服务过程中，按照《国家电网有限公司供应商不良行为处理管理细则》规定，未存在因不良行为导致本批次暂停、取消或永久取消中标资格的。</w:t>
      </w:r>
    </w:p>
    <w:p>
      <w:pPr>
        <w:spacing w:line="400" w:lineRule="exact"/>
        <w:ind w:firstLine="420" w:firstLineChars="200"/>
        <w:rPr>
          <w:rFonts w:ascii="宋体" w:hAnsi="宋体"/>
          <w:szCs w:val="21"/>
          <w:highlight w:val="none"/>
        </w:rPr>
      </w:pPr>
      <w:r>
        <w:rPr>
          <w:rFonts w:ascii="宋体" w:hAnsi="宋体"/>
          <w:szCs w:val="21"/>
          <w:highlight w:val="none"/>
        </w:rPr>
        <w:t>（</w:t>
      </w:r>
      <w:r>
        <w:rPr>
          <w:rFonts w:hint="eastAsia" w:ascii="宋体" w:hAnsi="宋体"/>
          <w:szCs w:val="21"/>
          <w:highlight w:val="none"/>
        </w:rPr>
        <w:t>6</w:t>
      </w:r>
      <w:r>
        <w:rPr>
          <w:rFonts w:ascii="宋体" w:hAnsi="宋体"/>
          <w:szCs w:val="21"/>
          <w:highlight w:val="none"/>
        </w:rPr>
        <w:t>）</w:t>
      </w:r>
      <w:r>
        <w:rPr>
          <w:rFonts w:hint="eastAsia" w:ascii="宋体" w:hAnsi="宋体"/>
          <w:szCs w:val="21"/>
          <w:highlight w:val="none"/>
        </w:rPr>
        <w:t>联合体应答：本批次采购不接受联合体应答。</w:t>
      </w:r>
    </w:p>
    <w:p>
      <w:pPr>
        <w:spacing w:line="400" w:lineRule="exact"/>
        <w:ind w:firstLine="420" w:firstLineChars="200"/>
        <w:rPr>
          <w:rFonts w:ascii="宋体" w:hAnsi="宋体"/>
          <w:szCs w:val="21"/>
          <w:highlight w:val="none"/>
        </w:rPr>
      </w:pPr>
      <w:r>
        <w:rPr>
          <w:rFonts w:ascii="宋体" w:hAnsi="宋体"/>
          <w:szCs w:val="21"/>
          <w:highlight w:val="none"/>
        </w:rPr>
        <w:t>（</w:t>
      </w:r>
      <w:r>
        <w:rPr>
          <w:rFonts w:hint="eastAsia" w:ascii="宋体" w:hAnsi="宋体"/>
          <w:szCs w:val="21"/>
          <w:highlight w:val="none"/>
        </w:rPr>
        <w:t>7</w:t>
      </w:r>
      <w:r>
        <w:rPr>
          <w:rFonts w:ascii="宋体" w:hAnsi="宋体"/>
          <w:szCs w:val="21"/>
          <w:highlight w:val="none"/>
        </w:rPr>
        <w:t>）应答人不得存在下列情形之一：</w:t>
      </w:r>
    </w:p>
    <w:p>
      <w:pPr>
        <w:numPr>
          <w:ilvl w:val="0"/>
          <w:numId w:val="1"/>
        </w:numPr>
        <w:spacing w:line="400" w:lineRule="exact"/>
        <w:rPr>
          <w:rFonts w:ascii="宋体" w:hAnsi="宋体"/>
          <w:szCs w:val="21"/>
          <w:highlight w:val="none"/>
        </w:rPr>
      </w:pPr>
      <w:r>
        <w:rPr>
          <w:rFonts w:ascii="宋体" w:hAnsi="宋体"/>
          <w:szCs w:val="21"/>
          <w:highlight w:val="none"/>
        </w:rPr>
        <w:t>为</w:t>
      </w:r>
      <w:r>
        <w:rPr>
          <w:rFonts w:hint="eastAsia" w:ascii="宋体" w:hAnsi="宋体"/>
          <w:szCs w:val="21"/>
          <w:highlight w:val="none"/>
        </w:rPr>
        <w:t>采购</w:t>
      </w:r>
      <w:r>
        <w:rPr>
          <w:rFonts w:ascii="宋体" w:hAnsi="宋体"/>
          <w:szCs w:val="21"/>
          <w:highlight w:val="none"/>
        </w:rPr>
        <w:t>人不具备独立法人资格的附属机构（单位）；</w:t>
      </w:r>
    </w:p>
    <w:p>
      <w:pPr>
        <w:numPr>
          <w:ilvl w:val="0"/>
          <w:numId w:val="1"/>
        </w:numPr>
        <w:spacing w:line="400" w:lineRule="exact"/>
        <w:rPr>
          <w:rFonts w:ascii="宋体" w:hAnsi="宋体"/>
          <w:szCs w:val="21"/>
          <w:highlight w:val="none"/>
        </w:rPr>
      </w:pPr>
      <w:r>
        <w:rPr>
          <w:rFonts w:ascii="宋体" w:hAnsi="宋体"/>
          <w:szCs w:val="21"/>
          <w:highlight w:val="none"/>
        </w:rPr>
        <w:t>被责令停业的；</w:t>
      </w:r>
    </w:p>
    <w:p>
      <w:pPr>
        <w:numPr>
          <w:ilvl w:val="0"/>
          <w:numId w:val="1"/>
        </w:numPr>
        <w:spacing w:line="400" w:lineRule="exact"/>
        <w:rPr>
          <w:rFonts w:ascii="宋体" w:hAnsi="宋体"/>
          <w:szCs w:val="21"/>
          <w:highlight w:val="none"/>
        </w:rPr>
      </w:pPr>
      <w:r>
        <w:rPr>
          <w:rFonts w:ascii="宋体" w:hAnsi="宋体"/>
          <w:szCs w:val="21"/>
          <w:highlight w:val="none"/>
        </w:rPr>
        <w:t>被暂停或取消</w:t>
      </w:r>
      <w:r>
        <w:rPr>
          <w:rFonts w:hint="eastAsia" w:ascii="宋体" w:hAnsi="宋体"/>
          <w:szCs w:val="21"/>
          <w:highlight w:val="none"/>
        </w:rPr>
        <w:t>应答</w:t>
      </w:r>
      <w:r>
        <w:rPr>
          <w:rFonts w:ascii="宋体" w:hAnsi="宋体"/>
          <w:szCs w:val="21"/>
          <w:highlight w:val="none"/>
        </w:rPr>
        <w:t>资格的；</w:t>
      </w:r>
    </w:p>
    <w:p>
      <w:pPr>
        <w:numPr>
          <w:ilvl w:val="0"/>
          <w:numId w:val="1"/>
        </w:numPr>
        <w:spacing w:line="400" w:lineRule="exact"/>
        <w:rPr>
          <w:rFonts w:ascii="宋体" w:hAnsi="宋体"/>
          <w:szCs w:val="21"/>
          <w:highlight w:val="none"/>
        </w:rPr>
      </w:pPr>
      <w:r>
        <w:rPr>
          <w:rFonts w:ascii="宋体" w:hAnsi="宋体"/>
          <w:szCs w:val="21"/>
          <w:highlight w:val="none"/>
        </w:rPr>
        <w:t>财产被接管或冻结的；</w:t>
      </w:r>
    </w:p>
    <w:p>
      <w:pPr>
        <w:numPr>
          <w:ilvl w:val="0"/>
          <w:numId w:val="1"/>
        </w:numPr>
        <w:spacing w:line="400" w:lineRule="exact"/>
        <w:rPr>
          <w:rFonts w:ascii="宋体" w:hAnsi="宋体"/>
          <w:szCs w:val="21"/>
          <w:highlight w:val="none"/>
        </w:rPr>
      </w:pPr>
      <w:r>
        <w:rPr>
          <w:rFonts w:ascii="宋体" w:hAnsi="宋体"/>
          <w:szCs w:val="21"/>
          <w:highlight w:val="none"/>
        </w:rPr>
        <w:t>在最近三年内有骗取中标或严重违约或重大工程质量问题责任追溯措施未全面落实的；</w:t>
      </w:r>
    </w:p>
    <w:p>
      <w:pPr>
        <w:numPr>
          <w:ilvl w:val="0"/>
          <w:numId w:val="1"/>
        </w:numPr>
        <w:spacing w:line="400" w:lineRule="exact"/>
        <w:rPr>
          <w:rFonts w:ascii="宋体" w:hAnsi="宋体"/>
          <w:szCs w:val="21"/>
          <w:highlight w:val="none"/>
        </w:rPr>
      </w:pPr>
      <w:r>
        <w:rPr>
          <w:rFonts w:ascii="宋体" w:hAnsi="宋体"/>
          <w:szCs w:val="21"/>
          <w:highlight w:val="none"/>
        </w:rPr>
        <w:t>单位负责人为同一人或者存在控股、管理关系的不同单位，不得同时参加本（批）次</w:t>
      </w:r>
      <w:r>
        <w:rPr>
          <w:rFonts w:hint="eastAsia" w:ascii="宋体" w:hAnsi="宋体"/>
          <w:szCs w:val="21"/>
          <w:highlight w:val="none"/>
        </w:rPr>
        <w:t>采购同一</w:t>
      </w:r>
      <w:r>
        <w:rPr>
          <w:rFonts w:ascii="宋体" w:hAnsi="宋体"/>
          <w:szCs w:val="21"/>
          <w:highlight w:val="none"/>
        </w:rPr>
        <w:t>标包</w:t>
      </w:r>
      <w:r>
        <w:rPr>
          <w:rFonts w:hint="eastAsia" w:ascii="宋体" w:hAnsi="宋体"/>
          <w:szCs w:val="21"/>
          <w:highlight w:val="none"/>
        </w:rPr>
        <w:t>应答</w:t>
      </w:r>
      <w:r>
        <w:rPr>
          <w:rFonts w:ascii="宋体" w:hAnsi="宋体"/>
          <w:szCs w:val="21"/>
          <w:highlight w:val="none"/>
        </w:rPr>
        <w:t>。</w:t>
      </w:r>
    </w:p>
    <w:p>
      <w:pPr>
        <w:spacing w:line="400" w:lineRule="exact"/>
        <w:ind w:firstLine="422" w:firstLineChars="200"/>
        <w:rPr>
          <w:rFonts w:ascii="宋体" w:hAnsi="宋体"/>
          <w:b/>
          <w:szCs w:val="21"/>
          <w:highlight w:val="none"/>
        </w:rPr>
      </w:pPr>
      <w:r>
        <w:rPr>
          <w:rFonts w:hint="eastAsia" w:ascii="宋体" w:hAnsi="宋体"/>
          <w:b/>
          <w:szCs w:val="21"/>
          <w:highlight w:val="none"/>
        </w:rPr>
        <w:t>3.2应答人及其应答的服务须满足相应采购项目的专用资格要求:</w:t>
      </w:r>
    </w:p>
    <w:tbl>
      <w:tblPr>
        <w:tblStyle w:val="11"/>
        <w:tblpPr w:leftFromText="180" w:rightFromText="180" w:vertAnchor="text" w:horzAnchor="page" w:tblpX="1547" w:tblpY="29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10"/>
        <w:gridCol w:w="1292"/>
        <w:gridCol w:w="708"/>
        <w:gridCol w:w="983"/>
        <w:gridCol w:w="1152"/>
        <w:gridCol w:w="29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1189" w:type="pct"/>
            <w:vAlign w:val="center"/>
          </w:tcPr>
          <w:p>
            <w:pPr>
              <w:pStyle w:val="9"/>
              <w:spacing w:line="240" w:lineRule="exact"/>
              <w:jc w:val="center"/>
              <w:rPr>
                <w:kern w:val="0"/>
                <w:sz w:val="18"/>
                <w:szCs w:val="18"/>
                <w:highlight w:val="none"/>
              </w:rPr>
            </w:pPr>
            <w:r>
              <w:rPr>
                <w:rFonts w:hint="eastAsia"/>
                <w:kern w:val="0"/>
                <w:sz w:val="18"/>
                <w:szCs w:val="18"/>
                <w:highlight w:val="none"/>
              </w:rPr>
              <w:t>分标编号</w:t>
            </w:r>
          </w:p>
        </w:tc>
        <w:tc>
          <w:tcPr>
            <w:tcW w:w="695" w:type="pct"/>
            <w:vAlign w:val="center"/>
          </w:tcPr>
          <w:p>
            <w:pPr>
              <w:pStyle w:val="9"/>
              <w:spacing w:line="240" w:lineRule="exact"/>
              <w:jc w:val="center"/>
              <w:rPr>
                <w:kern w:val="0"/>
                <w:sz w:val="18"/>
                <w:szCs w:val="18"/>
                <w:highlight w:val="none"/>
              </w:rPr>
            </w:pPr>
            <w:r>
              <w:rPr>
                <w:rFonts w:hint="eastAsia"/>
                <w:kern w:val="0"/>
                <w:sz w:val="18"/>
                <w:szCs w:val="18"/>
                <w:highlight w:val="none"/>
              </w:rPr>
              <w:t>分标名称</w:t>
            </w:r>
          </w:p>
        </w:tc>
        <w:tc>
          <w:tcPr>
            <w:tcW w:w="381" w:type="pct"/>
            <w:vAlign w:val="center"/>
          </w:tcPr>
          <w:p>
            <w:pPr>
              <w:pStyle w:val="9"/>
              <w:spacing w:line="240" w:lineRule="exact"/>
              <w:jc w:val="center"/>
              <w:rPr>
                <w:kern w:val="0"/>
                <w:sz w:val="18"/>
                <w:szCs w:val="18"/>
                <w:highlight w:val="none"/>
              </w:rPr>
            </w:pPr>
            <w:r>
              <w:rPr>
                <w:rFonts w:hint="eastAsia"/>
                <w:kern w:val="0"/>
                <w:sz w:val="18"/>
                <w:szCs w:val="18"/>
                <w:highlight w:val="none"/>
              </w:rPr>
              <w:t>包号</w:t>
            </w:r>
          </w:p>
        </w:tc>
        <w:tc>
          <w:tcPr>
            <w:tcW w:w="529" w:type="pct"/>
            <w:vAlign w:val="center"/>
          </w:tcPr>
          <w:p>
            <w:pPr>
              <w:widowControl/>
              <w:spacing w:line="300" w:lineRule="exact"/>
              <w:jc w:val="center"/>
              <w:textAlignment w:val="center"/>
              <w:rPr>
                <w:rFonts w:ascii="宋体" w:hAnsi="宋体" w:cs="宋体"/>
                <w:b/>
                <w:kern w:val="0"/>
                <w:sz w:val="18"/>
                <w:szCs w:val="18"/>
                <w:highlight w:val="none"/>
              </w:rPr>
            </w:pPr>
            <w:r>
              <w:rPr>
                <w:rFonts w:hint="eastAsia" w:ascii="宋体" w:hAnsi="宋体" w:cs="宋体"/>
                <w:b/>
                <w:kern w:val="0"/>
                <w:sz w:val="18"/>
                <w:szCs w:val="18"/>
                <w:highlight w:val="none"/>
              </w:rPr>
              <w:t>厂商要求</w:t>
            </w:r>
          </w:p>
        </w:tc>
        <w:tc>
          <w:tcPr>
            <w:tcW w:w="620" w:type="pct"/>
            <w:vAlign w:val="center"/>
          </w:tcPr>
          <w:p>
            <w:pPr>
              <w:widowControl/>
              <w:spacing w:line="300" w:lineRule="exact"/>
              <w:jc w:val="center"/>
              <w:textAlignment w:val="center"/>
              <w:rPr>
                <w:rFonts w:ascii="宋体" w:hAnsi="宋体" w:cs="宋体"/>
                <w:b/>
                <w:sz w:val="18"/>
                <w:szCs w:val="18"/>
                <w:highlight w:val="none"/>
              </w:rPr>
            </w:pPr>
            <w:r>
              <w:rPr>
                <w:rFonts w:hint="eastAsia" w:ascii="宋体" w:hAnsi="宋体" w:cs="宋体"/>
                <w:b/>
                <w:kern w:val="0"/>
                <w:sz w:val="18"/>
                <w:szCs w:val="18"/>
                <w:highlight w:val="none"/>
              </w:rPr>
              <w:t>项目概况</w:t>
            </w:r>
          </w:p>
        </w:tc>
        <w:tc>
          <w:tcPr>
            <w:tcW w:w="1583" w:type="pct"/>
            <w:vAlign w:val="center"/>
          </w:tcPr>
          <w:p>
            <w:pPr>
              <w:pStyle w:val="9"/>
              <w:spacing w:line="240" w:lineRule="exact"/>
              <w:jc w:val="center"/>
              <w:rPr>
                <w:kern w:val="0"/>
                <w:sz w:val="18"/>
                <w:szCs w:val="18"/>
                <w:highlight w:val="none"/>
              </w:rPr>
            </w:pPr>
            <w:r>
              <w:rPr>
                <w:rFonts w:hint="eastAsia"/>
                <w:kern w:val="0"/>
                <w:sz w:val="18"/>
                <w:szCs w:val="18"/>
                <w:highlight w:val="none"/>
              </w:rPr>
              <w:t>业绩要求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7" w:hRule="exact"/>
        </w:trPr>
        <w:tc>
          <w:tcPr>
            <w:tcW w:w="1189" w:type="pct"/>
            <w:vAlign w:val="center"/>
          </w:tcPr>
          <w:p>
            <w:pPr>
              <w:spacing w:line="240" w:lineRule="exact"/>
              <w:jc w:val="center"/>
              <w:rPr>
                <w:rFonts w:cs="Arial" w:asciiTheme="minorEastAsia" w:hAnsiTheme="minorEastAsia" w:eastAsiaTheme="minorEastAsia"/>
                <w:kern w:val="0"/>
                <w:sz w:val="18"/>
                <w:szCs w:val="18"/>
                <w:highlight w:val="none"/>
              </w:rPr>
            </w:pPr>
            <w:r>
              <w:rPr>
                <w:rFonts w:hint="eastAsia" w:cs="Arial" w:asciiTheme="minorEastAsia" w:hAnsiTheme="minorEastAsia" w:eastAsiaTheme="minorEastAsia"/>
                <w:kern w:val="0"/>
                <w:sz w:val="18"/>
                <w:szCs w:val="18"/>
                <w:highlight w:val="none"/>
              </w:rPr>
              <w:t>WRWC22-WZ-JT0301</w:t>
            </w:r>
            <w:r>
              <w:rPr>
                <w:rFonts w:cs="Arial" w:asciiTheme="minorEastAsia" w:hAnsiTheme="minorEastAsia" w:eastAsiaTheme="minorEastAsia"/>
                <w:kern w:val="0"/>
                <w:sz w:val="18"/>
                <w:szCs w:val="18"/>
                <w:highlight w:val="none"/>
              </w:rPr>
              <w:t>-01</w:t>
            </w:r>
          </w:p>
        </w:tc>
        <w:tc>
          <w:tcPr>
            <w:tcW w:w="695" w:type="pct"/>
            <w:vAlign w:val="center"/>
          </w:tcPr>
          <w:p>
            <w:pPr>
              <w:spacing w:line="240" w:lineRule="exact"/>
              <w:jc w:val="center"/>
              <w:rPr>
                <w:rFonts w:cs="Arial" w:asciiTheme="minorEastAsia" w:hAnsiTheme="minorEastAsia" w:eastAsiaTheme="minorEastAsia"/>
                <w:kern w:val="0"/>
                <w:sz w:val="18"/>
                <w:szCs w:val="18"/>
                <w:highlight w:val="none"/>
              </w:rPr>
            </w:pPr>
            <w:r>
              <w:rPr>
                <w:rFonts w:hint="eastAsia" w:cs="Arial" w:asciiTheme="minorEastAsia" w:hAnsiTheme="minorEastAsia" w:eastAsiaTheme="minorEastAsia"/>
                <w:kern w:val="0"/>
                <w:sz w:val="18"/>
                <w:szCs w:val="18"/>
                <w:highlight w:val="none"/>
              </w:rPr>
              <w:t>综合物资</w:t>
            </w:r>
          </w:p>
        </w:tc>
        <w:tc>
          <w:tcPr>
            <w:tcW w:w="381" w:type="pct"/>
            <w:vAlign w:val="center"/>
          </w:tcPr>
          <w:p>
            <w:pPr>
              <w:spacing w:line="240" w:lineRule="exact"/>
              <w:jc w:val="center"/>
              <w:rPr>
                <w:rFonts w:cs="Arial" w:asciiTheme="minorEastAsia" w:hAnsiTheme="minorEastAsia" w:eastAsiaTheme="minorEastAsia"/>
                <w:kern w:val="0"/>
                <w:sz w:val="18"/>
                <w:szCs w:val="18"/>
                <w:highlight w:val="none"/>
              </w:rPr>
            </w:pPr>
            <w:r>
              <w:rPr>
                <w:rFonts w:hint="eastAsia" w:cs="Arial" w:asciiTheme="minorEastAsia" w:hAnsiTheme="minorEastAsia" w:eastAsiaTheme="minorEastAsia"/>
                <w:kern w:val="0"/>
                <w:sz w:val="18"/>
                <w:szCs w:val="18"/>
                <w:highlight w:val="none"/>
              </w:rPr>
              <w:t>包01</w:t>
            </w:r>
          </w:p>
        </w:tc>
        <w:tc>
          <w:tcPr>
            <w:tcW w:w="529" w:type="pct"/>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生产商/集货商</w:t>
            </w:r>
          </w:p>
        </w:tc>
        <w:tc>
          <w:tcPr>
            <w:tcW w:w="620" w:type="pct"/>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详见技术规范书</w:t>
            </w:r>
          </w:p>
        </w:tc>
        <w:tc>
          <w:tcPr>
            <w:tcW w:w="2942" w:type="dxa"/>
            <w:vAlign w:val="center"/>
          </w:tcPr>
          <w:p>
            <w:pPr>
              <w:widowControl/>
              <w:spacing w:line="300" w:lineRule="exact"/>
              <w:jc w:val="left"/>
              <w:textAlignment w:val="center"/>
              <w:rPr>
                <w:rFonts w:ascii="宋体" w:hAnsi="宋体" w:cs="宋体"/>
                <w:bCs/>
                <w:kern w:val="0"/>
                <w:sz w:val="18"/>
                <w:szCs w:val="18"/>
                <w:highlight w:val="none"/>
                <w:lang w:val="en-GB"/>
              </w:rPr>
            </w:pPr>
            <w:r>
              <w:rPr>
                <w:rFonts w:hint="eastAsia" w:ascii="宋体" w:hAnsi="宋体" w:cs="宋体"/>
                <w:bCs/>
                <w:kern w:val="0"/>
                <w:sz w:val="18"/>
                <w:szCs w:val="18"/>
                <w:highlight w:val="none"/>
              </w:rPr>
              <w:t>1.应为中华人民共和国境内注册的独立法人企业，须具备完成相应采购项目的能力</w:t>
            </w:r>
            <w:r>
              <w:rPr>
                <w:rFonts w:hint="eastAsia" w:ascii="宋体" w:hAnsi="宋体" w:cs="宋体"/>
                <w:bCs/>
                <w:kern w:val="0"/>
                <w:sz w:val="18"/>
                <w:szCs w:val="18"/>
                <w:highlight w:val="none"/>
              </w:rPr>
              <w:br w:type="textWrapping"/>
            </w:r>
            <w:r>
              <w:rPr>
                <w:rFonts w:hint="eastAsia" w:ascii="宋体" w:hAnsi="宋体" w:cs="宋体"/>
                <w:bCs/>
                <w:kern w:val="0"/>
                <w:sz w:val="18"/>
                <w:szCs w:val="18"/>
                <w:highlight w:val="none"/>
              </w:rPr>
              <w:t>2.2019年1月1日至采购公告发布日具有类似项目业绩1个，且合同金额不少于20万，提供合同或发票。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4" w:hRule="exact"/>
        </w:trPr>
        <w:tc>
          <w:tcPr>
            <w:tcW w:w="1189" w:type="pct"/>
            <w:vAlign w:val="center"/>
          </w:tcPr>
          <w:p>
            <w:pPr>
              <w:spacing w:line="240" w:lineRule="exact"/>
              <w:jc w:val="center"/>
              <w:rPr>
                <w:rFonts w:cs="Arial" w:asciiTheme="minorEastAsia" w:hAnsiTheme="minorEastAsia" w:eastAsiaTheme="minorEastAsia"/>
                <w:kern w:val="0"/>
                <w:sz w:val="18"/>
                <w:szCs w:val="18"/>
                <w:highlight w:val="none"/>
              </w:rPr>
            </w:pPr>
            <w:r>
              <w:rPr>
                <w:rFonts w:hint="eastAsia" w:cs="Arial" w:asciiTheme="minorEastAsia" w:hAnsiTheme="minorEastAsia" w:eastAsiaTheme="minorEastAsia"/>
                <w:kern w:val="0"/>
                <w:sz w:val="18"/>
                <w:szCs w:val="18"/>
                <w:highlight w:val="none"/>
              </w:rPr>
              <w:t>WRWC22-WZ-JT0301</w:t>
            </w:r>
            <w:r>
              <w:rPr>
                <w:rFonts w:cs="Arial" w:asciiTheme="minorEastAsia" w:hAnsiTheme="minorEastAsia" w:eastAsiaTheme="minorEastAsia"/>
                <w:kern w:val="0"/>
                <w:sz w:val="18"/>
                <w:szCs w:val="18"/>
                <w:highlight w:val="none"/>
              </w:rPr>
              <w:t>-01</w:t>
            </w:r>
          </w:p>
        </w:tc>
        <w:tc>
          <w:tcPr>
            <w:tcW w:w="695" w:type="pct"/>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综合物资</w:t>
            </w:r>
          </w:p>
        </w:tc>
        <w:tc>
          <w:tcPr>
            <w:tcW w:w="381" w:type="pct"/>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包02</w:t>
            </w:r>
          </w:p>
        </w:tc>
        <w:tc>
          <w:tcPr>
            <w:tcW w:w="529" w:type="pct"/>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生产商/集货商</w:t>
            </w:r>
          </w:p>
        </w:tc>
        <w:tc>
          <w:tcPr>
            <w:tcW w:w="620" w:type="pct"/>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详见技术规范书</w:t>
            </w:r>
          </w:p>
        </w:tc>
        <w:tc>
          <w:tcPr>
            <w:tcW w:w="2942" w:type="dxa"/>
            <w:vAlign w:val="center"/>
          </w:tcPr>
          <w:p>
            <w:pPr>
              <w:widowControl/>
              <w:spacing w:line="300" w:lineRule="exact"/>
              <w:jc w:val="left"/>
              <w:textAlignment w:val="center"/>
              <w:rPr>
                <w:rFonts w:ascii="宋体" w:hAnsi="宋体" w:cs="宋体"/>
                <w:bCs/>
                <w:kern w:val="0"/>
                <w:sz w:val="18"/>
                <w:szCs w:val="18"/>
                <w:highlight w:val="none"/>
                <w:lang w:val="en-GB"/>
              </w:rPr>
            </w:pPr>
            <w:r>
              <w:rPr>
                <w:rFonts w:hint="eastAsia" w:ascii="宋体" w:hAnsi="宋体" w:cs="宋体"/>
                <w:bCs/>
                <w:kern w:val="0"/>
                <w:sz w:val="18"/>
                <w:szCs w:val="18"/>
                <w:highlight w:val="none"/>
              </w:rPr>
              <w:t>1.应为中华人民共和国境内注册的独立法人企业，须具备完成相应采购项目的能力</w:t>
            </w:r>
            <w:r>
              <w:rPr>
                <w:rFonts w:hint="eastAsia" w:ascii="宋体" w:hAnsi="宋体" w:cs="宋体"/>
                <w:bCs/>
                <w:kern w:val="0"/>
                <w:sz w:val="18"/>
                <w:szCs w:val="18"/>
                <w:highlight w:val="none"/>
              </w:rPr>
              <w:br w:type="textWrapping"/>
            </w:r>
            <w:r>
              <w:rPr>
                <w:rFonts w:hint="eastAsia" w:ascii="宋体" w:hAnsi="宋体" w:cs="宋体"/>
                <w:bCs/>
                <w:kern w:val="0"/>
                <w:sz w:val="18"/>
                <w:szCs w:val="18"/>
                <w:highlight w:val="none"/>
              </w:rPr>
              <w:t>2.2019年1月1日至采购公告发布日具有类似项目业绩1个，且合同金额不少于20万，提供合同或发票。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exact"/>
        </w:trPr>
        <w:tc>
          <w:tcPr>
            <w:tcW w:w="2210" w:type="dxa"/>
            <w:vAlign w:val="center"/>
          </w:tcPr>
          <w:p>
            <w:pPr>
              <w:spacing w:line="240" w:lineRule="exact"/>
              <w:jc w:val="center"/>
              <w:rPr>
                <w:rFonts w:cs="Arial" w:asciiTheme="minorEastAsia" w:hAnsiTheme="minorEastAsia" w:eastAsiaTheme="minorEastAsia"/>
                <w:kern w:val="0"/>
                <w:sz w:val="18"/>
                <w:szCs w:val="18"/>
                <w:highlight w:val="none"/>
              </w:rPr>
            </w:pPr>
            <w:r>
              <w:rPr>
                <w:rFonts w:hint="eastAsia" w:cs="Arial" w:asciiTheme="minorEastAsia" w:hAnsiTheme="minorEastAsia" w:eastAsiaTheme="minorEastAsia"/>
                <w:kern w:val="0"/>
                <w:sz w:val="18"/>
                <w:szCs w:val="18"/>
                <w:highlight w:val="none"/>
              </w:rPr>
              <w:t>WRWC22-WZ-JT0301</w:t>
            </w:r>
            <w:r>
              <w:rPr>
                <w:rFonts w:cs="Arial" w:asciiTheme="minorEastAsia" w:hAnsiTheme="minorEastAsia" w:eastAsiaTheme="minorEastAsia"/>
                <w:kern w:val="0"/>
                <w:sz w:val="18"/>
                <w:szCs w:val="18"/>
                <w:highlight w:val="none"/>
              </w:rPr>
              <w:t>-01</w:t>
            </w:r>
          </w:p>
        </w:tc>
        <w:tc>
          <w:tcPr>
            <w:tcW w:w="1292" w:type="dxa"/>
            <w:vAlign w:val="center"/>
          </w:tcPr>
          <w:p>
            <w:pPr>
              <w:spacing w:line="240" w:lineRule="exact"/>
              <w:jc w:val="center"/>
              <w:rPr>
                <w:rFonts w:ascii="宋体" w:hAnsi="宋体" w:cs="宋体"/>
                <w:bCs/>
                <w:kern w:val="0"/>
                <w:sz w:val="18"/>
                <w:szCs w:val="18"/>
                <w:highlight w:val="none"/>
              </w:rPr>
            </w:pPr>
            <w:r>
              <w:rPr>
                <w:rFonts w:hint="eastAsia" w:cs="Arial" w:asciiTheme="minorEastAsia" w:hAnsiTheme="minorEastAsia" w:eastAsiaTheme="minorEastAsia"/>
                <w:kern w:val="0"/>
                <w:sz w:val="18"/>
                <w:szCs w:val="18"/>
                <w:highlight w:val="none"/>
              </w:rPr>
              <w:t>综合物资</w:t>
            </w:r>
          </w:p>
        </w:tc>
        <w:tc>
          <w:tcPr>
            <w:tcW w:w="708" w:type="dxa"/>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包03</w:t>
            </w:r>
          </w:p>
        </w:tc>
        <w:tc>
          <w:tcPr>
            <w:tcW w:w="529" w:type="pct"/>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生产商/集货商</w:t>
            </w:r>
          </w:p>
        </w:tc>
        <w:tc>
          <w:tcPr>
            <w:tcW w:w="620" w:type="pct"/>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详见技术规范书</w:t>
            </w:r>
          </w:p>
        </w:tc>
        <w:tc>
          <w:tcPr>
            <w:tcW w:w="2942" w:type="dxa"/>
            <w:vAlign w:val="center"/>
          </w:tcPr>
          <w:p>
            <w:pPr>
              <w:widowControl/>
              <w:spacing w:line="300" w:lineRule="exact"/>
              <w:jc w:val="left"/>
              <w:textAlignment w:val="center"/>
              <w:rPr>
                <w:rFonts w:ascii="宋体" w:hAnsi="宋体" w:cs="宋体"/>
                <w:bCs/>
                <w:kern w:val="0"/>
                <w:sz w:val="18"/>
                <w:szCs w:val="18"/>
                <w:highlight w:val="none"/>
                <w:lang w:val="en-GB"/>
              </w:rPr>
            </w:pPr>
            <w:r>
              <w:rPr>
                <w:rFonts w:hint="eastAsia" w:ascii="宋体" w:hAnsi="宋体" w:cs="宋体"/>
                <w:bCs/>
                <w:kern w:val="0"/>
                <w:sz w:val="18"/>
                <w:szCs w:val="18"/>
                <w:highlight w:val="none"/>
              </w:rPr>
              <w:t>应为中华人民共和国境内注册的独立法人企业，须具备完成相应采购项目的能力。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exact"/>
        </w:trPr>
        <w:tc>
          <w:tcPr>
            <w:tcW w:w="2210" w:type="dxa"/>
            <w:vAlign w:val="center"/>
          </w:tcPr>
          <w:p>
            <w:pPr>
              <w:spacing w:line="240" w:lineRule="exact"/>
              <w:jc w:val="center"/>
              <w:rPr>
                <w:rFonts w:cs="Arial" w:asciiTheme="minorEastAsia" w:hAnsiTheme="minorEastAsia" w:eastAsiaTheme="minorEastAsia"/>
                <w:kern w:val="0"/>
                <w:sz w:val="18"/>
                <w:szCs w:val="18"/>
                <w:highlight w:val="none"/>
              </w:rPr>
            </w:pPr>
            <w:r>
              <w:rPr>
                <w:rFonts w:hint="eastAsia" w:cs="Arial" w:asciiTheme="minorEastAsia" w:hAnsiTheme="minorEastAsia" w:eastAsiaTheme="minorEastAsia"/>
                <w:kern w:val="0"/>
                <w:sz w:val="18"/>
                <w:szCs w:val="18"/>
                <w:highlight w:val="none"/>
              </w:rPr>
              <w:t>WRWC22-WZ-JT0301</w:t>
            </w:r>
            <w:r>
              <w:rPr>
                <w:rFonts w:cs="Arial" w:asciiTheme="minorEastAsia" w:hAnsiTheme="minorEastAsia" w:eastAsiaTheme="minorEastAsia"/>
                <w:kern w:val="0"/>
                <w:sz w:val="18"/>
                <w:szCs w:val="18"/>
                <w:highlight w:val="none"/>
              </w:rPr>
              <w:t>-01</w:t>
            </w:r>
          </w:p>
        </w:tc>
        <w:tc>
          <w:tcPr>
            <w:tcW w:w="1292" w:type="dxa"/>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综合物资</w:t>
            </w:r>
          </w:p>
        </w:tc>
        <w:tc>
          <w:tcPr>
            <w:tcW w:w="708" w:type="dxa"/>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包04</w:t>
            </w:r>
          </w:p>
        </w:tc>
        <w:tc>
          <w:tcPr>
            <w:tcW w:w="529" w:type="pct"/>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生产商/集货商</w:t>
            </w:r>
          </w:p>
        </w:tc>
        <w:tc>
          <w:tcPr>
            <w:tcW w:w="620" w:type="pct"/>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详见技术规范书</w:t>
            </w:r>
          </w:p>
        </w:tc>
        <w:tc>
          <w:tcPr>
            <w:tcW w:w="2942" w:type="dxa"/>
            <w:vAlign w:val="center"/>
          </w:tcPr>
          <w:p>
            <w:pPr>
              <w:widowControl/>
              <w:spacing w:line="300" w:lineRule="exact"/>
              <w:jc w:val="left"/>
              <w:textAlignment w:val="center"/>
              <w:rPr>
                <w:rFonts w:ascii="宋体" w:hAnsi="宋体" w:cs="宋体"/>
                <w:bCs/>
                <w:kern w:val="0"/>
                <w:sz w:val="18"/>
                <w:szCs w:val="18"/>
                <w:highlight w:val="none"/>
                <w:lang w:val="en-GB"/>
              </w:rPr>
            </w:pPr>
            <w:r>
              <w:rPr>
                <w:rFonts w:hint="eastAsia" w:ascii="宋体" w:hAnsi="宋体" w:cs="宋体"/>
                <w:bCs/>
                <w:kern w:val="0"/>
                <w:sz w:val="18"/>
                <w:szCs w:val="18"/>
                <w:highlight w:val="none"/>
              </w:rPr>
              <w:t>应为中华人民共和国境内注册的独立法人企业，须具备完成相应采购项目的能力。</w:t>
            </w:r>
          </w:p>
        </w:tc>
      </w:tr>
    </w:tbl>
    <w:p>
      <w:pPr>
        <w:spacing w:line="400" w:lineRule="exact"/>
        <w:rPr>
          <w:rFonts w:asciiTheme="minorEastAsia" w:hAnsiTheme="minorEastAsia" w:eastAsiaTheme="minorEastAsia"/>
          <w:b/>
          <w:szCs w:val="21"/>
          <w:highlight w:val="none"/>
        </w:rPr>
      </w:pPr>
    </w:p>
    <w:p>
      <w:pPr>
        <w:spacing w:line="400" w:lineRule="exact"/>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4. 采购文件的获取</w:t>
      </w:r>
    </w:p>
    <w:p>
      <w:pPr>
        <w:adjustRightInd w:val="0"/>
        <w:snapToGrid w:val="0"/>
        <w:spacing w:line="500" w:lineRule="exact"/>
        <w:ind w:firstLine="420" w:firstLineChars="200"/>
        <w:jc w:val="left"/>
        <w:rPr>
          <w:rFonts w:ascii="宋体" w:hAnsi="宋体"/>
          <w:szCs w:val="21"/>
          <w:highlight w:val="none"/>
        </w:rPr>
      </w:pPr>
      <w:r>
        <w:rPr>
          <w:rFonts w:ascii="宋体" w:hAnsi="宋体"/>
          <w:szCs w:val="21"/>
          <w:highlight w:val="none"/>
        </w:rPr>
        <w:t>4.1</w:t>
      </w:r>
      <w:r>
        <w:rPr>
          <w:rFonts w:hint="eastAsia" w:ascii="宋体" w:hAnsi="宋体"/>
          <w:szCs w:val="21"/>
          <w:highlight w:val="none"/>
        </w:rPr>
        <w:t>本</w:t>
      </w:r>
      <w:r>
        <w:rPr>
          <w:rFonts w:ascii="宋体" w:hAnsi="宋体"/>
          <w:szCs w:val="21"/>
          <w:highlight w:val="none"/>
        </w:rPr>
        <w:t>次实行</w:t>
      </w:r>
      <w:r>
        <w:rPr>
          <w:rFonts w:ascii="宋体" w:hAnsi="宋体"/>
          <w:b/>
          <w:bCs/>
          <w:szCs w:val="21"/>
          <w:highlight w:val="none"/>
        </w:rPr>
        <w:t>网上</w:t>
      </w:r>
      <w:r>
        <w:rPr>
          <w:rFonts w:hint="eastAsia" w:ascii="宋体" w:hAnsi="宋体"/>
          <w:b/>
          <w:bCs/>
          <w:szCs w:val="21"/>
          <w:highlight w:val="none"/>
        </w:rPr>
        <w:t>发放</w:t>
      </w:r>
      <w:r>
        <w:rPr>
          <w:rFonts w:ascii="宋体" w:hAnsi="宋体"/>
          <w:b/>
          <w:bCs/>
          <w:szCs w:val="21"/>
          <w:highlight w:val="none"/>
        </w:rPr>
        <w:t>电子版</w:t>
      </w:r>
      <w:r>
        <w:rPr>
          <w:rFonts w:hint="eastAsia" w:ascii="宋体" w:hAnsi="宋体"/>
          <w:b/>
          <w:bCs/>
          <w:szCs w:val="21"/>
          <w:highlight w:val="none"/>
        </w:rPr>
        <w:t>采购</w:t>
      </w:r>
      <w:r>
        <w:rPr>
          <w:rFonts w:ascii="宋体" w:hAnsi="宋体"/>
          <w:b/>
          <w:bCs/>
          <w:szCs w:val="21"/>
          <w:highlight w:val="none"/>
        </w:rPr>
        <w:t>文件</w:t>
      </w:r>
      <w:r>
        <w:rPr>
          <w:rFonts w:ascii="宋体" w:hAnsi="宋体"/>
          <w:szCs w:val="21"/>
          <w:highlight w:val="none"/>
        </w:rPr>
        <w:t>，潜在</w:t>
      </w:r>
      <w:r>
        <w:rPr>
          <w:rFonts w:hint="eastAsia" w:ascii="宋体" w:hAnsi="宋体"/>
          <w:szCs w:val="21"/>
          <w:highlight w:val="none"/>
        </w:rPr>
        <w:t>应答</w:t>
      </w:r>
      <w:r>
        <w:rPr>
          <w:rFonts w:ascii="宋体" w:hAnsi="宋体"/>
          <w:szCs w:val="21"/>
          <w:highlight w:val="none"/>
        </w:rPr>
        <w:t>人应在国家电网有限公司</w:t>
      </w:r>
      <w:r>
        <w:rPr>
          <w:rFonts w:hint="eastAsia" w:ascii="宋体" w:hAnsi="宋体"/>
          <w:szCs w:val="21"/>
          <w:highlight w:val="none"/>
        </w:rPr>
        <w:t>电子商务平台电工交易专区（</w:t>
      </w:r>
      <w:r>
        <w:rPr>
          <w:rFonts w:ascii="宋体" w:hAnsi="宋体"/>
          <w:szCs w:val="21"/>
          <w:highlight w:val="none"/>
        </w:rPr>
        <w:t>https://sgccetp.com.cn/portal/</w:t>
      </w:r>
      <w:r>
        <w:rPr>
          <w:rFonts w:hint="eastAsia" w:ascii="宋体" w:hAnsi="宋体"/>
          <w:szCs w:val="21"/>
          <w:highlight w:val="none"/>
        </w:rPr>
        <w:t>/，以下简称：电工交易专区）</w:t>
      </w:r>
      <w:r>
        <w:rPr>
          <w:rFonts w:ascii="宋体" w:hAnsi="宋体"/>
          <w:szCs w:val="21"/>
          <w:highlight w:val="none"/>
        </w:rPr>
        <w:t>注册并办理CA证书电子钥匙方可</w:t>
      </w:r>
      <w:r>
        <w:rPr>
          <w:rFonts w:hint="eastAsia" w:ascii="宋体" w:hAnsi="宋体"/>
          <w:szCs w:val="21"/>
          <w:highlight w:val="none"/>
        </w:rPr>
        <w:t>获取采购</w:t>
      </w:r>
      <w:r>
        <w:rPr>
          <w:rFonts w:ascii="宋体" w:hAnsi="宋体"/>
          <w:szCs w:val="21"/>
          <w:highlight w:val="none"/>
        </w:rPr>
        <w:t>文件，电子钥匙的</w:t>
      </w:r>
      <w:r>
        <w:rPr>
          <w:rFonts w:hint="eastAsia" w:ascii="宋体" w:hAnsi="宋体"/>
          <w:szCs w:val="21"/>
          <w:highlight w:val="none"/>
        </w:rPr>
        <w:t>办理</w:t>
      </w:r>
      <w:r>
        <w:rPr>
          <w:rFonts w:ascii="宋体" w:hAnsi="宋体"/>
          <w:szCs w:val="21"/>
          <w:highlight w:val="none"/>
        </w:rPr>
        <w:t>流程请登录</w:t>
      </w:r>
      <w:r>
        <w:rPr>
          <w:rFonts w:hint="eastAsia" w:ascii="宋体" w:hAnsi="宋体"/>
          <w:szCs w:val="21"/>
          <w:highlight w:val="none"/>
        </w:rPr>
        <w:t>电工交易专区网站“平台注册”——“电脑配置及电子钥匙”下载所有文件仔细阅读</w:t>
      </w:r>
      <w:r>
        <w:rPr>
          <w:rFonts w:ascii="宋体" w:hAnsi="宋体"/>
          <w:szCs w:val="21"/>
          <w:highlight w:val="none"/>
        </w:rPr>
        <w:t>。电子钥匙的办理需要一定的时间，请潜在</w:t>
      </w:r>
      <w:r>
        <w:rPr>
          <w:rFonts w:hint="eastAsia" w:ascii="宋体" w:hAnsi="宋体"/>
          <w:szCs w:val="21"/>
          <w:highlight w:val="none"/>
        </w:rPr>
        <w:t>应答</w:t>
      </w:r>
      <w:r>
        <w:rPr>
          <w:rFonts w:ascii="宋体" w:hAnsi="宋体"/>
          <w:szCs w:val="21"/>
          <w:highlight w:val="none"/>
        </w:rPr>
        <w:t>人高度重视。CA</w:t>
      </w:r>
      <w:r>
        <w:rPr>
          <w:rFonts w:hint="eastAsia" w:ascii="宋体" w:hAnsi="宋体"/>
          <w:szCs w:val="21"/>
          <w:highlight w:val="none"/>
        </w:rPr>
        <w:t>证书电子钥匙在ECP1.0、ECP2.0两个平台通用，如为ECP1.0平台老用户且具有有效的</w:t>
      </w:r>
      <w:r>
        <w:rPr>
          <w:rFonts w:ascii="宋体" w:hAnsi="宋体"/>
          <w:szCs w:val="21"/>
          <w:highlight w:val="none"/>
        </w:rPr>
        <w:t>CA</w:t>
      </w:r>
      <w:r>
        <w:rPr>
          <w:rFonts w:hint="eastAsia" w:ascii="宋体" w:hAnsi="宋体"/>
          <w:szCs w:val="21"/>
          <w:highlight w:val="none"/>
        </w:rPr>
        <w:t>证书电子钥匙，仅需注册并下载安装新版电子钥匙安装包，即可获取采购文件。</w:t>
      </w:r>
      <w:r>
        <w:rPr>
          <w:rFonts w:ascii="宋体" w:hAnsi="宋体"/>
          <w:szCs w:val="21"/>
          <w:highlight w:val="none"/>
        </w:rPr>
        <w:t>由于没有及时办理电子钥匙导致</w:t>
      </w:r>
      <w:r>
        <w:rPr>
          <w:rFonts w:hint="eastAsia" w:ascii="宋体" w:hAnsi="宋体"/>
          <w:szCs w:val="21"/>
          <w:highlight w:val="none"/>
        </w:rPr>
        <w:t>获取采购</w:t>
      </w:r>
      <w:r>
        <w:rPr>
          <w:rFonts w:ascii="宋体" w:hAnsi="宋体"/>
          <w:szCs w:val="21"/>
          <w:highlight w:val="none"/>
        </w:rPr>
        <w:t>文件失败，后果由潜在</w:t>
      </w:r>
      <w:r>
        <w:rPr>
          <w:rFonts w:hint="eastAsia" w:ascii="宋体" w:hAnsi="宋体"/>
          <w:szCs w:val="21"/>
          <w:highlight w:val="none"/>
        </w:rPr>
        <w:t>应答</w:t>
      </w:r>
      <w:r>
        <w:rPr>
          <w:rFonts w:ascii="宋体" w:hAnsi="宋体"/>
          <w:szCs w:val="21"/>
          <w:highlight w:val="none"/>
        </w:rPr>
        <w:t>人自行承担。</w:t>
      </w:r>
    </w:p>
    <w:p>
      <w:pPr>
        <w:adjustRightInd w:val="0"/>
        <w:snapToGrid w:val="0"/>
        <w:spacing w:line="500" w:lineRule="exact"/>
        <w:ind w:firstLine="420" w:firstLineChars="200"/>
        <w:rPr>
          <w:rFonts w:ascii="宋体" w:hAnsi="宋体"/>
          <w:szCs w:val="21"/>
          <w:highlight w:val="none"/>
        </w:rPr>
      </w:pPr>
      <w:r>
        <w:rPr>
          <w:rFonts w:ascii="宋体" w:hAnsi="宋体"/>
          <w:szCs w:val="21"/>
          <w:highlight w:val="none"/>
        </w:rPr>
        <w:t>4.2凡有意参加</w:t>
      </w:r>
      <w:r>
        <w:rPr>
          <w:rFonts w:hint="eastAsia" w:ascii="宋体" w:hAnsi="宋体"/>
          <w:szCs w:val="21"/>
          <w:highlight w:val="none"/>
        </w:rPr>
        <w:t>应答者，请于</w:t>
      </w:r>
      <w:r>
        <w:rPr>
          <w:rFonts w:hint="eastAsia" w:ascii="宋体" w:hAnsi="宋体" w:cs="宋体"/>
          <w:b/>
          <w:bCs/>
          <w:szCs w:val="21"/>
          <w:highlight w:val="none"/>
          <w:u w:val="single"/>
        </w:rPr>
        <w:t>2</w:t>
      </w:r>
      <w:r>
        <w:rPr>
          <w:rFonts w:hint="eastAsia" w:ascii="宋体" w:hAnsi="宋体" w:cs="宋体"/>
          <w:b/>
          <w:bCs/>
          <w:szCs w:val="21"/>
          <w:highlight w:val="none"/>
          <w:u w:val="single"/>
        </w:rPr>
        <w:t>022年03月1</w:t>
      </w:r>
      <w:r>
        <w:rPr>
          <w:rFonts w:hint="eastAsia" w:ascii="宋体" w:hAnsi="宋体" w:cs="宋体"/>
          <w:b/>
          <w:bCs/>
          <w:szCs w:val="21"/>
          <w:highlight w:val="none"/>
          <w:u w:val="single"/>
          <w:lang w:val="en-US" w:eastAsia="zh-CN"/>
        </w:rPr>
        <w:t>7</w:t>
      </w:r>
      <w:r>
        <w:rPr>
          <w:rFonts w:hint="eastAsia" w:ascii="宋体" w:hAnsi="宋体" w:cs="宋体"/>
          <w:b/>
          <w:bCs/>
          <w:szCs w:val="21"/>
          <w:highlight w:val="none"/>
          <w:u w:val="single"/>
        </w:rPr>
        <w:t>日至2022年03月21日16：00（北京时间）</w:t>
      </w:r>
      <w:r>
        <w:rPr>
          <w:rFonts w:hint="eastAsia" w:ascii="宋体" w:hAnsi="宋体"/>
          <w:szCs w:val="21"/>
          <w:highlight w:val="none"/>
        </w:rPr>
        <w:t>登录国家电网有限公司电子商务平台电工交易专区下载采购文件，并按《电子招标投标办法》等国家法律法规要求，到第三方认证机构办理CA证书电子钥匙</w:t>
      </w:r>
      <w:r>
        <w:rPr>
          <w:rFonts w:ascii="宋体" w:hAnsi="宋体"/>
          <w:szCs w:val="21"/>
          <w:highlight w:val="none"/>
        </w:rPr>
        <w:t>。</w:t>
      </w:r>
    </w:p>
    <w:p>
      <w:pPr>
        <w:pStyle w:val="2"/>
        <w:rPr>
          <w:rFonts w:ascii="宋体" w:hAnsi="宋体" w:cs="宋体"/>
          <w:sz w:val="21"/>
          <w:szCs w:val="21"/>
          <w:highlight w:val="none"/>
        </w:rPr>
      </w:pPr>
      <w:r>
        <w:rPr>
          <w:rFonts w:hint="eastAsia" w:ascii="宋体" w:hAnsi="宋体" w:cs="宋体"/>
          <w:sz w:val="21"/>
          <w:szCs w:val="21"/>
          <w:highlight w:val="none"/>
        </w:rPr>
        <w:t>4.3采购文件（电子文件）免费获取。应答人国家电网公司电子商务平台电工交易专区点击购买采购文件即可，无须支付费用。购买申请1个工作日内将自动获得采购文件下载权限，超过1个工作日内未收到确认下载权限的，可联系核实报名情况。</w:t>
      </w:r>
    </w:p>
    <w:p>
      <w:pPr>
        <w:pStyle w:val="2"/>
        <w:rPr>
          <w:rFonts w:ascii="宋体" w:hAnsi="宋体" w:cs="宋体"/>
          <w:sz w:val="21"/>
          <w:szCs w:val="21"/>
          <w:highlight w:val="none"/>
        </w:rPr>
      </w:pPr>
      <w:r>
        <w:rPr>
          <w:rFonts w:hint="eastAsia" w:ascii="宋体" w:hAnsi="宋体" w:cs="宋体"/>
          <w:sz w:val="21"/>
          <w:szCs w:val="21"/>
          <w:highlight w:val="none"/>
        </w:rPr>
        <w:t>4.4请潜在应答人注意的其他事项：供应商投标工具下载方式：请各应答人在国家电网有限公司电子商务平台电工交易专区首页“参与投标→投标工具安装”目录下下载</w:t>
      </w:r>
      <w:r>
        <w:rPr>
          <w:highlight w:val="none"/>
        </w:rPr>
        <w:fldChar w:fldCharType="begin"/>
      </w:r>
      <w:r>
        <w:rPr>
          <w:highlight w:val="none"/>
        </w:rPr>
        <w:instrText xml:space="preserve"> HYPERLINK "https://ecp.sgcc.com.cn/ecp2.0/portal/" \l "/list/down/javascript:void(0)" </w:instrText>
      </w:r>
      <w:r>
        <w:rPr>
          <w:highlight w:val="none"/>
        </w:rPr>
        <w:fldChar w:fldCharType="separate"/>
      </w:r>
      <w:r>
        <w:rPr>
          <w:rFonts w:hint="eastAsia" w:ascii="宋体" w:hAnsi="宋体" w:cs="宋体"/>
          <w:sz w:val="21"/>
          <w:szCs w:val="21"/>
          <w:highlight w:val="none"/>
        </w:rPr>
        <w:t>供应商投标工具</w:t>
      </w:r>
      <w:r>
        <w:rPr>
          <w:rFonts w:hint="eastAsia" w:ascii="宋体" w:hAnsi="宋体" w:cs="宋体"/>
          <w:sz w:val="21"/>
          <w:szCs w:val="21"/>
          <w:highlight w:val="none"/>
        </w:rPr>
        <w:fldChar w:fldCharType="end"/>
      </w:r>
      <w:r>
        <w:rPr>
          <w:rFonts w:hint="eastAsia" w:ascii="宋体" w:hAnsi="宋体" w:cs="宋体"/>
          <w:sz w:val="21"/>
          <w:szCs w:val="21"/>
          <w:highlight w:val="none"/>
        </w:rPr>
        <w:t>。操作手册下载：请各应答人在国家电网有限公司电子商务平台电工交易专区首页“参与投标→操作手册”目录下下载“</w:t>
      </w:r>
      <w:r>
        <w:rPr>
          <w:highlight w:val="none"/>
        </w:rPr>
        <w:fldChar w:fldCharType="begin"/>
      </w:r>
      <w:r>
        <w:rPr>
          <w:highlight w:val="none"/>
        </w:rPr>
        <w:instrText xml:space="preserve"> HYPERLINK "https://ecp.sgcc.com.cn/ecp2.0/portal/" \l "/list/down/javascript:void(0)" </w:instrText>
      </w:r>
      <w:r>
        <w:rPr>
          <w:highlight w:val="none"/>
        </w:rPr>
        <w:fldChar w:fldCharType="separate"/>
      </w:r>
      <w:r>
        <w:rPr>
          <w:rFonts w:hint="eastAsia" w:ascii="宋体" w:hAnsi="宋体" w:cs="宋体"/>
          <w:sz w:val="21"/>
          <w:szCs w:val="21"/>
          <w:highlight w:val="none"/>
        </w:rPr>
        <w:t>供应商操作手册</w:t>
      </w:r>
      <w:r>
        <w:rPr>
          <w:rFonts w:hint="eastAsia" w:ascii="宋体" w:hAnsi="宋体" w:cs="宋体"/>
          <w:sz w:val="21"/>
          <w:szCs w:val="21"/>
          <w:highlight w:val="none"/>
        </w:rPr>
        <w:fldChar w:fldCharType="end"/>
      </w:r>
      <w:r>
        <w:rPr>
          <w:rFonts w:hint="eastAsia" w:ascii="宋体" w:hAnsi="宋体" w:cs="宋体"/>
          <w:sz w:val="21"/>
          <w:szCs w:val="21"/>
          <w:highlight w:val="none"/>
        </w:rPr>
        <w:t>”。投标工具操作问题联系电话：010-63411000。</w:t>
      </w:r>
    </w:p>
    <w:p>
      <w:pPr>
        <w:pStyle w:val="2"/>
        <w:rPr>
          <w:rFonts w:ascii="宋体" w:hAnsi="宋体" w:cs="宋体"/>
          <w:b/>
          <w:bCs/>
          <w:sz w:val="21"/>
          <w:szCs w:val="21"/>
          <w:highlight w:val="none"/>
        </w:rPr>
      </w:pPr>
      <w:r>
        <w:rPr>
          <w:rFonts w:hint="eastAsia" w:ascii="宋体" w:hAnsi="宋体" w:cs="宋体"/>
          <w:sz w:val="21"/>
          <w:szCs w:val="21"/>
          <w:highlight w:val="none"/>
        </w:rPr>
        <w:t>4.5</w:t>
      </w:r>
      <w:r>
        <w:rPr>
          <w:rFonts w:hint="eastAsia" w:ascii="宋体" w:hAnsi="宋体" w:cs="宋体"/>
          <w:b/>
          <w:bCs/>
          <w:sz w:val="21"/>
          <w:szCs w:val="21"/>
          <w:highlight w:val="none"/>
        </w:rPr>
        <w:t>供应商NC系统审核资料：请应答人于2022年03月21日16:00前，报名时同时将附件</w:t>
      </w:r>
      <w:r>
        <w:rPr>
          <w:rFonts w:ascii="宋体" w:hAnsi="宋体" w:cs="宋体"/>
          <w:b/>
          <w:bCs/>
          <w:sz w:val="21"/>
          <w:szCs w:val="21"/>
          <w:highlight w:val="none"/>
        </w:rPr>
        <w:t>2</w:t>
      </w:r>
      <w:r>
        <w:rPr>
          <w:rFonts w:hint="eastAsia" w:ascii="宋体" w:hAnsi="宋体" w:cs="宋体"/>
          <w:b/>
          <w:bCs/>
          <w:sz w:val="21"/>
          <w:szCs w:val="21"/>
          <w:highlight w:val="none"/>
        </w:rPr>
        <w:t>、三证信息扫描件（三证合一为一证）、企业基本账户开户证明发送至法正项目管理集团有限公司邮箱sdfzzb@vip.163.com邮件名称统一格式为：应答人全称（NC资料）。未填写并发送“供应商档案增加信息表”的应答人将无资格参加开标。</w:t>
      </w:r>
    </w:p>
    <w:p>
      <w:pPr>
        <w:spacing w:line="500" w:lineRule="exact"/>
        <w:ind w:firstLine="422" w:firstLineChars="200"/>
        <w:outlineLvl w:val="1"/>
        <w:rPr>
          <w:rFonts w:ascii="宋体" w:hAnsi="宋体" w:cs="宋体"/>
          <w:b/>
          <w:szCs w:val="21"/>
          <w:highlight w:val="none"/>
        </w:rPr>
      </w:pPr>
      <w:r>
        <w:rPr>
          <w:rFonts w:hint="eastAsia" w:ascii="宋体" w:hAnsi="宋体" w:cs="宋体"/>
          <w:b/>
          <w:szCs w:val="21"/>
          <w:highlight w:val="none"/>
        </w:rPr>
        <w:t>5.应答保证金：</w:t>
      </w:r>
    </w:p>
    <w:p>
      <w:pPr>
        <w:spacing w:line="500" w:lineRule="exact"/>
        <w:ind w:firstLine="420" w:firstLineChars="200"/>
        <w:outlineLvl w:val="1"/>
        <w:rPr>
          <w:rFonts w:ascii="宋体" w:hAnsi="宋体" w:cs="宋体"/>
          <w:szCs w:val="21"/>
          <w:highlight w:val="none"/>
        </w:rPr>
      </w:pPr>
      <w:r>
        <w:rPr>
          <w:rFonts w:hint="eastAsia" w:ascii="宋体" w:hAnsi="宋体" w:cs="宋体"/>
          <w:szCs w:val="21"/>
          <w:highlight w:val="none"/>
        </w:rPr>
        <w:t>5.1应答保证金形式：</w:t>
      </w:r>
    </w:p>
    <w:p>
      <w:pPr>
        <w:tabs>
          <w:tab w:val="left" w:pos="620"/>
        </w:tabs>
        <w:spacing w:line="500" w:lineRule="exact"/>
        <w:ind w:firstLine="422" w:firstLineChars="200"/>
        <w:rPr>
          <w:rFonts w:ascii="宋体" w:hAnsi="宋体" w:cs="宋体"/>
          <w:b/>
          <w:szCs w:val="21"/>
          <w:highlight w:val="none"/>
        </w:rPr>
      </w:pPr>
      <w:r>
        <w:rPr>
          <w:rFonts w:hint="eastAsia" w:ascii="宋体" w:hAnsi="宋体" w:cs="宋体"/>
          <w:b/>
          <w:szCs w:val="21"/>
          <w:highlight w:val="none"/>
        </w:rPr>
        <w:t>银行电汇、网银汇款、银行保函、投标保证保险。</w:t>
      </w:r>
    </w:p>
    <w:p>
      <w:pPr>
        <w:pStyle w:val="2"/>
        <w:rPr>
          <w:rFonts w:ascii="宋体" w:hAnsi="宋体" w:cs="宋体"/>
          <w:sz w:val="21"/>
          <w:szCs w:val="21"/>
          <w:highlight w:val="none"/>
        </w:rPr>
      </w:pPr>
      <w:r>
        <w:rPr>
          <w:rFonts w:hint="eastAsia" w:ascii="宋体" w:hAnsi="宋体" w:cs="宋体"/>
          <w:sz w:val="21"/>
          <w:szCs w:val="21"/>
          <w:highlight w:val="none"/>
        </w:rPr>
        <w:t>5.1.1应答保证金以银行电汇、网银汇款方式提交的，应答保证金应从其基本账户办理。应答人将保证金汇款单和“基本账户银行开户许可证”原件彩色扫描件（无基本账户银行开户许可证的应答人可开具“基本存款账户银行证明”）一并制作于商务文件内即可。</w:t>
      </w:r>
    </w:p>
    <w:p>
      <w:pPr>
        <w:pStyle w:val="2"/>
        <w:rPr>
          <w:rFonts w:ascii="宋体" w:hAnsi="宋体" w:cs="宋体"/>
          <w:sz w:val="21"/>
          <w:szCs w:val="21"/>
          <w:highlight w:val="none"/>
        </w:rPr>
      </w:pPr>
      <w:r>
        <w:rPr>
          <w:rFonts w:hint="eastAsia" w:ascii="宋体" w:hAnsi="宋体" w:cs="宋体"/>
          <w:sz w:val="21"/>
          <w:szCs w:val="21"/>
          <w:highlight w:val="none"/>
        </w:rPr>
        <w:t>5.1.2以投标保证保险形式提交的应答保证金，保险责任需满足招标人的要求，投标保证保险保单作为有效的应答文件依据，应由具备相应保险资质、信誉良好、且支持保单查询的保险公司开具。应答保证金的有效期应与投标有效期一致。本次招标投标保证保险，仅接受批次投标保证保险（被保险人：法正项目管理集团有限公司）。应答人需将批次保险保单扫描件件放入商务应答文件应答保证金证明文件处，保险保单须涵盖招标批次项目名称、招标编号、分标编号、分标名称、标包号等招标基本信息。</w:t>
      </w:r>
    </w:p>
    <w:p>
      <w:pPr>
        <w:pStyle w:val="2"/>
        <w:rPr>
          <w:rFonts w:ascii="宋体" w:hAnsi="宋体" w:cs="宋体"/>
          <w:sz w:val="21"/>
          <w:szCs w:val="21"/>
          <w:highlight w:val="none"/>
        </w:rPr>
      </w:pPr>
      <w:r>
        <w:rPr>
          <w:rFonts w:hint="eastAsia" w:ascii="宋体" w:hAnsi="宋体" w:cs="宋体"/>
          <w:sz w:val="21"/>
          <w:szCs w:val="21"/>
          <w:highlight w:val="none"/>
        </w:rPr>
        <w:t>5.2所有应答都必须附有应答保证金，应答保证金须按分包缴纳，每个分包保证金金额见采购需求一览表。</w:t>
      </w:r>
      <w:r>
        <w:rPr>
          <w:rFonts w:hint="eastAsia" w:ascii="宋体" w:hAnsi="宋体" w:cs="宋体"/>
          <w:kern w:val="0"/>
          <w:sz w:val="21"/>
          <w:szCs w:val="21"/>
          <w:highlight w:val="none"/>
        </w:rPr>
        <w:t>应答保证金以</w:t>
      </w:r>
      <w:r>
        <w:rPr>
          <w:rFonts w:hint="eastAsia" w:ascii="宋体" w:hAnsi="宋体" w:cs="宋体"/>
          <w:kern w:val="0"/>
          <w:sz w:val="21"/>
          <w:szCs w:val="21"/>
          <w:highlight w:val="none"/>
          <w:lang w:val="zh-CN"/>
        </w:rPr>
        <w:t>网银汇款或</w:t>
      </w:r>
      <w:r>
        <w:rPr>
          <w:rFonts w:hint="eastAsia" w:ascii="宋体" w:hAnsi="宋体" w:cs="宋体"/>
          <w:kern w:val="0"/>
          <w:sz w:val="21"/>
          <w:szCs w:val="21"/>
          <w:highlight w:val="none"/>
        </w:rPr>
        <w:t>银行电汇方式提交的</w:t>
      </w:r>
      <w:r>
        <w:rPr>
          <w:rFonts w:hint="eastAsia" w:ascii="宋体" w:hAnsi="宋体" w:cs="宋体"/>
          <w:kern w:val="0"/>
          <w:sz w:val="21"/>
          <w:szCs w:val="21"/>
          <w:highlight w:val="none"/>
          <w:lang w:val="zh-CN"/>
        </w:rPr>
        <w:t>，</w:t>
      </w:r>
      <w:r>
        <w:rPr>
          <w:rFonts w:hint="eastAsia" w:ascii="宋体" w:hAnsi="宋体" w:cs="宋体"/>
          <w:bCs/>
          <w:kern w:val="0"/>
          <w:sz w:val="21"/>
          <w:szCs w:val="21"/>
          <w:highlight w:val="none"/>
          <w:lang w:val="zh-CN"/>
        </w:rPr>
        <w:t>在付款摘要中注明“网瑞</w:t>
      </w:r>
      <w:r>
        <w:rPr>
          <w:rFonts w:hint="eastAsia" w:ascii="宋体" w:hAnsi="宋体" w:cs="宋体"/>
          <w:bCs/>
          <w:kern w:val="0"/>
          <w:sz w:val="21"/>
          <w:szCs w:val="21"/>
          <w:highlight w:val="none"/>
        </w:rPr>
        <w:t>二月</w:t>
      </w:r>
      <w:r>
        <w:rPr>
          <w:rFonts w:hint="eastAsia" w:ascii="宋体" w:hAnsi="宋体" w:cs="宋体"/>
          <w:bCs/>
          <w:kern w:val="0"/>
          <w:sz w:val="21"/>
          <w:szCs w:val="21"/>
          <w:highlight w:val="none"/>
          <w:lang w:val="zh-CN"/>
        </w:rPr>
        <w:t>第一次物资公开竞谈</w:t>
      </w:r>
      <w:r>
        <w:rPr>
          <w:rFonts w:hint="eastAsia" w:ascii="宋体" w:hAnsi="宋体" w:cs="宋体"/>
          <w:bCs/>
          <w:kern w:val="0"/>
          <w:sz w:val="21"/>
          <w:szCs w:val="21"/>
          <w:highlight w:val="none"/>
        </w:rPr>
        <w:t>+包号</w:t>
      </w:r>
      <w:r>
        <w:rPr>
          <w:rFonts w:hint="eastAsia" w:ascii="宋体" w:hAnsi="宋体" w:cs="宋体"/>
          <w:bCs/>
          <w:kern w:val="0"/>
          <w:sz w:val="21"/>
          <w:szCs w:val="21"/>
          <w:highlight w:val="none"/>
          <w:lang w:val="zh-CN"/>
        </w:rPr>
        <w:t>”</w:t>
      </w:r>
      <w:r>
        <w:rPr>
          <w:rFonts w:hint="eastAsia" w:ascii="宋体" w:hAnsi="宋体" w:cs="宋体"/>
          <w:b/>
          <w:kern w:val="0"/>
          <w:sz w:val="21"/>
          <w:szCs w:val="21"/>
          <w:highlight w:val="none"/>
          <w:lang w:val="zh-CN"/>
        </w:rPr>
        <w:t>（例如：网瑞</w:t>
      </w:r>
      <w:r>
        <w:rPr>
          <w:rFonts w:hint="eastAsia" w:ascii="宋体" w:hAnsi="宋体" w:cs="宋体"/>
          <w:b/>
          <w:kern w:val="0"/>
          <w:sz w:val="21"/>
          <w:szCs w:val="21"/>
          <w:highlight w:val="none"/>
        </w:rPr>
        <w:t>三</w:t>
      </w:r>
      <w:r>
        <w:rPr>
          <w:rFonts w:hint="eastAsia" w:ascii="宋体" w:hAnsi="宋体" w:cs="宋体"/>
          <w:b/>
          <w:kern w:val="0"/>
          <w:sz w:val="21"/>
          <w:szCs w:val="21"/>
          <w:highlight w:val="none"/>
          <w:lang w:val="zh-CN"/>
        </w:rPr>
        <w:t>月第一次</w:t>
      </w:r>
      <w:r>
        <w:rPr>
          <w:rFonts w:hint="eastAsia" w:ascii="宋体" w:hAnsi="宋体" w:cs="宋体"/>
          <w:b/>
          <w:kern w:val="0"/>
          <w:sz w:val="21"/>
          <w:szCs w:val="21"/>
          <w:highlight w:val="none"/>
        </w:rPr>
        <w:t>物资</w:t>
      </w:r>
      <w:r>
        <w:rPr>
          <w:rFonts w:hint="eastAsia" w:ascii="宋体" w:hAnsi="宋体" w:cs="宋体"/>
          <w:b/>
          <w:kern w:val="0"/>
          <w:sz w:val="21"/>
          <w:szCs w:val="21"/>
          <w:highlight w:val="none"/>
          <w:lang w:val="zh-CN"/>
        </w:rPr>
        <w:t>公开</w:t>
      </w:r>
      <w:r>
        <w:rPr>
          <w:rFonts w:hint="eastAsia" w:ascii="宋体" w:hAnsi="宋体" w:cs="宋体"/>
          <w:b/>
          <w:kern w:val="0"/>
          <w:sz w:val="21"/>
          <w:szCs w:val="21"/>
          <w:highlight w:val="none"/>
        </w:rPr>
        <w:t>竞谈包01</w:t>
      </w:r>
      <w:r>
        <w:rPr>
          <w:rFonts w:hint="eastAsia" w:ascii="宋体" w:hAnsi="宋体" w:cs="宋体"/>
          <w:b/>
          <w:kern w:val="0"/>
          <w:sz w:val="21"/>
          <w:szCs w:val="21"/>
          <w:highlight w:val="none"/>
          <w:lang w:val="zh-CN"/>
        </w:rPr>
        <w:t>）</w:t>
      </w:r>
      <w:r>
        <w:rPr>
          <w:rFonts w:hint="eastAsia" w:ascii="宋体" w:hAnsi="宋体" w:cs="宋体"/>
          <w:sz w:val="21"/>
          <w:szCs w:val="21"/>
          <w:highlight w:val="none"/>
        </w:rPr>
        <w:t>，确保应答保证金在应答截止时间之前到账。没有提交应答保证金或应答保证金不符合要求的投标将被拒绝，请在应答文件商务部分提供保证金明细表，如保证金金额不符合要求，按保证金明细表顺序否决，如未提供保证金明细表，按招标公告顺序否决。</w:t>
      </w:r>
    </w:p>
    <w:p>
      <w:pPr>
        <w:spacing w:line="500" w:lineRule="exact"/>
        <w:ind w:firstLine="420" w:firstLineChars="200"/>
        <w:rPr>
          <w:rFonts w:ascii="宋体" w:hAnsi="宋体" w:cs="宋体"/>
          <w:szCs w:val="21"/>
          <w:highlight w:val="none"/>
        </w:rPr>
      </w:pPr>
      <w:r>
        <w:rPr>
          <w:rFonts w:hint="eastAsia" w:ascii="宋体" w:hAnsi="宋体" w:cs="宋体"/>
          <w:szCs w:val="21"/>
          <w:highlight w:val="none"/>
        </w:rPr>
        <w:t>5.3应答保证金收款账号：</w:t>
      </w:r>
    </w:p>
    <w:p>
      <w:pPr>
        <w:spacing w:line="500" w:lineRule="exact"/>
        <w:ind w:firstLine="420" w:firstLineChars="200"/>
        <w:outlineLvl w:val="1"/>
        <w:rPr>
          <w:rFonts w:ascii="宋体" w:hAnsi="宋体" w:cs="宋体"/>
          <w:szCs w:val="21"/>
          <w:highlight w:val="none"/>
        </w:rPr>
      </w:pPr>
      <w:r>
        <w:rPr>
          <w:rFonts w:hint="eastAsia" w:ascii="宋体" w:hAnsi="宋体" w:cs="宋体"/>
          <w:szCs w:val="21"/>
          <w:highlight w:val="none"/>
        </w:rPr>
        <w:t>公司名称：法正项目管理集团有限公司山东分公司</w:t>
      </w:r>
    </w:p>
    <w:p>
      <w:pPr>
        <w:spacing w:line="500" w:lineRule="exact"/>
        <w:ind w:firstLine="420" w:firstLineChars="200"/>
        <w:outlineLvl w:val="1"/>
        <w:rPr>
          <w:rFonts w:ascii="宋体" w:hAnsi="宋体" w:cs="宋体"/>
          <w:szCs w:val="21"/>
          <w:highlight w:val="none"/>
        </w:rPr>
      </w:pPr>
      <w:r>
        <w:rPr>
          <w:rFonts w:hint="eastAsia" w:ascii="宋体" w:hAnsi="宋体" w:cs="宋体"/>
          <w:szCs w:val="21"/>
          <w:highlight w:val="none"/>
        </w:rPr>
        <w:t>开户银行：中信银行股份有限公司济南高新支行</w:t>
      </w:r>
    </w:p>
    <w:p>
      <w:pPr>
        <w:spacing w:line="500" w:lineRule="exact"/>
        <w:ind w:firstLine="420" w:firstLineChars="200"/>
        <w:outlineLvl w:val="1"/>
        <w:rPr>
          <w:rFonts w:ascii="宋体" w:hAnsi="宋体" w:cs="宋体"/>
          <w:szCs w:val="21"/>
          <w:highlight w:val="none"/>
        </w:rPr>
      </w:pPr>
      <w:r>
        <w:rPr>
          <w:rFonts w:hint="eastAsia" w:ascii="宋体" w:hAnsi="宋体" w:cs="宋体"/>
          <w:szCs w:val="21"/>
          <w:highlight w:val="none"/>
        </w:rPr>
        <w:t>账    号：8112501013601200093</w:t>
      </w:r>
    </w:p>
    <w:p>
      <w:pPr>
        <w:spacing w:line="500" w:lineRule="exact"/>
        <w:outlineLvl w:val="1"/>
        <w:rPr>
          <w:rFonts w:ascii="宋体" w:hAnsi="宋体" w:cs="宋体"/>
          <w:szCs w:val="21"/>
          <w:highlight w:val="none"/>
        </w:rPr>
      </w:pPr>
      <w:r>
        <w:rPr>
          <w:rFonts w:hint="eastAsia" w:ascii="宋体" w:hAnsi="宋体" w:cs="宋体"/>
          <w:szCs w:val="21"/>
          <w:highlight w:val="none"/>
        </w:rPr>
        <w:t>以上为应答保证金及代理费专用户，汇入其他账号，责任自负。</w:t>
      </w:r>
    </w:p>
    <w:p>
      <w:pPr>
        <w:spacing w:line="500" w:lineRule="exact"/>
        <w:outlineLvl w:val="1"/>
        <w:rPr>
          <w:rFonts w:ascii="宋体" w:hAnsi="宋体" w:cs="宋体"/>
          <w:b/>
          <w:szCs w:val="21"/>
          <w:highlight w:val="none"/>
        </w:rPr>
      </w:pPr>
      <w:r>
        <w:rPr>
          <w:rFonts w:hint="eastAsia" w:ascii="宋体" w:hAnsi="宋体" w:cs="宋体"/>
          <w:b/>
          <w:szCs w:val="21"/>
          <w:highlight w:val="none"/>
        </w:rPr>
        <w:t>6.应答文件的递交</w:t>
      </w:r>
    </w:p>
    <w:p>
      <w:pPr>
        <w:spacing w:line="500" w:lineRule="exact"/>
        <w:ind w:firstLine="411" w:firstLineChars="196"/>
        <w:jc w:val="left"/>
        <w:outlineLvl w:val="1"/>
        <w:rPr>
          <w:rFonts w:ascii="宋体" w:hAnsi="宋体" w:cs="宋体"/>
          <w:szCs w:val="21"/>
          <w:highlight w:val="none"/>
        </w:rPr>
      </w:pPr>
      <w:r>
        <w:rPr>
          <w:rFonts w:hint="eastAsia" w:ascii="宋体" w:hAnsi="宋体" w:cs="宋体"/>
          <w:szCs w:val="21"/>
          <w:highlight w:val="none"/>
        </w:rPr>
        <w:t>6.1应答文件递交方式：</w:t>
      </w:r>
    </w:p>
    <w:p>
      <w:pPr>
        <w:spacing w:line="500" w:lineRule="exact"/>
        <w:ind w:firstLine="413" w:firstLineChars="196"/>
        <w:jc w:val="left"/>
        <w:outlineLvl w:val="1"/>
        <w:rPr>
          <w:rFonts w:ascii="宋体" w:hAnsi="宋体" w:cs="宋体"/>
          <w:szCs w:val="21"/>
          <w:highlight w:val="none"/>
        </w:rPr>
      </w:pPr>
      <w:r>
        <w:rPr>
          <w:rFonts w:hint="eastAsia" w:ascii="宋体" w:hAnsi="宋体" w:cs="宋体"/>
          <w:b/>
          <w:bCs/>
          <w:szCs w:val="21"/>
          <w:highlight w:val="none"/>
        </w:rPr>
        <w:t>应答文件须以两种方式同时提交：</w:t>
      </w:r>
    </w:p>
    <w:p>
      <w:pPr>
        <w:spacing w:line="500" w:lineRule="exact"/>
        <w:ind w:firstLine="413" w:firstLineChars="196"/>
        <w:jc w:val="left"/>
        <w:outlineLvl w:val="1"/>
        <w:rPr>
          <w:rFonts w:ascii="宋体" w:hAnsi="宋体" w:cs="宋体"/>
          <w:b/>
          <w:bCs/>
          <w:szCs w:val="21"/>
          <w:highlight w:val="none"/>
        </w:rPr>
      </w:pPr>
      <w:r>
        <w:rPr>
          <w:rFonts w:hint="eastAsia" w:ascii="宋体" w:hAnsi="宋体" w:cs="宋体"/>
          <w:b/>
          <w:szCs w:val="21"/>
          <w:highlight w:val="none"/>
        </w:rPr>
        <w:t>方式一：</w:t>
      </w:r>
      <w:r>
        <w:rPr>
          <w:rFonts w:hint="eastAsia" w:ascii="宋体" w:hAnsi="宋体" w:cs="宋体"/>
          <w:b/>
          <w:bCs/>
          <w:szCs w:val="21"/>
          <w:highlight w:val="none"/>
        </w:rPr>
        <w:t>电工交易专区上传文件：</w:t>
      </w:r>
    </w:p>
    <w:p>
      <w:pPr>
        <w:spacing w:line="500" w:lineRule="exact"/>
        <w:ind w:firstLine="413" w:firstLineChars="196"/>
        <w:jc w:val="left"/>
        <w:outlineLvl w:val="1"/>
        <w:rPr>
          <w:rFonts w:ascii="宋体" w:hAnsi="宋体" w:cs="宋体"/>
          <w:szCs w:val="21"/>
          <w:highlight w:val="none"/>
        </w:rPr>
      </w:pPr>
      <w:r>
        <w:rPr>
          <w:rFonts w:hint="eastAsia" w:ascii="宋体" w:hAnsi="宋体" w:cs="宋体"/>
          <w:b/>
          <w:bCs/>
          <w:szCs w:val="21"/>
          <w:highlight w:val="none"/>
        </w:rPr>
        <w:t>应答人于2</w:t>
      </w:r>
      <w:r>
        <w:rPr>
          <w:rFonts w:ascii="宋体" w:hAnsi="宋体" w:cs="宋体"/>
          <w:b/>
          <w:bCs/>
          <w:szCs w:val="21"/>
          <w:highlight w:val="none"/>
        </w:rPr>
        <w:t>022</w:t>
      </w:r>
      <w:r>
        <w:rPr>
          <w:rFonts w:hint="eastAsia" w:ascii="宋体" w:hAnsi="宋体" w:cs="宋体"/>
          <w:b/>
          <w:bCs/>
          <w:szCs w:val="21"/>
          <w:highlight w:val="none"/>
        </w:rPr>
        <w:t>年3月25日上午9时前（北京时间）</w:t>
      </w:r>
      <w:r>
        <w:rPr>
          <w:rFonts w:hint="eastAsia" w:ascii="宋体" w:hAnsi="宋体" w:cs="宋体"/>
          <w:szCs w:val="21"/>
          <w:highlight w:val="none"/>
        </w:rPr>
        <w:t>将电子应答文件上传至国家电网电子商务平台（ECP2.0）-电工交易专区（</w:t>
      </w:r>
      <w:r>
        <w:rPr>
          <w:rFonts w:ascii="宋体" w:hAnsi="宋体" w:cs="宋体"/>
          <w:szCs w:val="21"/>
          <w:highlight w:val="none"/>
        </w:rPr>
        <w:t>ECP2.0</w:t>
      </w:r>
      <w:r>
        <w:rPr>
          <w:rFonts w:hint="eastAsia" w:ascii="宋体" w:hAnsi="宋体" w:cs="宋体"/>
          <w:szCs w:val="21"/>
          <w:highlight w:val="none"/>
        </w:rPr>
        <w:t>）https://sgccetp.com.cn，下同），上传商务、技术、报价文件。</w:t>
      </w:r>
    </w:p>
    <w:p>
      <w:pPr>
        <w:pStyle w:val="22"/>
        <w:numPr>
          <w:ilvl w:val="0"/>
          <w:numId w:val="2"/>
        </w:numPr>
        <w:spacing w:line="500" w:lineRule="exact"/>
        <w:ind w:left="1070" w:hanging="600" w:firstLineChars="0"/>
        <w:jc w:val="left"/>
        <w:outlineLvl w:val="1"/>
        <w:rPr>
          <w:rFonts w:ascii="宋体" w:hAnsi="宋体" w:cs="宋体"/>
          <w:szCs w:val="21"/>
          <w:highlight w:val="none"/>
        </w:rPr>
      </w:pPr>
      <w:r>
        <w:rPr>
          <w:rFonts w:hint="eastAsia" w:ascii="宋体" w:hAnsi="宋体" w:cs="宋体"/>
          <w:szCs w:val="21"/>
          <w:highlight w:val="none"/>
        </w:rPr>
        <w:t>报价文件请上传完整文件；</w:t>
      </w:r>
    </w:p>
    <w:p>
      <w:pPr>
        <w:pStyle w:val="22"/>
        <w:spacing w:line="500" w:lineRule="exact"/>
        <w:ind w:left="10" w:firstLine="459" w:firstLineChars="219"/>
        <w:jc w:val="left"/>
        <w:outlineLvl w:val="1"/>
        <w:rPr>
          <w:rFonts w:ascii="宋体" w:hAnsi="宋体" w:cs="宋体"/>
          <w:szCs w:val="21"/>
          <w:highlight w:val="none"/>
        </w:rPr>
      </w:pPr>
      <w:r>
        <w:rPr>
          <w:rFonts w:hint="eastAsia" w:ascii="宋体" w:hAnsi="宋体" w:cs="宋体"/>
          <w:szCs w:val="21"/>
          <w:highlight w:val="none"/>
        </w:rPr>
        <w:t>（2）商务文件因</w:t>
      </w:r>
      <w:r>
        <w:rPr>
          <w:rFonts w:ascii="宋体" w:hAnsi="宋体" w:cs="宋体"/>
          <w:szCs w:val="21"/>
          <w:highlight w:val="none"/>
        </w:rPr>
        <w:t>ECP2.0</w:t>
      </w:r>
      <w:r>
        <w:rPr>
          <w:rFonts w:hint="eastAsia" w:ascii="宋体" w:hAnsi="宋体" w:cs="宋体"/>
          <w:szCs w:val="21"/>
          <w:highlight w:val="none"/>
        </w:rPr>
        <w:t>限制10M，如商务文件在10M内，请上传完整文件；如不能控制在10M内，请在</w:t>
      </w:r>
      <w:r>
        <w:rPr>
          <w:rFonts w:ascii="宋体" w:hAnsi="宋体" w:cs="宋体"/>
          <w:szCs w:val="21"/>
          <w:highlight w:val="none"/>
        </w:rPr>
        <w:t>ECP2.0</w:t>
      </w:r>
      <w:r>
        <w:rPr>
          <w:rFonts w:hint="eastAsia" w:ascii="宋体" w:hAnsi="宋体" w:cs="宋体"/>
          <w:szCs w:val="21"/>
          <w:highlight w:val="none"/>
        </w:rPr>
        <w:t>上传商务响应文件文字描述部分，大小控制在10M以内；</w:t>
      </w:r>
    </w:p>
    <w:p>
      <w:pPr>
        <w:spacing w:line="500" w:lineRule="exact"/>
        <w:ind w:firstLine="420" w:firstLineChars="200"/>
        <w:outlineLvl w:val="1"/>
        <w:rPr>
          <w:rFonts w:ascii="宋体" w:hAnsi="宋体" w:cs="宋体"/>
          <w:szCs w:val="21"/>
          <w:highlight w:val="none"/>
        </w:rPr>
      </w:pPr>
      <w:r>
        <w:rPr>
          <w:rFonts w:hint="eastAsia" w:ascii="宋体" w:hAnsi="宋体" w:cs="宋体"/>
          <w:szCs w:val="21"/>
          <w:highlight w:val="none"/>
        </w:rPr>
        <w:t>（3）技术文件请上传完整技术文件，文件大小控制在60M以内；</w:t>
      </w:r>
    </w:p>
    <w:p>
      <w:pPr>
        <w:spacing w:line="500" w:lineRule="exact"/>
        <w:ind w:firstLine="413" w:firstLineChars="196"/>
        <w:outlineLvl w:val="1"/>
        <w:rPr>
          <w:rFonts w:ascii="宋体" w:hAnsi="宋体" w:cs="宋体"/>
          <w:b/>
          <w:szCs w:val="21"/>
          <w:highlight w:val="none"/>
        </w:rPr>
      </w:pPr>
      <w:r>
        <w:rPr>
          <w:rFonts w:hint="eastAsia" w:ascii="宋体" w:hAnsi="宋体" w:cs="宋体"/>
          <w:b/>
          <w:szCs w:val="21"/>
          <w:highlight w:val="none"/>
        </w:rPr>
        <w:t>方式二：纸质文件递交方式（因疫情原因，安全地区具备快递条件采用）：</w:t>
      </w:r>
    </w:p>
    <w:p>
      <w:pPr>
        <w:pStyle w:val="22"/>
        <w:spacing w:line="500" w:lineRule="exact"/>
        <w:ind w:left="10" w:firstLine="459" w:firstLineChars="219"/>
        <w:jc w:val="left"/>
        <w:outlineLvl w:val="1"/>
        <w:rPr>
          <w:rFonts w:ascii="宋体" w:hAnsi="宋体" w:cs="宋体"/>
          <w:szCs w:val="21"/>
          <w:highlight w:val="none"/>
        </w:rPr>
      </w:pPr>
      <w:r>
        <w:rPr>
          <w:rFonts w:hint="eastAsia" w:ascii="宋体" w:hAnsi="宋体" w:cs="宋体"/>
          <w:szCs w:val="21"/>
          <w:highlight w:val="none"/>
        </w:rPr>
        <w:t>（1）本次招标只接受具有快递单号的邮寄方式递交纸质应答文件，建议应答人使用顺丰快递、中国邮政特快专递（EMS）寄送纸质应答文件，不接受外卖、跑腿递交纸质应答文件。</w:t>
      </w:r>
    </w:p>
    <w:p>
      <w:pPr>
        <w:pStyle w:val="22"/>
        <w:spacing w:line="500" w:lineRule="exact"/>
        <w:ind w:left="10" w:firstLine="459" w:firstLineChars="219"/>
        <w:jc w:val="left"/>
        <w:outlineLvl w:val="1"/>
        <w:rPr>
          <w:rFonts w:ascii="宋体" w:hAnsi="宋体" w:cs="宋体"/>
          <w:szCs w:val="21"/>
          <w:highlight w:val="none"/>
        </w:rPr>
      </w:pPr>
      <w:r>
        <w:rPr>
          <w:rFonts w:hint="eastAsia" w:ascii="宋体" w:hAnsi="宋体" w:cs="宋体"/>
          <w:szCs w:val="21"/>
          <w:highlight w:val="none"/>
        </w:rPr>
        <w:t>（2）应答人应合理安排时间，确保指定收件人能在应答截止时间前收到纸质应答文件。如使用邮寄方式，因纸质应答文件在邮寄过程中遗失、逾期未送达指定地点或在邮寄途中造成纸质应答文件的损坏，对应答人成功投标带来的风险，由应答人自行承担。</w:t>
      </w:r>
    </w:p>
    <w:p>
      <w:pPr>
        <w:pStyle w:val="22"/>
        <w:spacing w:line="500" w:lineRule="exact"/>
        <w:ind w:left="10" w:firstLine="459" w:firstLineChars="219"/>
        <w:jc w:val="left"/>
        <w:outlineLvl w:val="1"/>
        <w:rPr>
          <w:rFonts w:ascii="宋体" w:hAnsi="宋体" w:cs="宋体"/>
          <w:szCs w:val="21"/>
          <w:highlight w:val="none"/>
        </w:rPr>
      </w:pPr>
      <w:r>
        <w:rPr>
          <w:rFonts w:hint="eastAsia" w:ascii="宋体" w:hAnsi="宋体" w:cs="宋体"/>
          <w:szCs w:val="21"/>
          <w:highlight w:val="none"/>
        </w:rPr>
        <w:t>（3）纸质应答文件邮寄时间及地点（收件地址）：</w:t>
      </w:r>
    </w:p>
    <w:p>
      <w:pPr>
        <w:pStyle w:val="22"/>
        <w:spacing w:line="500" w:lineRule="exact"/>
        <w:ind w:left="10" w:firstLine="462" w:firstLineChars="219"/>
        <w:jc w:val="left"/>
        <w:outlineLvl w:val="1"/>
        <w:rPr>
          <w:rFonts w:ascii="宋体" w:hAnsi="宋体" w:cs="宋体"/>
          <w:b/>
          <w:szCs w:val="21"/>
          <w:highlight w:val="none"/>
        </w:rPr>
      </w:pPr>
      <w:r>
        <w:rPr>
          <w:rFonts w:hint="eastAsia" w:ascii="宋体" w:hAnsi="宋体" w:cs="宋体"/>
          <w:b/>
          <w:szCs w:val="21"/>
          <w:highlight w:val="none"/>
        </w:rPr>
        <w:t>（3</w:t>
      </w:r>
      <w:r>
        <w:rPr>
          <w:rFonts w:ascii="宋体" w:hAnsi="宋体" w:cs="宋体"/>
          <w:b/>
          <w:szCs w:val="21"/>
          <w:highlight w:val="none"/>
        </w:rPr>
        <w:t>.1</w:t>
      </w:r>
      <w:r>
        <w:rPr>
          <w:rFonts w:hint="eastAsia" w:ascii="宋体" w:hAnsi="宋体" w:cs="宋体"/>
          <w:b/>
          <w:szCs w:val="21"/>
          <w:highlight w:val="none"/>
        </w:rPr>
        <w:t>）文件到达时间：应答文件于2</w:t>
      </w:r>
      <w:r>
        <w:rPr>
          <w:rFonts w:ascii="宋体" w:hAnsi="宋体" w:cs="宋体"/>
          <w:b/>
          <w:szCs w:val="21"/>
          <w:highlight w:val="none"/>
        </w:rPr>
        <w:t>022</w:t>
      </w:r>
      <w:r>
        <w:rPr>
          <w:rFonts w:hint="eastAsia" w:ascii="宋体" w:hAnsi="宋体" w:cs="宋体"/>
          <w:b/>
          <w:szCs w:val="21"/>
          <w:highlight w:val="none"/>
        </w:rPr>
        <w:t>年03月24日上午1</w:t>
      </w:r>
      <w:r>
        <w:rPr>
          <w:rFonts w:ascii="宋体" w:hAnsi="宋体" w:cs="宋体"/>
          <w:b/>
          <w:szCs w:val="21"/>
          <w:highlight w:val="none"/>
        </w:rPr>
        <w:t>2</w:t>
      </w:r>
      <w:r>
        <w:rPr>
          <w:rFonts w:hint="eastAsia" w:ascii="宋体" w:hAnsi="宋体" w:cs="宋体"/>
          <w:b/>
          <w:szCs w:val="21"/>
          <w:highlight w:val="none"/>
        </w:rPr>
        <w:t>时前到达代理公司。</w:t>
      </w:r>
    </w:p>
    <w:p>
      <w:pPr>
        <w:pStyle w:val="22"/>
        <w:spacing w:line="500" w:lineRule="exact"/>
        <w:ind w:left="420" w:leftChars="200" w:firstLine="40" w:firstLineChars="19"/>
        <w:jc w:val="left"/>
        <w:outlineLvl w:val="1"/>
        <w:rPr>
          <w:rFonts w:ascii="宋体" w:hAnsi="宋体" w:cs="宋体"/>
          <w:b/>
          <w:szCs w:val="21"/>
          <w:highlight w:val="none"/>
        </w:rPr>
      </w:pPr>
      <w:r>
        <w:rPr>
          <w:rFonts w:hint="eastAsia" w:ascii="宋体" w:hAnsi="宋体" w:cs="宋体"/>
          <w:b/>
          <w:szCs w:val="21"/>
          <w:highlight w:val="none"/>
        </w:rPr>
        <w:t>（3</w:t>
      </w:r>
      <w:r>
        <w:rPr>
          <w:rFonts w:ascii="宋体" w:hAnsi="宋体" w:cs="宋体"/>
          <w:b/>
          <w:szCs w:val="21"/>
          <w:highlight w:val="none"/>
        </w:rPr>
        <w:t>.2</w:t>
      </w:r>
      <w:r>
        <w:rPr>
          <w:rFonts w:hint="eastAsia" w:ascii="宋体" w:hAnsi="宋体" w:cs="宋体"/>
          <w:b/>
          <w:szCs w:val="21"/>
          <w:highlight w:val="none"/>
        </w:rPr>
        <w:t>）邮寄地址：济南市历城区港沟街道舜泰广场6号楼。</w:t>
      </w:r>
    </w:p>
    <w:p>
      <w:pPr>
        <w:pStyle w:val="22"/>
        <w:spacing w:line="500" w:lineRule="exact"/>
        <w:ind w:left="420" w:leftChars="200" w:firstLine="40" w:firstLineChars="19"/>
        <w:jc w:val="left"/>
        <w:outlineLvl w:val="1"/>
        <w:rPr>
          <w:rFonts w:ascii="宋体" w:hAnsi="宋体" w:cs="宋体"/>
          <w:b/>
          <w:szCs w:val="21"/>
          <w:highlight w:val="none"/>
        </w:rPr>
      </w:pPr>
      <w:r>
        <w:rPr>
          <w:rFonts w:hint="eastAsia" w:ascii="宋体" w:hAnsi="宋体" w:cs="宋体"/>
          <w:b/>
          <w:szCs w:val="21"/>
          <w:highlight w:val="none"/>
        </w:rPr>
        <w:t>（3</w:t>
      </w:r>
      <w:r>
        <w:rPr>
          <w:rFonts w:ascii="宋体" w:hAnsi="宋体" w:cs="宋体"/>
          <w:b/>
          <w:szCs w:val="21"/>
          <w:highlight w:val="none"/>
        </w:rPr>
        <w:t>.3</w:t>
      </w:r>
      <w:r>
        <w:rPr>
          <w:rFonts w:hint="eastAsia" w:ascii="宋体" w:hAnsi="宋体" w:cs="宋体"/>
          <w:b/>
          <w:szCs w:val="21"/>
          <w:highlight w:val="none"/>
        </w:rPr>
        <w:t>）收件人：</w:t>
      </w:r>
      <w:r>
        <w:rPr>
          <w:rFonts w:hint="eastAsia" w:ascii="宋体" w:hAnsi="宋体" w:cs="宋体"/>
          <w:szCs w:val="21"/>
          <w:highlight w:val="none"/>
        </w:rPr>
        <w:t>周</w:t>
      </w:r>
      <w:r>
        <w:rPr>
          <w:rFonts w:hint="eastAsia" w:ascii="宋体" w:hAnsi="宋体"/>
          <w:szCs w:val="21"/>
          <w:highlight w:val="none"/>
        </w:rPr>
        <w:t>工、孙工</w:t>
      </w:r>
      <w:r>
        <w:rPr>
          <w:rFonts w:hint="eastAsia" w:ascii="宋体" w:hAnsi="宋体" w:cs="宋体"/>
          <w:b/>
          <w:szCs w:val="21"/>
          <w:highlight w:val="none"/>
        </w:rPr>
        <w:t xml:space="preserve"> 联系电话：15665891063</w:t>
      </w:r>
      <w:r>
        <w:rPr>
          <w:rFonts w:hint="eastAsia" w:ascii="宋体" w:hAnsi="宋体" w:cs="宋体"/>
          <w:b/>
          <w:szCs w:val="21"/>
          <w:highlight w:val="none"/>
          <w:lang w:eastAsia="zh-CN"/>
        </w:rPr>
        <w:t>、</w:t>
      </w:r>
      <w:r>
        <w:rPr>
          <w:rFonts w:hint="eastAsia" w:ascii="宋体" w:hAnsi="宋体" w:cs="宋体"/>
          <w:szCs w:val="21"/>
          <w:highlight w:val="none"/>
        </w:rPr>
        <w:t>13964102565</w:t>
      </w:r>
      <w:r>
        <w:rPr>
          <w:rFonts w:hint="eastAsia" w:ascii="宋体" w:hAnsi="宋体" w:cs="宋体"/>
          <w:b/>
          <w:szCs w:val="21"/>
          <w:highlight w:val="none"/>
        </w:rPr>
        <w:t>。</w:t>
      </w:r>
    </w:p>
    <w:p>
      <w:pPr>
        <w:pStyle w:val="22"/>
        <w:spacing w:line="500" w:lineRule="exact"/>
        <w:ind w:left="10" w:firstLine="462" w:firstLineChars="219"/>
        <w:jc w:val="left"/>
        <w:outlineLvl w:val="1"/>
        <w:rPr>
          <w:rFonts w:ascii="宋体" w:hAnsi="宋体" w:cs="宋体"/>
          <w:b/>
          <w:bCs/>
          <w:szCs w:val="21"/>
          <w:highlight w:val="none"/>
        </w:rPr>
      </w:pPr>
      <w:r>
        <w:rPr>
          <w:rFonts w:hint="eastAsia" w:ascii="宋体" w:hAnsi="宋体" w:cs="宋体"/>
          <w:b/>
          <w:bCs/>
          <w:szCs w:val="21"/>
          <w:highlight w:val="none"/>
        </w:rPr>
        <w:t>（4）纸质应答文件以应答人为单位进行邮寄外封装，邮寄封套上应载明应答人全称、招标批次名称、分标名称、包号、应答人代表人姓名及联系电话（手机）。</w:t>
      </w:r>
    </w:p>
    <w:p>
      <w:pPr>
        <w:spacing w:line="400" w:lineRule="exact"/>
        <w:ind w:firstLine="422" w:firstLineChars="200"/>
        <w:rPr>
          <w:rFonts w:ascii="宋体" w:hAnsi="宋体"/>
          <w:highlight w:val="none"/>
        </w:rPr>
      </w:pPr>
      <w:r>
        <w:rPr>
          <w:rFonts w:hint="eastAsia" w:ascii="宋体" w:hAnsi="宋体" w:cs="宋体"/>
          <w:b/>
          <w:szCs w:val="21"/>
          <w:highlight w:val="none"/>
        </w:rPr>
        <w:t>方式三：电子邮件递交方式：</w:t>
      </w:r>
      <w:r>
        <w:rPr>
          <w:rFonts w:hint="eastAsia" w:ascii="宋体" w:hAnsi="宋体"/>
          <w:highlight w:val="none"/>
        </w:rPr>
        <w:t>请将完整的电子商务、技术应答文件于开标前</w:t>
      </w:r>
      <w:r>
        <w:rPr>
          <w:rFonts w:ascii="宋体" w:hAnsi="宋体"/>
          <w:highlight w:val="none"/>
        </w:rPr>
        <w:t>2</w:t>
      </w:r>
      <w:r>
        <w:rPr>
          <w:rFonts w:hint="eastAsia" w:ascii="宋体" w:hAnsi="宋体"/>
          <w:highlight w:val="none"/>
        </w:rPr>
        <w:t>日加密后发送至邮箱sdfzzb@vip.163.com。</w:t>
      </w:r>
    </w:p>
    <w:p>
      <w:pPr>
        <w:spacing w:line="400" w:lineRule="exact"/>
        <w:rPr>
          <w:rFonts w:ascii="宋体" w:hAnsi="宋体"/>
          <w:highlight w:val="none"/>
        </w:rPr>
      </w:pPr>
      <w:r>
        <w:rPr>
          <w:rFonts w:hint="eastAsia" w:ascii="宋体" w:hAnsi="宋体"/>
          <w:highlight w:val="none"/>
        </w:rPr>
        <w:t>(1)应答文件应按分包编制，转成PDF格式，并以分包为单位压缩、加密、发送至邮箱。一个分包一个邮件，同一个应答人不同分包的应答文件应通过不同封的邮件发送，且使用相同的压缩密码加密。同一分包的商务、技术文件应分别压缩，并使用相同压缩密码加密，放于同一邮件内。压缩包格式应为.zip或.rar格式。邮件主题名称统一格式为：“【投标】分标名称-包号-应答人单位全称”，邮件内含各附件名称格式分别为：“分标名称-包号-应答人单位全称-商务文件”、“分标名称-包号-应答人单位全称-技术文件”。应答文件电子版提交前，须确认该电子版内容解密后可读。对于不可读取的电子版内容将不作评审。（若电子版内容在随机选取的不少于三台电脑上均无法打开，则视为其电子版文件不可读取）。应答文件是否完成递交以收到回复邮件（非邮件系统自动回复、已读回执等）为准。</w:t>
      </w:r>
    </w:p>
    <w:p>
      <w:pPr>
        <w:spacing w:line="400" w:lineRule="exact"/>
        <w:rPr>
          <w:rFonts w:ascii="宋体" w:hAnsi="宋体"/>
          <w:highlight w:val="none"/>
        </w:rPr>
      </w:pPr>
      <w:r>
        <w:rPr>
          <w:rFonts w:hint="eastAsia" w:ascii="宋体" w:hAnsi="宋体"/>
          <w:highlight w:val="none"/>
        </w:rPr>
        <w:t>(2)同一应答人不要多人分别用不同邮箱发送应答文件。同一应答人如因修改造成多次发送，评标时将以投标截止时间之前最后一次发送的应答文件为准。</w:t>
      </w:r>
    </w:p>
    <w:p>
      <w:pPr>
        <w:spacing w:line="400" w:lineRule="exact"/>
        <w:rPr>
          <w:rFonts w:ascii="宋体" w:hAnsi="宋体"/>
          <w:highlight w:val="none"/>
        </w:rPr>
      </w:pPr>
      <w:r>
        <w:rPr>
          <w:rFonts w:hint="eastAsia" w:ascii="宋体" w:hAnsi="宋体"/>
          <w:highlight w:val="none"/>
        </w:rPr>
        <w:t>(3)投标截止时间过后</w:t>
      </w:r>
      <w:r>
        <w:rPr>
          <w:rFonts w:ascii="宋体" w:hAnsi="宋体"/>
          <w:highlight w:val="none"/>
        </w:rPr>
        <w:t>20</w:t>
      </w:r>
      <w:r>
        <w:rPr>
          <w:rFonts w:hint="eastAsia" w:ascii="宋体" w:hAnsi="宋体"/>
          <w:highlight w:val="none"/>
        </w:rPr>
        <w:t>分钟内（2022年03月2</w:t>
      </w:r>
      <w:r>
        <w:rPr>
          <w:rFonts w:ascii="宋体" w:hAnsi="宋体"/>
          <w:highlight w:val="none"/>
        </w:rPr>
        <w:t>5</w:t>
      </w:r>
      <w:r>
        <w:rPr>
          <w:rFonts w:hint="eastAsia" w:ascii="宋体" w:hAnsi="宋体"/>
          <w:highlight w:val="none"/>
        </w:rPr>
        <w:t>日上午9:0</w:t>
      </w:r>
      <w:r>
        <w:rPr>
          <w:rFonts w:ascii="宋体" w:hAnsi="宋体"/>
          <w:highlight w:val="none"/>
        </w:rPr>
        <w:t>0</w:t>
      </w:r>
      <w:r>
        <w:rPr>
          <w:rFonts w:hint="eastAsia" w:ascii="宋体" w:hAnsi="宋体"/>
          <w:highlight w:val="none"/>
        </w:rPr>
        <w:t>至9:20，北京时间），应答人应通过与发送上述应答文件相同的邮箱将应答文件正确密码发送至指定邮箱sdfzzb@vip.163.com。</w:t>
      </w:r>
    </w:p>
    <w:p>
      <w:pPr>
        <w:spacing w:line="400" w:lineRule="exact"/>
        <w:rPr>
          <w:rFonts w:ascii="宋体" w:hAnsi="宋体"/>
          <w:highlight w:val="none"/>
        </w:rPr>
      </w:pPr>
      <w:r>
        <w:rPr>
          <w:rFonts w:hint="eastAsia" w:ascii="宋体" w:hAnsi="宋体"/>
          <w:highlight w:val="none"/>
        </w:rPr>
        <w:t>（4）开标时，在监督人员监督下检查应答文件加密情况，并统一将各应答人密码信息解密。若应答人的应答文件未加密，或者应答人发送错误密码以及未按照要求发送密码，导致应答文件无法解密的，均视为无效应答文件。</w:t>
      </w:r>
    </w:p>
    <w:p>
      <w:pPr>
        <w:spacing w:line="500" w:lineRule="exact"/>
        <w:ind w:firstLine="413" w:firstLineChars="196"/>
        <w:outlineLvl w:val="1"/>
        <w:rPr>
          <w:rFonts w:ascii="宋体" w:hAnsi="宋体" w:cs="宋体"/>
          <w:b/>
          <w:bCs/>
          <w:szCs w:val="21"/>
          <w:highlight w:val="none"/>
        </w:rPr>
      </w:pPr>
      <w:r>
        <w:rPr>
          <w:rFonts w:hint="eastAsia"/>
          <w:b/>
          <w:bCs/>
          <w:szCs w:val="21"/>
          <w:highlight w:val="none"/>
          <w:u w:val="single"/>
        </w:rPr>
        <w:t>相同版本的纸质投标文件具备安全快递条件后，可快递给代理公司</w:t>
      </w:r>
      <w:r>
        <w:rPr>
          <w:rFonts w:hint="eastAsia"/>
          <w:b/>
          <w:bCs/>
          <w:szCs w:val="21"/>
          <w:highlight w:val="none"/>
        </w:rPr>
        <w:t>。（按照采购文件前附表3.6.4条要去递交。）</w:t>
      </w:r>
    </w:p>
    <w:p>
      <w:pPr>
        <w:spacing w:line="500" w:lineRule="exact"/>
        <w:ind w:firstLine="411" w:firstLineChars="196"/>
        <w:outlineLvl w:val="1"/>
        <w:rPr>
          <w:rFonts w:ascii="宋体" w:hAnsi="宋体" w:cs="宋体"/>
          <w:szCs w:val="21"/>
          <w:highlight w:val="none"/>
        </w:rPr>
      </w:pPr>
      <w:r>
        <w:rPr>
          <w:rFonts w:hint="eastAsia" w:ascii="宋体" w:hAnsi="宋体" w:cs="宋体"/>
          <w:szCs w:val="21"/>
          <w:highlight w:val="none"/>
        </w:rPr>
        <w:t>6</w:t>
      </w:r>
      <w:r>
        <w:rPr>
          <w:rFonts w:ascii="宋体" w:hAnsi="宋体" w:cs="宋体"/>
          <w:szCs w:val="21"/>
          <w:highlight w:val="none"/>
        </w:rPr>
        <w:t>.2</w:t>
      </w:r>
      <w:r>
        <w:rPr>
          <w:rFonts w:hint="eastAsia" w:ascii="宋体" w:hAnsi="宋体" w:cs="宋体"/>
          <w:szCs w:val="21"/>
          <w:highlight w:val="none"/>
        </w:rPr>
        <w:t>应答人应按上述要求进行编制、上传和邮寄。应答文件逾期提交的，按未递交招标应答文件处理，招标人不予受理。</w:t>
      </w:r>
    </w:p>
    <w:p>
      <w:pPr>
        <w:pStyle w:val="2"/>
        <w:rPr>
          <w:rFonts w:ascii="宋体" w:hAnsi="宋体" w:cs="宋体"/>
          <w:sz w:val="21"/>
          <w:szCs w:val="21"/>
          <w:highlight w:val="none"/>
        </w:rPr>
      </w:pPr>
      <w:r>
        <w:rPr>
          <w:rFonts w:hint="eastAsia" w:ascii="宋体" w:hAnsi="宋体" w:cs="宋体"/>
          <w:sz w:val="21"/>
          <w:szCs w:val="21"/>
          <w:highlight w:val="none"/>
        </w:rPr>
        <w:t>6</w:t>
      </w:r>
      <w:r>
        <w:rPr>
          <w:rFonts w:ascii="宋体" w:hAnsi="宋体" w:cs="宋体"/>
          <w:sz w:val="21"/>
          <w:szCs w:val="21"/>
          <w:highlight w:val="none"/>
        </w:rPr>
        <w:t>.3</w:t>
      </w:r>
      <w:r>
        <w:rPr>
          <w:rFonts w:hint="eastAsia" w:ascii="宋体" w:hAnsi="宋体" w:cs="宋体"/>
          <w:sz w:val="21"/>
          <w:szCs w:val="21"/>
          <w:highlight w:val="none"/>
        </w:rPr>
        <w:t>为了避免各应答人的应答文件因网络拥堵等原因造成递交失败，请应答人耐心等待或是避开上传高峰，</w:t>
      </w:r>
      <w:r>
        <w:rPr>
          <w:rFonts w:ascii="宋体" w:hAnsi="宋体" w:cs="宋体"/>
          <w:sz w:val="21"/>
          <w:szCs w:val="21"/>
          <w:highlight w:val="none"/>
        </w:rPr>
        <w:t>尽早</w:t>
      </w:r>
      <w:r>
        <w:rPr>
          <w:rFonts w:hint="eastAsia" w:ascii="宋体" w:hAnsi="宋体" w:cs="宋体"/>
          <w:sz w:val="21"/>
          <w:szCs w:val="21"/>
          <w:highlight w:val="none"/>
        </w:rPr>
        <w:t>安排应答文件上传工作。</w:t>
      </w:r>
    </w:p>
    <w:p>
      <w:pPr>
        <w:spacing w:line="500" w:lineRule="exact"/>
        <w:rPr>
          <w:rFonts w:ascii="宋体" w:hAnsi="宋体" w:cs="宋体"/>
          <w:b/>
          <w:szCs w:val="21"/>
          <w:highlight w:val="none"/>
        </w:rPr>
      </w:pPr>
      <w:r>
        <w:rPr>
          <w:rFonts w:hint="eastAsia" w:ascii="宋体" w:hAnsi="宋体" w:cs="宋体"/>
          <w:b/>
          <w:szCs w:val="21"/>
          <w:highlight w:val="none"/>
        </w:rPr>
        <w:t>7.</w:t>
      </w:r>
      <w:r>
        <w:rPr>
          <w:rFonts w:hint="eastAsia" w:ascii="宋体" w:hAnsi="宋体"/>
          <w:b/>
          <w:szCs w:val="21"/>
          <w:highlight w:val="none"/>
        </w:rPr>
        <w:t>首次报价公示</w:t>
      </w:r>
    </w:p>
    <w:p>
      <w:pPr>
        <w:spacing w:line="500" w:lineRule="exact"/>
        <w:ind w:firstLine="420" w:firstLineChars="200"/>
        <w:rPr>
          <w:rFonts w:ascii="宋体" w:hAnsi="宋体"/>
          <w:szCs w:val="21"/>
          <w:highlight w:val="none"/>
        </w:rPr>
      </w:pPr>
      <w:r>
        <w:rPr>
          <w:rFonts w:hint="eastAsia" w:ascii="宋体" w:hAnsi="宋体"/>
          <w:szCs w:val="21"/>
          <w:highlight w:val="none"/>
        </w:rPr>
        <w:t>代理机构在应答截止时间之后多轮报价前，在国家电网有限公司电子商务平台-电工交易专区公示首次报价。应答人可登陆国家电网有限公司电子商务平台-电工交易专区，登陆账号后自行查看本项目首轮报价情况。</w:t>
      </w:r>
    </w:p>
    <w:p>
      <w:pPr>
        <w:spacing w:line="500" w:lineRule="exact"/>
        <w:outlineLvl w:val="1"/>
        <w:rPr>
          <w:rFonts w:ascii="宋体" w:hAnsi="宋体" w:cs="宋体"/>
          <w:b/>
          <w:szCs w:val="21"/>
          <w:highlight w:val="none"/>
        </w:rPr>
      </w:pPr>
      <w:r>
        <w:rPr>
          <w:rFonts w:hint="eastAsia" w:ascii="宋体" w:hAnsi="宋体" w:cs="宋体"/>
          <w:b/>
          <w:szCs w:val="21"/>
          <w:highlight w:val="none"/>
        </w:rPr>
        <w:t>8.发布公告的媒介</w:t>
      </w:r>
    </w:p>
    <w:p>
      <w:pPr>
        <w:spacing w:line="500" w:lineRule="exact"/>
        <w:ind w:firstLine="411" w:firstLineChars="196"/>
        <w:outlineLvl w:val="1"/>
        <w:rPr>
          <w:rFonts w:ascii="宋体" w:hAnsi="宋体" w:cs="宋体"/>
          <w:szCs w:val="21"/>
          <w:highlight w:val="none"/>
        </w:rPr>
      </w:pPr>
      <w:r>
        <w:rPr>
          <w:rFonts w:hint="eastAsia" w:ascii="宋体" w:hAnsi="宋体" w:cs="宋体"/>
          <w:szCs w:val="21"/>
          <w:highlight w:val="none"/>
        </w:rPr>
        <w:t>本次招标同时在“中国招标投标公共服务平台”（www.cebpubservice.com）及</w:t>
      </w:r>
      <w:r>
        <w:rPr>
          <w:rFonts w:ascii="宋体" w:hAnsi="宋体" w:cs="宋体"/>
          <w:szCs w:val="21"/>
          <w:highlight w:val="none"/>
        </w:rPr>
        <w:t>“</w:t>
      </w:r>
      <w:r>
        <w:rPr>
          <w:rFonts w:hint="eastAsia" w:ascii="宋体" w:hAnsi="宋体" w:cs="宋体"/>
          <w:szCs w:val="21"/>
          <w:highlight w:val="none"/>
        </w:rPr>
        <w:t>国家电网电子商务平台（ECP2.0）-电工交易专区</w:t>
      </w:r>
      <w:r>
        <w:rPr>
          <w:rFonts w:ascii="宋体" w:hAnsi="宋体" w:cs="宋体"/>
          <w:szCs w:val="21"/>
          <w:highlight w:val="none"/>
        </w:rPr>
        <w:t>”</w:t>
      </w:r>
      <w:r>
        <w:rPr>
          <w:rFonts w:hint="eastAsia" w:ascii="宋体" w:hAnsi="宋体" w:cs="宋体"/>
          <w:szCs w:val="21"/>
          <w:highlight w:val="none"/>
        </w:rPr>
        <w:t>（https://sgccetp.com.cn）上发布。</w:t>
      </w:r>
    </w:p>
    <w:p>
      <w:pPr>
        <w:spacing w:line="500" w:lineRule="exact"/>
        <w:ind w:firstLine="422" w:firstLineChars="200"/>
        <w:rPr>
          <w:rFonts w:ascii="宋体" w:hAnsi="宋体" w:cs="宋体"/>
          <w:b/>
          <w:szCs w:val="21"/>
          <w:highlight w:val="none"/>
        </w:rPr>
      </w:pPr>
      <w:r>
        <w:rPr>
          <w:rFonts w:hint="eastAsia" w:ascii="宋体" w:hAnsi="宋体" w:cs="宋体"/>
          <w:b/>
          <w:szCs w:val="21"/>
          <w:highlight w:val="none"/>
        </w:rPr>
        <w:t>友情提示:本次采购在国家电网有限公司电子商务平台电工交易专区上进行，凡参与的应答人必须在国家电网有限公司电子商务电工交易专区平台注册账号，具备中国金融认证中心（CFCA）唯一指定电子钥匙办理厂商优泰科技发展有限公司的电子钥匙。相关事宜见国家电网有限公司电子商务平台（https://sgccetp.com.cn/portal/，使用谷歌浏览器）。</w:t>
      </w:r>
    </w:p>
    <w:p>
      <w:pPr>
        <w:spacing w:line="500" w:lineRule="exact"/>
        <w:outlineLvl w:val="1"/>
        <w:rPr>
          <w:rFonts w:ascii="宋体" w:hAnsi="宋体" w:cs="宋体"/>
          <w:b/>
          <w:szCs w:val="21"/>
          <w:highlight w:val="none"/>
        </w:rPr>
      </w:pPr>
      <w:r>
        <w:rPr>
          <w:rFonts w:hint="eastAsia" w:ascii="宋体" w:hAnsi="宋体" w:cs="宋体"/>
          <w:b/>
          <w:szCs w:val="21"/>
          <w:highlight w:val="none"/>
        </w:rPr>
        <w:t>9.联系方式</w:t>
      </w:r>
    </w:p>
    <w:p>
      <w:pPr>
        <w:spacing w:line="500" w:lineRule="exact"/>
        <w:outlineLvl w:val="1"/>
        <w:rPr>
          <w:rFonts w:ascii="宋体" w:hAnsi="宋体" w:cs="宋体"/>
          <w:szCs w:val="21"/>
          <w:highlight w:val="none"/>
        </w:rPr>
      </w:pPr>
      <w:r>
        <w:rPr>
          <w:rFonts w:hint="eastAsia" w:ascii="宋体" w:hAnsi="宋体" w:cs="宋体"/>
          <w:szCs w:val="21"/>
          <w:highlight w:val="none"/>
        </w:rPr>
        <w:t xml:space="preserve">招 标 人：山东网瑞物产有限公司     招标代理机构：法正项目管理集团有限公司                        </w:t>
      </w:r>
    </w:p>
    <w:p>
      <w:pPr>
        <w:spacing w:line="500" w:lineRule="exact"/>
        <w:outlineLvl w:val="1"/>
        <w:rPr>
          <w:rFonts w:ascii="宋体" w:hAnsi="宋体" w:cs="宋体"/>
          <w:szCs w:val="21"/>
          <w:highlight w:val="none"/>
        </w:rPr>
      </w:pPr>
      <w:r>
        <w:rPr>
          <w:rFonts w:hint="eastAsia" w:ascii="宋体" w:hAnsi="宋体" w:cs="宋体"/>
          <w:szCs w:val="21"/>
          <w:highlight w:val="none"/>
        </w:rPr>
        <w:t>地    址：济南市市中区经三路17号   地 址：济南市历城区港沟街道舜泰广场6号楼</w:t>
      </w:r>
    </w:p>
    <w:p>
      <w:pPr>
        <w:spacing w:line="500" w:lineRule="exact"/>
        <w:outlineLvl w:val="1"/>
        <w:rPr>
          <w:rFonts w:ascii="宋体" w:hAnsi="宋体" w:cs="宋体"/>
          <w:szCs w:val="21"/>
          <w:highlight w:val="none"/>
        </w:rPr>
      </w:pPr>
      <w:r>
        <w:rPr>
          <w:rFonts w:hint="eastAsia" w:ascii="宋体" w:hAnsi="宋体" w:cs="宋体"/>
          <w:szCs w:val="21"/>
          <w:highlight w:val="none"/>
        </w:rPr>
        <w:t xml:space="preserve">邮    编：250001                   邮    编：250001                            </w:t>
      </w:r>
    </w:p>
    <w:p>
      <w:pPr>
        <w:spacing w:line="500" w:lineRule="exact"/>
        <w:outlineLvl w:val="1"/>
        <w:rPr>
          <w:rFonts w:ascii="宋体" w:hAnsi="宋体" w:cs="宋体"/>
          <w:szCs w:val="21"/>
          <w:highlight w:val="none"/>
        </w:rPr>
      </w:pPr>
      <w:r>
        <w:rPr>
          <w:rFonts w:hint="eastAsia" w:ascii="宋体" w:hAnsi="宋体" w:cs="宋体"/>
          <w:szCs w:val="21"/>
          <w:highlight w:val="none"/>
        </w:rPr>
        <w:t>联 系 人：王工                     联 系 人：周</w:t>
      </w:r>
      <w:r>
        <w:rPr>
          <w:rFonts w:hint="eastAsia" w:ascii="宋体" w:hAnsi="宋体"/>
          <w:szCs w:val="21"/>
          <w:highlight w:val="none"/>
        </w:rPr>
        <w:t>工、孙工</w:t>
      </w:r>
      <w:r>
        <w:rPr>
          <w:rFonts w:hint="eastAsia" w:ascii="宋体" w:hAnsi="宋体" w:cs="宋体"/>
          <w:szCs w:val="21"/>
          <w:highlight w:val="none"/>
        </w:rPr>
        <w:t xml:space="preserve">                         </w:t>
      </w:r>
    </w:p>
    <w:p>
      <w:pPr>
        <w:spacing w:line="500" w:lineRule="exact"/>
        <w:outlineLvl w:val="1"/>
        <w:rPr>
          <w:rFonts w:ascii="宋体" w:hAnsi="宋体" w:cs="宋体"/>
          <w:szCs w:val="21"/>
          <w:highlight w:val="none"/>
        </w:rPr>
      </w:pPr>
      <w:r>
        <w:rPr>
          <w:rFonts w:hint="eastAsia" w:ascii="宋体" w:hAnsi="宋体" w:cs="宋体"/>
          <w:szCs w:val="21"/>
          <w:highlight w:val="none"/>
        </w:rPr>
        <w:t xml:space="preserve">电    话：0531-80122498            电    话：15665891063、13964102565                         </w:t>
      </w:r>
    </w:p>
    <w:p>
      <w:pPr>
        <w:spacing w:line="500" w:lineRule="exact"/>
        <w:outlineLvl w:val="1"/>
        <w:rPr>
          <w:rFonts w:ascii="宋体" w:hAnsi="宋体" w:cs="宋体"/>
          <w:szCs w:val="21"/>
          <w:highlight w:val="none"/>
        </w:rPr>
      </w:pPr>
      <w:r>
        <w:rPr>
          <w:rFonts w:hint="eastAsia" w:ascii="宋体" w:hAnsi="宋体" w:cs="宋体"/>
          <w:szCs w:val="21"/>
          <w:highlight w:val="none"/>
        </w:rPr>
        <w:t>传    真：/                        传    真：/</w:t>
      </w:r>
    </w:p>
    <w:p>
      <w:pPr>
        <w:spacing w:line="500" w:lineRule="exact"/>
        <w:ind w:firstLine="411" w:firstLineChars="196"/>
        <w:outlineLvl w:val="1"/>
        <w:rPr>
          <w:rFonts w:ascii="宋体" w:hAnsi="宋体" w:cs="宋体"/>
          <w:szCs w:val="21"/>
          <w:highlight w:val="none"/>
        </w:rPr>
      </w:pPr>
      <w:r>
        <w:rPr>
          <w:rFonts w:hint="eastAsia" w:ascii="宋体" w:hAnsi="宋体" w:cs="宋体"/>
          <w:szCs w:val="21"/>
          <w:highlight w:val="none"/>
        </w:rPr>
        <w:t>如有程序疑问，请联系国家电网电子商务平台（ECP2.0）-电工交易专区运维电话：010-63411000。</w:t>
      </w:r>
    </w:p>
    <w:p>
      <w:pPr>
        <w:spacing w:line="500" w:lineRule="exact"/>
        <w:outlineLvl w:val="1"/>
        <w:rPr>
          <w:rFonts w:ascii="宋体" w:hAnsi="宋体" w:cs="宋体"/>
          <w:b/>
          <w:szCs w:val="21"/>
          <w:highlight w:val="none"/>
        </w:rPr>
      </w:pPr>
      <w:r>
        <w:rPr>
          <w:rFonts w:hint="eastAsia" w:ascii="宋体" w:hAnsi="宋体" w:cs="宋体"/>
          <w:b/>
          <w:szCs w:val="21"/>
          <w:highlight w:val="none"/>
        </w:rPr>
        <w:t>10.重要提示</w:t>
      </w:r>
    </w:p>
    <w:p>
      <w:pPr>
        <w:spacing w:line="500" w:lineRule="exact"/>
        <w:ind w:firstLine="420" w:firstLineChars="200"/>
        <w:outlineLvl w:val="1"/>
        <w:rPr>
          <w:rFonts w:ascii="宋体" w:hAnsi="宋体" w:cs="宋体"/>
          <w:szCs w:val="21"/>
          <w:highlight w:val="none"/>
        </w:rPr>
      </w:pPr>
      <w:r>
        <w:rPr>
          <w:rFonts w:hint="eastAsia" w:ascii="宋体" w:hAnsi="宋体" w:cs="宋体"/>
          <w:szCs w:val="21"/>
          <w:highlight w:val="none"/>
        </w:rPr>
        <w:t>10.1在购买标书前，务必在国网电子商务平台中完善供应商基本信息（统一信用代码，工商登记号，税务登记证号均为</w:t>
      </w:r>
      <w:r>
        <w:rPr>
          <w:rFonts w:ascii="宋体" w:hAnsi="宋体" w:cs="宋体"/>
          <w:szCs w:val="21"/>
          <w:highlight w:val="none"/>
        </w:rPr>
        <w:t>91</w:t>
      </w:r>
      <w:r>
        <w:rPr>
          <w:rFonts w:hint="eastAsia" w:ascii="宋体" w:hAnsi="宋体" w:cs="宋体"/>
          <w:szCs w:val="21"/>
          <w:highlight w:val="none"/>
        </w:rPr>
        <w:t>开头的</w:t>
      </w:r>
      <w:r>
        <w:rPr>
          <w:rFonts w:ascii="宋体" w:hAnsi="宋体" w:cs="宋体"/>
          <w:szCs w:val="21"/>
          <w:highlight w:val="none"/>
        </w:rPr>
        <w:t>18</w:t>
      </w:r>
      <w:r>
        <w:rPr>
          <w:rFonts w:hint="eastAsia" w:ascii="宋体" w:hAnsi="宋体" w:cs="宋体"/>
          <w:szCs w:val="21"/>
          <w:highlight w:val="none"/>
        </w:rPr>
        <w:t>位号码，组织机构代码为</w:t>
      </w:r>
      <w:r>
        <w:rPr>
          <w:rFonts w:ascii="宋体" w:hAnsi="宋体" w:cs="宋体"/>
          <w:szCs w:val="21"/>
          <w:highlight w:val="none"/>
        </w:rPr>
        <w:t>9-17</w:t>
      </w:r>
      <w:r>
        <w:rPr>
          <w:rFonts w:hint="eastAsia" w:ascii="宋体" w:hAnsi="宋体" w:cs="宋体"/>
          <w:szCs w:val="21"/>
          <w:highlight w:val="none"/>
        </w:rPr>
        <w:t>位）。</w:t>
      </w:r>
    </w:p>
    <w:p>
      <w:pPr>
        <w:spacing w:line="500" w:lineRule="exact"/>
        <w:ind w:firstLine="420" w:firstLineChars="200"/>
        <w:outlineLvl w:val="1"/>
        <w:rPr>
          <w:rFonts w:ascii="宋体" w:hAnsi="宋体" w:cs="宋体"/>
          <w:szCs w:val="21"/>
          <w:highlight w:val="none"/>
        </w:rPr>
      </w:pPr>
      <w:r>
        <w:rPr>
          <w:rFonts w:hint="eastAsia" w:ascii="宋体" w:hAnsi="宋体" w:cs="宋体"/>
          <w:szCs w:val="21"/>
          <w:highlight w:val="none"/>
        </w:rPr>
        <w:t>10.</w:t>
      </w:r>
      <w:r>
        <w:rPr>
          <w:rFonts w:ascii="宋体" w:hAnsi="宋体" w:cs="宋体"/>
          <w:szCs w:val="21"/>
          <w:highlight w:val="none"/>
        </w:rPr>
        <w:t>2</w:t>
      </w:r>
      <w:r>
        <w:rPr>
          <w:rFonts w:hint="eastAsia" w:ascii="宋体" w:hAnsi="宋体" w:cs="宋体"/>
          <w:szCs w:val="21"/>
          <w:highlight w:val="none"/>
        </w:rPr>
        <w:t>请各潜在应答人依据《关于深化增值税改革有关政策的公告》（财政部 税务总局 海关总署公告2019年第39号）填报税率，如法规政策调整，以最新发布的税率为准。</w:t>
      </w:r>
    </w:p>
    <w:p>
      <w:pPr>
        <w:spacing w:line="500" w:lineRule="exact"/>
        <w:ind w:firstLine="420" w:firstLineChars="200"/>
        <w:outlineLvl w:val="1"/>
        <w:rPr>
          <w:rFonts w:ascii="宋体" w:hAnsi="宋体" w:cs="宋体"/>
          <w:szCs w:val="21"/>
          <w:highlight w:val="none"/>
        </w:rPr>
      </w:pPr>
      <w:r>
        <w:rPr>
          <w:rFonts w:hint="eastAsia" w:ascii="宋体" w:hAnsi="宋体" w:cs="宋体"/>
          <w:szCs w:val="21"/>
          <w:highlight w:val="none"/>
        </w:rPr>
        <w:t>10.</w:t>
      </w:r>
      <w:r>
        <w:rPr>
          <w:rFonts w:ascii="宋体" w:hAnsi="宋体" w:cs="宋体"/>
          <w:szCs w:val="21"/>
          <w:highlight w:val="none"/>
        </w:rPr>
        <w:t>3</w:t>
      </w:r>
      <w:r>
        <w:rPr>
          <w:rFonts w:hint="eastAsia" w:ascii="宋体" w:hAnsi="宋体" w:cs="宋体"/>
          <w:szCs w:val="21"/>
          <w:highlight w:val="none"/>
        </w:rPr>
        <w:t>中标服务费缴纳</w:t>
      </w:r>
    </w:p>
    <w:p>
      <w:pPr>
        <w:spacing w:line="500" w:lineRule="exact"/>
        <w:ind w:firstLine="420" w:firstLineChars="200"/>
        <w:outlineLvl w:val="1"/>
        <w:rPr>
          <w:rFonts w:ascii="宋体" w:hAnsi="宋体" w:cs="宋体"/>
          <w:szCs w:val="21"/>
          <w:highlight w:val="none"/>
        </w:rPr>
      </w:pPr>
      <w:r>
        <w:rPr>
          <w:rFonts w:hint="eastAsia" w:ascii="宋体" w:hAnsi="宋体" w:cs="宋体"/>
          <w:szCs w:val="21"/>
          <w:highlight w:val="none"/>
        </w:rPr>
        <w:t>10.</w:t>
      </w:r>
      <w:r>
        <w:rPr>
          <w:rFonts w:ascii="宋体" w:hAnsi="宋体" w:cs="宋体"/>
          <w:szCs w:val="21"/>
          <w:highlight w:val="none"/>
        </w:rPr>
        <w:t>3</w:t>
      </w:r>
      <w:r>
        <w:rPr>
          <w:rFonts w:hint="eastAsia" w:ascii="宋体" w:hAnsi="宋体" w:cs="宋体"/>
          <w:szCs w:val="21"/>
          <w:highlight w:val="none"/>
        </w:rPr>
        <w:t>.1综合服务：</w:t>
      </w:r>
    </w:p>
    <w:p>
      <w:pPr>
        <w:spacing w:line="500" w:lineRule="exact"/>
        <w:ind w:firstLine="420" w:firstLineChars="200"/>
        <w:outlineLvl w:val="1"/>
        <w:rPr>
          <w:rFonts w:ascii="宋体" w:hAnsi="宋体" w:cs="宋体"/>
          <w:szCs w:val="21"/>
          <w:highlight w:val="none"/>
        </w:rPr>
      </w:pPr>
      <w:r>
        <w:rPr>
          <w:rFonts w:hint="eastAsia" w:ascii="宋体" w:hAnsi="宋体" w:cs="宋体"/>
          <w:szCs w:val="21"/>
          <w:highlight w:val="none"/>
        </w:rPr>
        <w:t>成交人应在收到《成交通知书》后10日内，一次性向招标代理机构交纳招标代理服务费，收费以包为单位，按中标合同金额收取。如果成交人不按照招标文件规定交纳招标代理服务费，招标代理机构有权从其应答保证金中扣减相应金额的招标代理服务费。(招标代理服务费规定与招标文件其它部分规定不一致的，以本公告为准。)</w:t>
      </w:r>
    </w:p>
    <w:p>
      <w:pPr>
        <w:spacing w:line="500" w:lineRule="exact"/>
        <w:ind w:firstLine="420" w:firstLineChars="200"/>
        <w:outlineLvl w:val="1"/>
        <w:rPr>
          <w:rFonts w:ascii="宋体" w:hAnsi="宋体" w:cs="宋体"/>
          <w:szCs w:val="21"/>
          <w:highlight w:val="none"/>
        </w:rPr>
      </w:pPr>
      <w:r>
        <w:rPr>
          <w:rFonts w:hint="eastAsia" w:ascii="宋体" w:hAnsi="宋体" w:cs="宋体"/>
          <w:szCs w:val="21"/>
          <w:highlight w:val="none"/>
        </w:rPr>
        <w:t>10.</w:t>
      </w:r>
      <w:r>
        <w:rPr>
          <w:rFonts w:ascii="宋体" w:hAnsi="宋体" w:cs="宋体"/>
          <w:szCs w:val="21"/>
          <w:highlight w:val="none"/>
        </w:rPr>
        <w:t>4</w:t>
      </w:r>
      <w:r>
        <w:rPr>
          <w:rFonts w:hint="eastAsia" w:ascii="宋体" w:hAnsi="宋体" w:cs="宋体"/>
          <w:szCs w:val="21"/>
          <w:highlight w:val="none"/>
        </w:rPr>
        <w:t>资质业绩、包号等事项应以采购需求一览表中载明的要求为准，不得随意改动，敬请注意；投标时，如技术规范书提出相关资质、业绩要求且与公告中资质、业绩要求不同，以公告的要求为准。</w:t>
      </w:r>
    </w:p>
    <w:p>
      <w:pPr>
        <w:spacing w:line="500" w:lineRule="exact"/>
        <w:ind w:firstLine="420" w:firstLineChars="200"/>
        <w:outlineLvl w:val="1"/>
        <w:rPr>
          <w:rFonts w:ascii="宋体" w:hAnsi="宋体" w:cs="宋体"/>
          <w:szCs w:val="21"/>
          <w:highlight w:val="none"/>
        </w:rPr>
      </w:pPr>
      <w:r>
        <w:rPr>
          <w:rFonts w:hint="eastAsia" w:ascii="宋体" w:hAnsi="宋体" w:cs="宋体"/>
          <w:szCs w:val="21"/>
          <w:highlight w:val="none"/>
        </w:rPr>
        <w:t>10.</w:t>
      </w:r>
      <w:r>
        <w:rPr>
          <w:rFonts w:ascii="宋体" w:hAnsi="宋体" w:cs="宋体"/>
          <w:szCs w:val="21"/>
          <w:highlight w:val="none"/>
        </w:rPr>
        <w:t>5</w:t>
      </w:r>
      <w:r>
        <w:rPr>
          <w:rFonts w:hint="eastAsia" w:ascii="宋体" w:hAnsi="宋体" w:cs="宋体"/>
          <w:szCs w:val="21"/>
          <w:highlight w:val="none"/>
        </w:rPr>
        <w:t>本次招标中，应答人应按照招标文件要求递交纸质报价文件、商务、技术应答文件。</w:t>
      </w:r>
    </w:p>
    <w:p>
      <w:pPr>
        <w:spacing w:line="500" w:lineRule="exact"/>
        <w:ind w:firstLine="420" w:firstLineChars="200"/>
        <w:outlineLvl w:val="1"/>
        <w:rPr>
          <w:rFonts w:ascii="宋体" w:hAnsi="宋体" w:cs="宋体"/>
          <w:szCs w:val="21"/>
          <w:highlight w:val="none"/>
        </w:rPr>
      </w:pPr>
      <w:r>
        <w:rPr>
          <w:rFonts w:hint="eastAsia" w:ascii="宋体" w:hAnsi="宋体" w:cs="宋体"/>
          <w:szCs w:val="21"/>
          <w:highlight w:val="none"/>
        </w:rPr>
        <w:t>10.</w:t>
      </w:r>
      <w:r>
        <w:rPr>
          <w:rFonts w:ascii="宋体" w:hAnsi="宋体" w:cs="宋体"/>
          <w:szCs w:val="21"/>
          <w:highlight w:val="none"/>
        </w:rPr>
        <w:t>6</w:t>
      </w:r>
      <w:r>
        <w:rPr>
          <w:rFonts w:hint="eastAsia" w:ascii="宋体" w:hAnsi="宋体" w:cs="宋体"/>
          <w:szCs w:val="21"/>
          <w:highlight w:val="none"/>
        </w:rPr>
        <w:t>本批次招标所有标包业绩须是与项目项目单位直接签订并执行的合同，其它的不予认可。业绩均应出具相关合同的关键部分（包括封面、合同协议书、签署页、关键条款等）复印件。</w:t>
      </w:r>
    </w:p>
    <w:p>
      <w:pPr>
        <w:adjustRightInd w:val="0"/>
        <w:snapToGrid w:val="0"/>
        <w:spacing w:line="500" w:lineRule="exact"/>
        <w:rPr>
          <w:rFonts w:ascii="宋体" w:hAnsi="宋体" w:cs="宋体"/>
          <w:bCs/>
          <w:szCs w:val="21"/>
          <w:highlight w:val="none"/>
        </w:rPr>
      </w:pPr>
      <w:r>
        <w:rPr>
          <w:rFonts w:hint="eastAsia" w:ascii="宋体" w:hAnsi="宋体" w:cs="宋体"/>
          <w:bCs/>
          <w:szCs w:val="21"/>
          <w:highlight w:val="none"/>
        </w:rPr>
        <w:t>附表1：采购需求一览表</w:t>
      </w:r>
    </w:p>
    <w:p>
      <w:pPr>
        <w:adjustRightInd w:val="0"/>
        <w:snapToGrid w:val="0"/>
        <w:spacing w:line="500" w:lineRule="exact"/>
        <w:rPr>
          <w:rFonts w:ascii="宋体" w:hAnsi="宋体" w:cs="宋体"/>
          <w:bCs/>
          <w:szCs w:val="21"/>
          <w:highlight w:val="none"/>
        </w:rPr>
      </w:pPr>
      <w:r>
        <w:rPr>
          <w:rFonts w:hint="eastAsia" w:ascii="宋体" w:hAnsi="宋体" w:cs="宋体"/>
          <w:bCs/>
          <w:szCs w:val="21"/>
          <w:highlight w:val="none"/>
        </w:rPr>
        <w:t>附表</w:t>
      </w:r>
      <w:r>
        <w:rPr>
          <w:rFonts w:ascii="宋体" w:hAnsi="宋体" w:cs="宋体"/>
          <w:bCs/>
          <w:szCs w:val="21"/>
          <w:highlight w:val="none"/>
        </w:rPr>
        <w:t>2</w:t>
      </w:r>
      <w:r>
        <w:rPr>
          <w:rFonts w:hint="eastAsia" w:ascii="宋体" w:hAnsi="宋体" w:cs="宋体"/>
          <w:bCs/>
          <w:szCs w:val="21"/>
          <w:highlight w:val="none"/>
        </w:rPr>
        <w:t>：供应商档案增加信息表</w:t>
      </w:r>
    </w:p>
    <w:p>
      <w:pPr>
        <w:adjustRightInd w:val="0"/>
        <w:snapToGrid w:val="0"/>
        <w:spacing w:line="500" w:lineRule="exact"/>
        <w:jc w:val="right"/>
        <w:rPr>
          <w:rFonts w:ascii="宋体" w:hAnsi="宋体" w:cs="宋体"/>
          <w:bCs/>
          <w:szCs w:val="21"/>
          <w:highlight w:val="none"/>
        </w:rPr>
      </w:pPr>
      <w:r>
        <w:rPr>
          <w:rFonts w:hint="eastAsia" w:ascii="宋体" w:hAnsi="宋体" w:cs="宋体"/>
          <w:bCs/>
          <w:szCs w:val="21"/>
          <w:highlight w:val="none"/>
        </w:rPr>
        <w:t>2022年03月</w:t>
      </w:r>
    </w:p>
    <w:p>
      <w:pPr>
        <w:pStyle w:val="2"/>
        <w:rPr>
          <w:rFonts w:ascii="宋体" w:hAnsi="宋体" w:cs="宋体"/>
          <w:bCs/>
          <w:szCs w:val="21"/>
          <w:highlight w:val="none"/>
        </w:rPr>
      </w:pPr>
    </w:p>
    <w:p>
      <w:pPr>
        <w:pStyle w:val="2"/>
        <w:rPr>
          <w:highlight w:val="none"/>
        </w:rPr>
      </w:pPr>
    </w:p>
    <w:p>
      <w:pPr>
        <w:rPr>
          <w:rFonts w:asciiTheme="minorEastAsia" w:hAnsiTheme="minorEastAsia" w:eastAsiaTheme="minorEastAsia"/>
          <w:b/>
          <w:kern w:val="0"/>
          <w:szCs w:val="21"/>
          <w:highlight w:val="none"/>
        </w:rPr>
      </w:pPr>
    </w:p>
    <w:p>
      <w:pPr>
        <w:widowControl/>
        <w:spacing w:before="240"/>
        <w:jc w:val="left"/>
        <w:rPr>
          <w:rFonts w:asciiTheme="minorEastAsia" w:hAnsiTheme="minorEastAsia" w:eastAsiaTheme="minorEastAsia"/>
          <w:b/>
          <w:kern w:val="0"/>
          <w:szCs w:val="21"/>
          <w:highlight w:val="none"/>
        </w:rPr>
      </w:pPr>
      <w:r>
        <w:rPr>
          <w:rFonts w:hint="eastAsia" w:asciiTheme="minorEastAsia" w:hAnsiTheme="minorEastAsia" w:eastAsiaTheme="minorEastAsia"/>
          <w:b/>
          <w:kern w:val="0"/>
          <w:szCs w:val="21"/>
          <w:highlight w:val="none"/>
        </w:rPr>
        <w:t>附表1：</w:t>
      </w:r>
    </w:p>
    <w:p>
      <w:pPr>
        <w:spacing w:after="156" w:afterLines="50"/>
        <w:jc w:val="center"/>
        <w:rPr>
          <w:rFonts w:asciiTheme="minorEastAsia" w:hAnsiTheme="minorEastAsia" w:eastAsiaTheme="minorEastAsia"/>
          <w:kern w:val="0"/>
          <w:sz w:val="24"/>
          <w:szCs w:val="24"/>
          <w:highlight w:val="none"/>
        </w:rPr>
      </w:pPr>
      <w:r>
        <w:rPr>
          <w:rFonts w:hint="eastAsia" w:asciiTheme="minorEastAsia" w:hAnsiTheme="minorEastAsia" w:eastAsiaTheme="minorEastAsia"/>
          <w:kern w:val="0"/>
          <w:sz w:val="24"/>
          <w:szCs w:val="24"/>
          <w:highlight w:val="none"/>
        </w:rPr>
        <w:t>采购需求一览表</w:t>
      </w:r>
    </w:p>
    <w:p>
      <w:pPr>
        <w:rPr>
          <w:rFonts w:asciiTheme="minorEastAsia" w:hAnsiTheme="minorEastAsia" w:eastAsiaTheme="minorEastAsia"/>
          <w:kern w:val="0"/>
          <w:szCs w:val="21"/>
          <w:highlight w:val="none"/>
        </w:rPr>
      </w:pPr>
      <w:r>
        <w:rPr>
          <w:rFonts w:asciiTheme="minorEastAsia" w:hAnsiTheme="minorEastAsia" w:eastAsiaTheme="minorEastAsia"/>
          <w:kern w:val="0"/>
          <w:szCs w:val="21"/>
          <w:highlight w:val="none"/>
        </w:rPr>
        <w:t xml:space="preserve">       </w:t>
      </w:r>
    </w:p>
    <w:tbl>
      <w:tblPr>
        <w:tblStyle w:val="10"/>
        <w:tblW w:w="5000" w:type="pct"/>
        <w:jc w:val="center"/>
        <w:tblLayout w:type="autofit"/>
        <w:tblCellMar>
          <w:top w:w="0" w:type="dxa"/>
          <w:left w:w="0" w:type="dxa"/>
          <w:bottom w:w="0" w:type="dxa"/>
          <w:right w:w="0" w:type="dxa"/>
        </w:tblCellMar>
      </w:tblPr>
      <w:tblGrid>
        <w:gridCol w:w="719"/>
        <w:gridCol w:w="1309"/>
        <w:gridCol w:w="1091"/>
        <w:gridCol w:w="2402"/>
        <w:gridCol w:w="1313"/>
        <w:gridCol w:w="1262"/>
        <w:gridCol w:w="1005"/>
      </w:tblGrid>
      <w:tr>
        <w:tblPrEx>
          <w:tblCellMar>
            <w:top w:w="0" w:type="dxa"/>
            <w:left w:w="0" w:type="dxa"/>
            <w:bottom w:w="0" w:type="dxa"/>
            <w:right w:w="0" w:type="dxa"/>
          </w:tblCellMar>
        </w:tblPrEx>
        <w:trPr>
          <w:trHeight w:val="600" w:hRule="atLeast"/>
          <w:jc w:val="center"/>
        </w:trPr>
        <w:tc>
          <w:tcPr>
            <w:tcW w:w="39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
                <w:sz w:val="18"/>
                <w:szCs w:val="18"/>
                <w:highlight w:val="none"/>
              </w:rPr>
            </w:pPr>
            <w:r>
              <w:rPr>
                <w:rFonts w:hint="eastAsia" w:ascii="宋体" w:hAnsi="宋体" w:cs="宋体"/>
                <w:b/>
                <w:kern w:val="0"/>
                <w:sz w:val="18"/>
                <w:szCs w:val="18"/>
                <w:highlight w:val="none"/>
              </w:rPr>
              <w:t>序号</w:t>
            </w:r>
          </w:p>
        </w:tc>
        <w:tc>
          <w:tcPr>
            <w:tcW w:w="71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
                <w:sz w:val="18"/>
                <w:szCs w:val="18"/>
                <w:highlight w:val="none"/>
              </w:rPr>
            </w:pPr>
            <w:r>
              <w:rPr>
                <w:rFonts w:hint="eastAsia" w:ascii="宋体" w:hAnsi="宋体" w:cs="宋体"/>
                <w:b/>
                <w:sz w:val="18"/>
                <w:szCs w:val="18"/>
                <w:highlight w:val="none"/>
              </w:rPr>
              <w:t>分标名称</w:t>
            </w:r>
          </w:p>
        </w:tc>
        <w:tc>
          <w:tcPr>
            <w:tcW w:w="59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
                <w:sz w:val="18"/>
                <w:szCs w:val="18"/>
                <w:highlight w:val="none"/>
              </w:rPr>
            </w:pPr>
            <w:r>
              <w:rPr>
                <w:rFonts w:hint="eastAsia" w:ascii="宋体" w:hAnsi="宋体" w:cs="宋体"/>
                <w:b/>
                <w:kern w:val="0"/>
                <w:sz w:val="18"/>
                <w:szCs w:val="18"/>
                <w:highlight w:val="none"/>
              </w:rPr>
              <w:t>包号</w:t>
            </w:r>
          </w:p>
        </w:tc>
        <w:tc>
          <w:tcPr>
            <w:tcW w:w="131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
                <w:sz w:val="18"/>
                <w:szCs w:val="18"/>
                <w:highlight w:val="none"/>
              </w:rPr>
            </w:pPr>
            <w:r>
              <w:rPr>
                <w:rFonts w:hint="eastAsia" w:ascii="宋体" w:hAnsi="宋体" w:cs="宋体"/>
                <w:b/>
                <w:kern w:val="0"/>
                <w:sz w:val="18"/>
                <w:szCs w:val="18"/>
                <w:highlight w:val="none"/>
              </w:rPr>
              <w:t>包名称</w:t>
            </w:r>
          </w:p>
        </w:tc>
        <w:tc>
          <w:tcPr>
            <w:tcW w:w="72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ind w:left="-1" w:leftChars="-4" w:hanging="7" w:hangingChars="4"/>
              <w:jc w:val="center"/>
              <w:textAlignment w:val="center"/>
              <w:rPr>
                <w:rFonts w:ascii="宋体" w:hAnsi="宋体" w:cs="宋体"/>
                <w:b/>
                <w:sz w:val="18"/>
                <w:szCs w:val="18"/>
                <w:highlight w:val="none"/>
              </w:rPr>
            </w:pPr>
            <w:r>
              <w:rPr>
                <w:rFonts w:hint="eastAsia" w:ascii="宋体" w:hAnsi="宋体" w:cs="宋体"/>
                <w:b/>
                <w:kern w:val="0"/>
                <w:sz w:val="18"/>
                <w:szCs w:val="18"/>
                <w:highlight w:val="none"/>
              </w:rPr>
              <w:t>最高限价</w:t>
            </w:r>
            <w:r>
              <w:rPr>
                <w:rFonts w:hint="eastAsia" w:ascii="宋体" w:hAnsi="宋体" w:cs="宋体"/>
                <w:b/>
                <w:kern w:val="0"/>
                <w:sz w:val="18"/>
                <w:szCs w:val="18"/>
                <w:highlight w:val="none"/>
              </w:rPr>
              <w:br w:type="textWrapping"/>
            </w:r>
            <w:r>
              <w:rPr>
                <w:rFonts w:hint="eastAsia" w:ascii="宋体" w:hAnsi="宋体" w:cs="宋体"/>
                <w:b/>
                <w:kern w:val="0"/>
                <w:sz w:val="18"/>
                <w:szCs w:val="18"/>
                <w:highlight w:val="none"/>
              </w:rPr>
              <w:t>（万元）</w:t>
            </w:r>
          </w:p>
        </w:tc>
        <w:tc>
          <w:tcPr>
            <w:tcW w:w="69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
                <w:sz w:val="18"/>
                <w:szCs w:val="18"/>
                <w:highlight w:val="none"/>
              </w:rPr>
            </w:pPr>
            <w:r>
              <w:rPr>
                <w:rFonts w:hint="eastAsia" w:ascii="宋体" w:hAnsi="宋体" w:cs="宋体"/>
                <w:b/>
                <w:kern w:val="0"/>
                <w:sz w:val="18"/>
                <w:szCs w:val="18"/>
                <w:highlight w:val="none"/>
              </w:rPr>
              <w:t>保证金</w:t>
            </w:r>
            <w:r>
              <w:rPr>
                <w:rFonts w:hint="eastAsia" w:ascii="宋体" w:hAnsi="宋体" w:cs="宋体"/>
                <w:b/>
                <w:kern w:val="0"/>
                <w:sz w:val="18"/>
                <w:szCs w:val="18"/>
                <w:highlight w:val="none"/>
              </w:rPr>
              <w:br w:type="textWrapping"/>
            </w:r>
            <w:r>
              <w:rPr>
                <w:rFonts w:hint="eastAsia" w:ascii="宋体" w:hAnsi="宋体" w:cs="宋体"/>
                <w:b/>
                <w:kern w:val="0"/>
                <w:sz w:val="18"/>
                <w:szCs w:val="18"/>
                <w:highlight w:val="none"/>
              </w:rPr>
              <w:t>（万元）</w:t>
            </w:r>
          </w:p>
        </w:tc>
        <w:tc>
          <w:tcPr>
            <w:tcW w:w="55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
                <w:sz w:val="18"/>
                <w:szCs w:val="18"/>
                <w:highlight w:val="none"/>
              </w:rPr>
            </w:pPr>
            <w:r>
              <w:rPr>
                <w:rFonts w:hint="eastAsia" w:ascii="宋体" w:hAnsi="宋体" w:cs="宋体"/>
                <w:b/>
                <w:kern w:val="0"/>
                <w:sz w:val="18"/>
                <w:szCs w:val="18"/>
                <w:highlight w:val="none"/>
              </w:rPr>
              <w:t>评审方式</w:t>
            </w:r>
          </w:p>
        </w:tc>
      </w:tr>
      <w:tr>
        <w:tblPrEx>
          <w:tblCellMar>
            <w:top w:w="0" w:type="dxa"/>
            <w:left w:w="0" w:type="dxa"/>
            <w:bottom w:w="0" w:type="dxa"/>
            <w:right w:w="0" w:type="dxa"/>
          </w:tblCellMar>
        </w:tblPrEx>
        <w:trPr>
          <w:trHeight w:val="90" w:hRule="atLeast"/>
          <w:jc w:val="center"/>
        </w:trPr>
        <w:tc>
          <w:tcPr>
            <w:tcW w:w="39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1</w:t>
            </w:r>
          </w:p>
        </w:tc>
        <w:tc>
          <w:tcPr>
            <w:tcW w:w="71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综合物资</w:t>
            </w:r>
          </w:p>
        </w:tc>
        <w:tc>
          <w:tcPr>
            <w:tcW w:w="59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包01</w:t>
            </w:r>
          </w:p>
        </w:tc>
        <w:tc>
          <w:tcPr>
            <w:tcW w:w="131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2022年恒源农业基地苗木储备协议库存采购项目</w:t>
            </w:r>
          </w:p>
        </w:tc>
        <w:tc>
          <w:tcPr>
            <w:tcW w:w="72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单项限价：见采购文件</w:t>
            </w:r>
          </w:p>
        </w:tc>
        <w:tc>
          <w:tcPr>
            <w:tcW w:w="69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0.8</w:t>
            </w:r>
          </w:p>
        </w:tc>
        <w:tc>
          <w:tcPr>
            <w:tcW w:w="55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
                <w:bCs/>
                <w:kern w:val="0"/>
                <w:sz w:val="18"/>
                <w:szCs w:val="18"/>
                <w:highlight w:val="none"/>
              </w:rPr>
              <w:t>最低价成交</w:t>
            </w:r>
          </w:p>
        </w:tc>
      </w:tr>
      <w:tr>
        <w:tblPrEx>
          <w:tblCellMar>
            <w:top w:w="0" w:type="dxa"/>
            <w:left w:w="0" w:type="dxa"/>
            <w:bottom w:w="0" w:type="dxa"/>
            <w:right w:w="0" w:type="dxa"/>
          </w:tblCellMar>
        </w:tblPrEx>
        <w:trPr>
          <w:trHeight w:val="90" w:hRule="atLeast"/>
          <w:jc w:val="center"/>
        </w:trPr>
        <w:tc>
          <w:tcPr>
            <w:tcW w:w="39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2</w:t>
            </w:r>
          </w:p>
        </w:tc>
        <w:tc>
          <w:tcPr>
            <w:tcW w:w="71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综合物资</w:t>
            </w:r>
          </w:p>
        </w:tc>
        <w:tc>
          <w:tcPr>
            <w:tcW w:w="59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包02</w:t>
            </w:r>
          </w:p>
        </w:tc>
        <w:tc>
          <w:tcPr>
            <w:tcW w:w="131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2022年恒源农业基地绿植协议库存采购项目</w:t>
            </w:r>
          </w:p>
        </w:tc>
        <w:tc>
          <w:tcPr>
            <w:tcW w:w="72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单项限价：见采购文件</w:t>
            </w:r>
          </w:p>
        </w:tc>
        <w:tc>
          <w:tcPr>
            <w:tcW w:w="69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1.6</w:t>
            </w:r>
          </w:p>
        </w:tc>
        <w:tc>
          <w:tcPr>
            <w:tcW w:w="55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
                <w:bCs/>
                <w:kern w:val="0"/>
                <w:sz w:val="18"/>
                <w:szCs w:val="18"/>
                <w:highlight w:val="none"/>
              </w:rPr>
              <w:t>最低价成交</w:t>
            </w:r>
          </w:p>
        </w:tc>
      </w:tr>
      <w:tr>
        <w:trPr>
          <w:trHeight w:val="90" w:hRule="atLeast"/>
          <w:jc w:val="center"/>
        </w:trPr>
        <w:tc>
          <w:tcPr>
            <w:tcW w:w="39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Cs/>
                <w:kern w:val="0"/>
                <w:sz w:val="18"/>
                <w:szCs w:val="18"/>
                <w:highlight w:val="none"/>
              </w:rPr>
            </w:pPr>
            <w:r>
              <w:rPr>
                <w:rFonts w:ascii="宋体" w:hAnsi="宋体" w:cs="宋体"/>
                <w:bCs/>
                <w:kern w:val="0"/>
                <w:sz w:val="18"/>
                <w:szCs w:val="18"/>
                <w:highlight w:val="none"/>
              </w:rPr>
              <w:t>3</w:t>
            </w:r>
          </w:p>
        </w:tc>
        <w:tc>
          <w:tcPr>
            <w:tcW w:w="71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综合物资</w:t>
            </w:r>
          </w:p>
        </w:tc>
        <w:tc>
          <w:tcPr>
            <w:tcW w:w="59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包03</w:t>
            </w:r>
          </w:p>
        </w:tc>
        <w:tc>
          <w:tcPr>
            <w:tcW w:w="131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2022综合服务中心物资投标文件存储应用网盘系统采购</w:t>
            </w:r>
          </w:p>
        </w:tc>
        <w:tc>
          <w:tcPr>
            <w:tcW w:w="72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30.07</w:t>
            </w:r>
          </w:p>
        </w:tc>
        <w:tc>
          <w:tcPr>
            <w:tcW w:w="69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0.6</w:t>
            </w:r>
            <w:r>
              <w:rPr>
                <w:rFonts w:ascii="宋体" w:hAnsi="宋体" w:cs="宋体"/>
                <w:bCs/>
                <w:kern w:val="0"/>
                <w:sz w:val="18"/>
                <w:szCs w:val="18"/>
                <w:highlight w:val="none"/>
              </w:rPr>
              <w:t>0</w:t>
            </w:r>
          </w:p>
        </w:tc>
        <w:tc>
          <w:tcPr>
            <w:tcW w:w="55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
                <w:bCs/>
                <w:kern w:val="0"/>
                <w:sz w:val="18"/>
                <w:szCs w:val="18"/>
                <w:highlight w:val="none"/>
              </w:rPr>
              <w:t>综合评审</w:t>
            </w:r>
          </w:p>
        </w:tc>
      </w:tr>
      <w:tr>
        <w:tblPrEx>
          <w:tblCellMar>
            <w:top w:w="0" w:type="dxa"/>
            <w:left w:w="0" w:type="dxa"/>
            <w:bottom w:w="0" w:type="dxa"/>
            <w:right w:w="0" w:type="dxa"/>
          </w:tblCellMar>
        </w:tblPrEx>
        <w:trPr>
          <w:trHeight w:val="90" w:hRule="atLeast"/>
          <w:jc w:val="center"/>
        </w:trPr>
        <w:tc>
          <w:tcPr>
            <w:tcW w:w="39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Cs/>
                <w:kern w:val="0"/>
                <w:sz w:val="18"/>
                <w:szCs w:val="18"/>
                <w:highlight w:val="none"/>
              </w:rPr>
            </w:pPr>
            <w:r>
              <w:rPr>
                <w:rFonts w:ascii="宋体" w:hAnsi="宋体" w:cs="宋体"/>
                <w:bCs/>
                <w:kern w:val="0"/>
                <w:sz w:val="18"/>
                <w:szCs w:val="18"/>
                <w:highlight w:val="none"/>
              </w:rPr>
              <w:t>4</w:t>
            </w:r>
          </w:p>
        </w:tc>
        <w:tc>
          <w:tcPr>
            <w:tcW w:w="71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综合物资</w:t>
            </w:r>
          </w:p>
        </w:tc>
        <w:tc>
          <w:tcPr>
            <w:tcW w:w="59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包04</w:t>
            </w:r>
          </w:p>
        </w:tc>
        <w:tc>
          <w:tcPr>
            <w:tcW w:w="131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2022年综合服务中心培训会议室设备采购</w:t>
            </w:r>
          </w:p>
        </w:tc>
        <w:tc>
          <w:tcPr>
            <w:tcW w:w="72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13.8613</w:t>
            </w:r>
          </w:p>
        </w:tc>
        <w:tc>
          <w:tcPr>
            <w:tcW w:w="69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Cs/>
                <w:kern w:val="0"/>
                <w:sz w:val="18"/>
                <w:szCs w:val="18"/>
                <w:highlight w:val="none"/>
              </w:rPr>
              <w:t>0.2</w:t>
            </w:r>
            <w:r>
              <w:rPr>
                <w:rFonts w:ascii="宋体" w:hAnsi="宋体" w:cs="宋体"/>
                <w:bCs/>
                <w:kern w:val="0"/>
                <w:sz w:val="18"/>
                <w:szCs w:val="18"/>
                <w:highlight w:val="none"/>
              </w:rPr>
              <w:t>6</w:t>
            </w:r>
          </w:p>
        </w:tc>
        <w:tc>
          <w:tcPr>
            <w:tcW w:w="55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300" w:lineRule="exact"/>
              <w:jc w:val="center"/>
              <w:textAlignment w:val="center"/>
              <w:rPr>
                <w:rFonts w:ascii="宋体" w:hAnsi="宋体" w:cs="宋体"/>
                <w:bCs/>
                <w:kern w:val="0"/>
                <w:sz w:val="18"/>
                <w:szCs w:val="18"/>
                <w:highlight w:val="none"/>
              </w:rPr>
            </w:pPr>
            <w:r>
              <w:rPr>
                <w:rFonts w:hint="eastAsia" w:ascii="宋体" w:hAnsi="宋体" w:cs="宋体"/>
                <w:b/>
                <w:bCs/>
                <w:kern w:val="0"/>
                <w:sz w:val="18"/>
                <w:szCs w:val="18"/>
                <w:highlight w:val="none"/>
              </w:rPr>
              <w:t>综合评审</w:t>
            </w:r>
          </w:p>
        </w:tc>
      </w:tr>
    </w:tbl>
    <w:p>
      <w:pPr>
        <w:widowControl/>
        <w:jc w:val="left"/>
        <w:rPr>
          <w:rFonts w:asciiTheme="minorEastAsia" w:hAnsiTheme="minorEastAsia" w:eastAsiaTheme="minorEastAsia"/>
          <w:kern w:val="0"/>
          <w:szCs w:val="21"/>
          <w:highlight w:val="none"/>
        </w:rPr>
      </w:pPr>
    </w:p>
    <w:p>
      <w:pPr>
        <w:adjustRightInd w:val="0"/>
        <w:snapToGrid w:val="0"/>
        <w:jc w:val="left"/>
        <w:rPr>
          <w:b/>
          <w:szCs w:val="21"/>
          <w:highlight w:val="none"/>
        </w:rPr>
      </w:pPr>
    </w:p>
    <w:p>
      <w:pPr>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ind w:left="0" w:leftChars="0" w:firstLine="0" w:firstLineChars="0"/>
        <w:rPr>
          <w:highlight w:val="none"/>
        </w:rPr>
      </w:pPr>
    </w:p>
    <w:p>
      <w:pPr>
        <w:pStyle w:val="2"/>
        <w:rPr>
          <w:highlight w:val="none"/>
        </w:rPr>
        <w:sectPr>
          <w:pgSz w:w="11906" w:h="16838"/>
          <w:pgMar w:top="1134" w:right="1134" w:bottom="1134" w:left="1134" w:header="851" w:footer="992" w:gutter="567"/>
          <w:cols w:space="425" w:num="1"/>
          <w:docGrid w:type="lines" w:linePitch="312" w:charSpace="0"/>
        </w:sectPr>
      </w:pPr>
    </w:p>
    <w:p>
      <w:pPr>
        <w:spacing w:line="500" w:lineRule="exact"/>
        <w:rPr>
          <w:rFonts w:ascii="宋体" w:hAnsi="宋体" w:cs="宋体"/>
          <w:b/>
          <w:bCs/>
          <w:kern w:val="0"/>
          <w:szCs w:val="21"/>
          <w:highlight w:val="none"/>
        </w:rPr>
      </w:pPr>
      <w:r>
        <w:rPr>
          <w:rFonts w:hint="eastAsia" w:ascii="宋体" w:hAnsi="宋体" w:cs="宋体"/>
          <w:b/>
          <w:bCs/>
          <w:kern w:val="0"/>
          <w:szCs w:val="21"/>
          <w:highlight w:val="none"/>
        </w:rPr>
        <w:t>附表</w:t>
      </w:r>
      <w:r>
        <w:rPr>
          <w:rFonts w:ascii="宋体" w:hAnsi="宋体" w:cs="宋体"/>
          <w:b/>
          <w:bCs/>
          <w:kern w:val="0"/>
          <w:szCs w:val="21"/>
          <w:highlight w:val="none"/>
        </w:rPr>
        <w:t>2</w:t>
      </w:r>
      <w:r>
        <w:rPr>
          <w:rFonts w:hint="eastAsia" w:ascii="宋体" w:hAnsi="宋体" w:cs="宋体"/>
          <w:b/>
          <w:bCs/>
          <w:kern w:val="0"/>
          <w:szCs w:val="21"/>
          <w:highlight w:val="none"/>
        </w:rPr>
        <w:t>：</w:t>
      </w:r>
    </w:p>
    <w:tbl>
      <w:tblPr>
        <w:tblStyle w:val="10"/>
        <w:tblW w:w="5000" w:type="pct"/>
        <w:tblInd w:w="0" w:type="dxa"/>
        <w:tblLayout w:type="autofit"/>
        <w:tblCellMar>
          <w:top w:w="0" w:type="dxa"/>
          <w:left w:w="108" w:type="dxa"/>
          <w:bottom w:w="0" w:type="dxa"/>
          <w:right w:w="108" w:type="dxa"/>
        </w:tblCellMar>
      </w:tblPr>
      <w:tblGrid>
        <w:gridCol w:w="1431"/>
        <w:gridCol w:w="1652"/>
        <w:gridCol w:w="1210"/>
        <w:gridCol w:w="766"/>
        <w:gridCol w:w="1211"/>
        <w:gridCol w:w="1018"/>
        <w:gridCol w:w="627"/>
        <w:gridCol w:w="990"/>
        <w:gridCol w:w="904"/>
        <w:gridCol w:w="1591"/>
        <w:gridCol w:w="706"/>
        <w:gridCol w:w="706"/>
        <w:gridCol w:w="1140"/>
        <w:gridCol w:w="222"/>
      </w:tblGrid>
      <w:tr>
        <w:tblPrEx>
          <w:tblCellMar>
            <w:top w:w="0" w:type="dxa"/>
            <w:left w:w="108" w:type="dxa"/>
            <w:bottom w:w="0" w:type="dxa"/>
            <w:right w:w="108" w:type="dxa"/>
          </w:tblCellMar>
        </w:tblPrEx>
        <w:trPr>
          <w:trHeight w:val="300" w:hRule="atLeast"/>
        </w:trPr>
        <w:tc>
          <w:tcPr>
            <w:tcW w:w="4921" w:type="pct"/>
            <w:gridSpan w:val="13"/>
            <w:vMerge w:val="restart"/>
            <w:tcBorders>
              <w:top w:val="nil"/>
              <w:left w:val="nil"/>
              <w:bottom w:val="nil"/>
              <w:right w:val="nil"/>
            </w:tcBorders>
            <w:shd w:val="clear" w:color="auto" w:fill="auto"/>
            <w:noWrap/>
            <w:vAlign w:val="center"/>
          </w:tcPr>
          <w:p>
            <w:pPr>
              <w:widowControl/>
              <w:spacing w:line="500" w:lineRule="exact"/>
              <w:jc w:val="center"/>
              <w:textAlignment w:val="center"/>
              <w:rPr>
                <w:rFonts w:ascii="宋体" w:hAnsi="宋体" w:cs="宋体"/>
                <w:b/>
                <w:bCs/>
                <w:sz w:val="32"/>
                <w:szCs w:val="32"/>
                <w:highlight w:val="none"/>
              </w:rPr>
            </w:pPr>
            <w:bookmarkStart w:id="0" w:name="_Hlk97299154"/>
            <w:r>
              <w:rPr>
                <w:rFonts w:hint="eastAsia" w:ascii="宋体" w:hAnsi="宋体" w:cs="宋体"/>
                <w:b/>
                <w:bCs/>
                <w:kern w:val="0"/>
                <w:sz w:val="32"/>
                <w:szCs w:val="32"/>
                <w:highlight w:val="none"/>
              </w:rPr>
              <w:t>供应商档案增加信息表</w:t>
            </w:r>
            <w:bookmarkEnd w:id="0"/>
          </w:p>
        </w:tc>
        <w:tc>
          <w:tcPr>
            <w:tcW w:w="78" w:type="pct"/>
            <w:tcBorders>
              <w:top w:val="nil"/>
              <w:left w:val="nil"/>
              <w:bottom w:val="nil"/>
              <w:right w:val="nil"/>
            </w:tcBorders>
            <w:shd w:val="clear" w:color="auto" w:fill="auto"/>
            <w:noWrap/>
            <w:vAlign w:val="center"/>
          </w:tcPr>
          <w:p>
            <w:pPr>
              <w:spacing w:line="500" w:lineRule="exact"/>
              <w:rPr>
                <w:rFonts w:ascii="等线" w:hAnsi="等线" w:eastAsia="等线" w:cs="等线"/>
                <w:sz w:val="22"/>
                <w:szCs w:val="22"/>
                <w:highlight w:val="none"/>
              </w:rPr>
            </w:pPr>
          </w:p>
        </w:tc>
      </w:tr>
      <w:tr>
        <w:tblPrEx>
          <w:tblCellMar>
            <w:top w:w="0" w:type="dxa"/>
            <w:left w:w="108" w:type="dxa"/>
            <w:bottom w:w="0" w:type="dxa"/>
            <w:right w:w="108" w:type="dxa"/>
          </w:tblCellMar>
        </w:tblPrEx>
        <w:trPr>
          <w:trHeight w:val="300" w:hRule="atLeast"/>
        </w:trPr>
        <w:tc>
          <w:tcPr>
            <w:tcW w:w="4921" w:type="pct"/>
            <w:gridSpan w:val="13"/>
            <w:vMerge w:val="continue"/>
            <w:tcBorders>
              <w:top w:val="nil"/>
              <w:left w:val="nil"/>
              <w:bottom w:val="nil"/>
              <w:right w:val="nil"/>
            </w:tcBorders>
            <w:shd w:val="clear" w:color="auto" w:fill="auto"/>
            <w:noWrap/>
            <w:vAlign w:val="center"/>
          </w:tcPr>
          <w:p>
            <w:pPr>
              <w:spacing w:line="500" w:lineRule="exact"/>
              <w:jc w:val="center"/>
              <w:rPr>
                <w:rFonts w:ascii="宋体" w:hAnsi="宋体" w:cs="宋体"/>
                <w:b/>
                <w:bCs/>
                <w:sz w:val="32"/>
                <w:szCs w:val="32"/>
                <w:highlight w:val="none"/>
              </w:rPr>
            </w:pPr>
          </w:p>
        </w:tc>
        <w:tc>
          <w:tcPr>
            <w:tcW w:w="78" w:type="pct"/>
            <w:tcBorders>
              <w:top w:val="nil"/>
              <w:left w:val="nil"/>
              <w:bottom w:val="nil"/>
              <w:right w:val="nil"/>
            </w:tcBorders>
            <w:shd w:val="clear" w:color="auto" w:fill="auto"/>
            <w:noWrap/>
            <w:vAlign w:val="center"/>
          </w:tcPr>
          <w:p>
            <w:pPr>
              <w:spacing w:line="500" w:lineRule="exact"/>
              <w:rPr>
                <w:rFonts w:ascii="等线" w:hAnsi="等线" w:eastAsia="等线" w:cs="等线"/>
                <w:sz w:val="22"/>
                <w:szCs w:val="22"/>
                <w:highlight w:val="none"/>
              </w:rPr>
            </w:pPr>
          </w:p>
        </w:tc>
      </w:tr>
      <w:tr>
        <w:tblPrEx>
          <w:tblCellMar>
            <w:top w:w="0" w:type="dxa"/>
            <w:left w:w="108" w:type="dxa"/>
            <w:bottom w:w="0" w:type="dxa"/>
            <w:right w:w="108" w:type="dxa"/>
          </w:tblCellMar>
        </w:tblPrEx>
        <w:trPr>
          <w:trHeight w:val="285" w:hRule="atLeast"/>
        </w:trPr>
        <w:tc>
          <w:tcPr>
            <w:tcW w:w="4921" w:type="pct"/>
            <w:gridSpan w:val="1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500" w:lineRule="exact"/>
              <w:jc w:val="left"/>
              <w:textAlignment w:val="top"/>
              <w:rPr>
                <w:rFonts w:ascii="宋体" w:hAnsi="宋体" w:cs="宋体"/>
                <w:kern w:val="0"/>
                <w:sz w:val="15"/>
                <w:szCs w:val="15"/>
                <w:highlight w:val="none"/>
              </w:rPr>
            </w:pPr>
            <w:r>
              <w:rPr>
                <w:rFonts w:hint="eastAsia" w:ascii="宋体" w:hAnsi="宋体" w:cs="宋体"/>
                <w:kern w:val="0"/>
                <w:sz w:val="15"/>
                <w:szCs w:val="15"/>
                <w:highlight w:val="none"/>
              </w:rPr>
              <w:t xml:space="preserve">编号： </w:t>
            </w:r>
            <w:r>
              <w:rPr>
                <w:rFonts w:hint="eastAsia" w:ascii="宋体" w:hAnsi="宋体" w:cs="宋体"/>
                <w:kern w:val="0"/>
                <w:sz w:val="15"/>
                <w:szCs w:val="15"/>
                <w:highlight w:val="none"/>
              </w:rPr>
              <w:br w:type="textWrapping"/>
            </w:r>
            <w:r>
              <w:rPr>
                <w:rFonts w:hint="eastAsia" w:ascii="宋体" w:hAnsi="宋体" w:cs="宋体"/>
                <w:kern w:val="0"/>
                <w:sz w:val="15"/>
                <w:szCs w:val="15"/>
                <w:highlight w:val="none"/>
              </w:rPr>
              <w:t>（业务单元编码+申请日期）*需和申请表编号一致</w:t>
            </w:r>
            <w:r>
              <w:rPr>
                <w:rFonts w:hint="eastAsia" w:ascii="宋体" w:hAnsi="宋体" w:cs="宋体"/>
                <w:kern w:val="0"/>
                <w:sz w:val="15"/>
                <w:szCs w:val="15"/>
                <w:highlight w:val="none"/>
              </w:rPr>
              <w:br w:type="textWrapping"/>
            </w:r>
            <w:r>
              <w:rPr>
                <w:rFonts w:hint="eastAsia" w:ascii="宋体" w:hAnsi="宋体" w:cs="宋体"/>
                <w:kern w:val="0"/>
                <w:sz w:val="15"/>
                <w:szCs w:val="15"/>
                <w:highlight w:val="none"/>
              </w:rPr>
              <w:t>*纳税人登记号（1、如果三证合一则填写营业执照上面的统一社会信用代码；</w:t>
            </w:r>
            <w:r>
              <w:rPr>
                <w:rFonts w:hint="eastAsia" w:ascii="宋体" w:hAnsi="宋体" w:cs="宋体"/>
                <w:kern w:val="0"/>
                <w:sz w:val="15"/>
                <w:szCs w:val="15"/>
                <w:highlight w:val="none"/>
              </w:rPr>
              <w:br w:type="textWrapping"/>
            </w:r>
            <w:r>
              <w:rPr>
                <w:rFonts w:hint="eastAsia" w:ascii="宋体" w:hAnsi="宋体" w:cs="宋体"/>
                <w:kern w:val="0"/>
                <w:sz w:val="15"/>
                <w:szCs w:val="15"/>
                <w:highlight w:val="none"/>
              </w:rPr>
              <w:t>2、如果未三证合一，则填写税务登记证号）带*为必填项</w:t>
            </w:r>
          </w:p>
        </w:tc>
        <w:tc>
          <w:tcPr>
            <w:tcW w:w="78" w:type="pct"/>
            <w:tcBorders>
              <w:top w:val="nil"/>
              <w:left w:val="nil"/>
              <w:bottom w:val="nil"/>
              <w:right w:val="nil"/>
            </w:tcBorders>
            <w:shd w:val="clear" w:color="auto" w:fill="auto"/>
            <w:noWrap/>
            <w:vAlign w:val="center"/>
          </w:tcPr>
          <w:p>
            <w:pPr>
              <w:spacing w:line="500" w:lineRule="exact"/>
              <w:rPr>
                <w:rFonts w:ascii="宋体" w:hAnsi="宋体" w:cs="宋体"/>
                <w:sz w:val="24"/>
                <w:szCs w:val="24"/>
                <w:highlight w:val="none"/>
              </w:rPr>
            </w:pPr>
          </w:p>
        </w:tc>
      </w:tr>
      <w:tr>
        <w:tblPrEx>
          <w:tblCellMar>
            <w:top w:w="0" w:type="dxa"/>
            <w:left w:w="108" w:type="dxa"/>
            <w:bottom w:w="0" w:type="dxa"/>
            <w:right w:w="108" w:type="dxa"/>
          </w:tblCellMar>
        </w:tblPrEx>
        <w:trPr>
          <w:trHeight w:val="1140" w:hRule="atLeast"/>
        </w:trPr>
        <w:tc>
          <w:tcPr>
            <w:tcW w:w="4921" w:type="pct"/>
            <w:gridSpan w:val="1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500" w:lineRule="exact"/>
              <w:jc w:val="left"/>
              <w:textAlignment w:val="top"/>
              <w:rPr>
                <w:rFonts w:ascii="宋体" w:hAnsi="宋体" w:cs="宋体"/>
                <w:kern w:val="0"/>
                <w:sz w:val="15"/>
                <w:szCs w:val="15"/>
                <w:highlight w:val="none"/>
              </w:rPr>
            </w:pPr>
          </w:p>
        </w:tc>
        <w:tc>
          <w:tcPr>
            <w:tcW w:w="78" w:type="pct"/>
            <w:tcBorders>
              <w:top w:val="nil"/>
              <w:left w:val="nil"/>
              <w:bottom w:val="nil"/>
              <w:right w:val="nil"/>
            </w:tcBorders>
            <w:shd w:val="clear" w:color="auto" w:fill="auto"/>
            <w:noWrap/>
            <w:vAlign w:val="center"/>
          </w:tcPr>
          <w:p>
            <w:pPr>
              <w:spacing w:line="500" w:lineRule="exact"/>
              <w:rPr>
                <w:rFonts w:ascii="宋体" w:hAnsi="宋体" w:cs="宋体"/>
                <w:sz w:val="24"/>
                <w:szCs w:val="24"/>
                <w:highlight w:val="none"/>
              </w:rPr>
            </w:pPr>
          </w:p>
        </w:tc>
      </w:tr>
      <w:tr>
        <w:tblPrEx>
          <w:tblCellMar>
            <w:top w:w="0" w:type="dxa"/>
            <w:left w:w="108" w:type="dxa"/>
            <w:bottom w:w="0" w:type="dxa"/>
            <w:right w:w="108" w:type="dxa"/>
          </w:tblCellMar>
        </w:tblPrEx>
        <w:trPr>
          <w:trHeight w:val="285" w:hRule="atLeast"/>
        </w:trPr>
        <w:tc>
          <w:tcPr>
            <w:tcW w:w="50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r>
              <w:rPr>
                <w:rFonts w:hint="eastAsia" w:ascii="宋体" w:hAnsi="宋体" w:cs="宋体"/>
                <w:kern w:val="0"/>
                <w:sz w:val="15"/>
                <w:szCs w:val="15"/>
                <w:highlight w:val="none"/>
              </w:rPr>
              <w:t>*供应商名称</w:t>
            </w:r>
          </w:p>
        </w:tc>
        <w:tc>
          <w:tcPr>
            <w:tcW w:w="58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r>
              <w:rPr>
                <w:rFonts w:hint="eastAsia" w:ascii="宋体" w:hAnsi="宋体" w:cs="宋体"/>
                <w:kern w:val="0"/>
                <w:sz w:val="15"/>
                <w:szCs w:val="15"/>
                <w:highlight w:val="none"/>
              </w:rPr>
              <w:t>*纳税人登记号</w:t>
            </w:r>
          </w:p>
        </w:tc>
        <w:tc>
          <w:tcPr>
            <w:tcW w:w="42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r>
              <w:rPr>
                <w:rFonts w:hint="eastAsia" w:ascii="宋体" w:hAnsi="宋体" w:cs="宋体"/>
                <w:kern w:val="0"/>
                <w:sz w:val="15"/>
                <w:szCs w:val="15"/>
                <w:highlight w:val="none"/>
              </w:rPr>
              <w:t>*银行账号</w:t>
            </w:r>
          </w:p>
        </w:tc>
        <w:tc>
          <w:tcPr>
            <w:tcW w:w="27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r>
              <w:rPr>
                <w:rFonts w:hint="eastAsia" w:ascii="宋体" w:hAnsi="宋体" w:cs="宋体"/>
                <w:kern w:val="0"/>
                <w:sz w:val="15"/>
                <w:szCs w:val="15"/>
                <w:highlight w:val="none"/>
              </w:rPr>
              <w:t>*户名</w:t>
            </w:r>
          </w:p>
        </w:tc>
        <w:tc>
          <w:tcPr>
            <w:tcW w:w="42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r>
              <w:rPr>
                <w:rFonts w:hint="eastAsia" w:ascii="宋体" w:hAnsi="宋体" w:cs="宋体"/>
                <w:kern w:val="0"/>
                <w:sz w:val="15"/>
                <w:szCs w:val="15"/>
                <w:highlight w:val="none"/>
              </w:rPr>
              <w:t>*开户银行</w:t>
            </w:r>
          </w:p>
        </w:tc>
        <w:tc>
          <w:tcPr>
            <w:tcW w:w="35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r>
              <w:rPr>
                <w:rFonts w:hint="eastAsia" w:ascii="宋体" w:hAnsi="宋体" w:cs="宋体"/>
                <w:kern w:val="0"/>
                <w:sz w:val="15"/>
                <w:szCs w:val="15"/>
                <w:highlight w:val="none"/>
              </w:rPr>
              <w:t>*银行类别</w:t>
            </w:r>
          </w:p>
        </w:tc>
        <w:tc>
          <w:tcPr>
            <w:tcW w:w="22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500" w:lineRule="exact"/>
              <w:jc w:val="left"/>
              <w:textAlignment w:val="top"/>
              <w:rPr>
                <w:rFonts w:ascii="宋体" w:hAnsi="宋体" w:cs="宋体"/>
                <w:kern w:val="0"/>
                <w:sz w:val="15"/>
                <w:szCs w:val="15"/>
                <w:highlight w:val="none"/>
              </w:rPr>
            </w:pPr>
            <w:r>
              <w:rPr>
                <w:rFonts w:hint="eastAsia" w:ascii="宋体" w:hAnsi="宋体" w:cs="宋体"/>
                <w:kern w:val="0"/>
                <w:sz w:val="15"/>
                <w:szCs w:val="15"/>
                <w:highlight w:val="none"/>
              </w:rPr>
              <w:t>*账户性质</w:t>
            </w:r>
          </w:p>
        </w:tc>
        <w:tc>
          <w:tcPr>
            <w:tcW w:w="34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r>
              <w:rPr>
                <w:rFonts w:hint="eastAsia" w:ascii="宋体" w:hAnsi="宋体" w:cs="宋体"/>
                <w:kern w:val="0"/>
                <w:sz w:val="15"/>
                <w:szCs w:val="15"/>
                <w:highlight w:val="none"/>
              </w:rPr>
              <w:t>*所在地</w:t>
            </w:r>
          </w:p>
        </w:tc>
        <w:tc>
          <w:tcPr>
            <w:tcW w:w="31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r>
              <w:rPr>
                <w:rFonts w:hint="eastAsia" w:ascii="宋体" w:hAnsi="宋体" w:cs="宋体"/>
                <w:kern w:val="0"/>
                <w:sz w:val="15"/>
                <w:szCs w:val="15"/>
                <w:highlight w:val="none"/>
              </w:rPr>
              <w:t>*联行号</w:t>
            </w:r>
          </w:p>
        </w:tc>
        <w:tc>
          <w:tcPr>
            <w:tcW w:w="56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r>
              <w:rPr>
                <w:rFonts w:hint="eastAsia" w:ascii="宋体" w:hAnsi="宋体" w:cs="宋体"/>
                <w:kern w:val="0"/>
                <w:sz w:val="15"/>
                <w:szCs w:val="15"/>
                <w:highlight w:val="none"/>
              </w:rPr>
              <w:t>*机构号/分行号</w:t>
            </w:r>
          </w:p>
        </w:tc>
        <w:tc>
          <w:tcPr>
            <w:tcW w:w="24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r>
              <w:rPr>
                <w:rFonts w:hint="eastAsia" w:ascii="宋体" w:hAnsi="宋体" w:cs="宋体"/>
                <w:kern w:val="0"/>
                <w:sz w:val="15"/>
                <w:szCs w:val="15"/>
                <w:highlight w:val="none"/>
              </w:rPr>
              <w:t>*省份</w:t>
            </w:r>
          </w:p>
        </w:tc>
        <w:tc>
          <w:tcPr>
            <w:tcW w:w="24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r>
              <w:rPr>
                <w:rFonts w:hint="eastAsia" w:ascii="宋体" w:hAnsi="宋体" w:cs="宋体"/>
                <w:kern w:val="0"/>
                <w:sz w:val="15"/>
                <w:szCs w:val="15"/>
                <w:highlight w:val="none"/>
              </w:rPr>
              <w:t>*城市</w:t>
            </w:r>
          </w:p>
        </w:tc>
        <w:tc>
          <w:tcPr>
            <w:tcW w:w="39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r>
              <w:rPr>
                <w:rFonts w:hint="eastAsia" w:ascii="宋体" w:hAnsi="宋体" w:cs="宋体"/>
                <w:kern w:val="0"/>
                <w:sz w:val="15"/>
                <w:szCs w:val="15"/>
                <w:highlight w:val="none"/>
              </w:rPr>
              <w:t>*通讯地址</w:t>
            </w:r>
          </w:p>
        </w:tc>
        <w:tc>
          <w:tcPr>
            <w:tcW w:w="78" w:type="pct"/>
            <w:tcBorders>
              <w:top w:val="nil"/>
              <w:left w:val="nil"/>
              <w:bottom w:val="nil"/>
              <w:right w:val="nil"/>
            </w:tcBorders>
            <w:shd w:val="clear" w:color="auto" w:fill="auto"/>
            <w:noWrap/>
            <w:vAlign w:val="center"/>
          </w:tcPr>
          <w:p>
            <w:pPr>
              <w:spacing w:line="500" w:lineRule="exact"/>
              <w:rPr>
                <w:rFonts w:ascii="宋体" w:hAnsi="宋体" w:cs="宋体"/>
                <w:sz w:val="24"/>
                <w:szCs w:val="24"/>
                <w:highlight w:val="none"/>
              </w:rPr>
            </w:pPr>
          </w:p>
        </w:tc>
      </w:tr>
      <w:tr>
        <w:tblPrEx>
          <w:tblCellMar>
            <w:top w:w="0" w:type="dxa"/>
            <w:left w:w="108" w:type="dxa"/>
            <w:bottom w:w="0" w:type="dxa"/>
            <w:right w:w="108" w:type="dxa"/>
          </w:tblCellMar>
        </w:tblPrEx>
        <w:trPr>
          <w:trHeight w:val="300" w:hRule="atLeast"/>
        </w:trPr>
        <w:tc>
          <w:tcPr>
            <w:tcW w:w="50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p>
        </w:tc>
        <w:tc>
          <w:tcPr>
            <w:tcW w:w="5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p>
        </w:tc>
        <w:tc>
          <w:tcPr>
            <w:tcW w:w="42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p>
        </w:tc>
        <w:tc>
          <w:tcPr>
            <w:tcW w:w="2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p>
        </w:tc>
        <w:tc>
          <w:tcPr>
            <w:tcW w:w="42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p>
        </w:tc>
        <w:tc>
          <w:tcPr>
            <w:tcW w:w="35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p>
        </w:tc>
        <w:tc>
          <w:tcPr>
            <w:tcW w:w="2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500" w:lineRule="exact"/>
              <w:jc w:val="left"/>
              <w:textAlignment w:val="top"/>
              <w:rPr>
                <w:rFonts w:ascii="宋体" w:hAnsi="宋体" w:cs="宋体"/>
                <w:kern w:val="0"/>
                <w:sz w:val="15"/>
                <w:szCs w:val="15"/>
                <w:highlight w:val="none"/>
              </w:rPr>
            </w:pPr>
          </w:p>
        </w:tc>
        <w:tc>
          <w:tcPr>
            <w:tcW w:w="3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p>
        </w:tc>
        <w:tc>
          <w:tcPr>
            <w:tcW w:w="31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p>
        </w:tc>
        <w:tc>
          <w:tcPr>
            <w:tcW w:w="56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p>
        </w:tc>
        <w:tc>
          <w:tcPr>
            <w:tcW w:w="2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p>
        </w:tc>
        <w:tc>
          <w:tcPr>
            <w:tcW w:w="24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p>
        </w:tc>
        <w:tc>
          <w:tcPr>
            <w:tcW w:w="39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p>
        </w:tc>
        <w:tc>
          <w:tcPr>
            <w:tcW w:w="78" w:type="pct"/>
            <w:tcBorders>
              <w:top w:val="nil"/>
              <w:left w:val="nil"/>
              <w:bottom w:val="nil"/>
              <w:right w:val="nil"/>
            </w:tcBorders>
            <w:shd w:val="clear" w:color="auto" w:fill="auto"/>
            <w:noWrap/>
            <w:vAlign w:val="center"/>
          </w:tcPr>
          <w:p>
            <w:pPr>
              <w:spacing w:line="500" w:lineRule="exact"/>
              <w:rPr>
                <w:rFonts w:ascii="等线" w:hAnsi="等线" w:eastAsia="等线" w:cs="等线"/>
                <w:sz w:val="22"/>
                <w:szCs w:val="22"/>
                <w:highlight w:val="none"/>
              </w:rPr>
            </w:pPr>
          </w:p>
        </w:tc>
      </w:tr>
      <w:tr>
        <w:tblPrEx>
          <w:tblCellMar>
            <w:top w:w="0" w:type="dxa"/>
            <w:left w:w="108" w:type="dxa"/>
            <w:bottom w:w="0" w:type="dxa"/>
            <w:right w:w="108" w:type="dxa"/>
          </w:tblCellMar>
        </w:tblPrEx>
        <w:trPr>
          <w:trHeight w:val="1590" w:hRule="atLeast"/>
        </w:trPr>
        <w:tc>
          <w:tcPr>
            <w:tcW w:w="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p>
        </w:tc>
        <w:tc>
          <w:tcPr>
            <w:tcW w:w="58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500" w:lineRule="exact"/>
              <w:jc w:val="left"/>
              <w:textAlignment w:val="top"/>
              <w:rPr>
                <w:rFonts w:ascii="宋体" w:hAnsi="宋体" w:cs="宋体"/>
                <w:kern w:val="0"/>
                <w:sz w:val="15"/>
                <w:szCs w:val="15"/>
                <w:highlight w:val="none"/>
              </w:rPr>
            </w:pP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500" w:lineRule="exact"/>
              <w:jc w:val="left"/>
              <w:textAlignment w:val="top"/>
              <w:rPr>
                <w:rFonts w:ascii="宋体" w:hAnsi="宋体" w:cs="宋体"/>
                <w:kern w:val="0"/>
                <w:sz w:val="15"/>
                <w:szCs w:val="15"/>
                <w:highlight w:val="none"/>
              </w:rPr>
            </w:pP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500" w:lineRule="exact"/>
              <w:jc w:val="left"/>
              <w:textAlignment w:val="top"/>
              <w:rPr>
                <w:rFonts w:ascii="宋体" w:hAnsi="宋体" w:cs="宋体"/>
                <w:kern w:val="0"/>
                <w:sz w:val="15"/>
                <w:szCs w:val="15"/>
                <w:highlight w:val="none"/>
              </w:rPr>
            </w:pP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500" w:lineRule="exact"/>
              <w:jc w:val="left"/>
              <w:textAlignment w:val="top"/>
              <w:rPr>
                <w:rFonts w:ascii="宋体" w:hAnsi="宋体" w:cs="宋体"/>
                <w:kern w:val="0"/>
                <w:sz w:val="15"/>
                <w:szCs w:val="15"/>
                <w:highlight w:val="none"/>
              </w:rPr>
            </w:pPr>
          </w:p>
        </w:tc>
        <w:tc>
          <w:tcPr>
            <w:tcW w:w="3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p>
        </w:tc>
        <w:tc>
          <w:tcPr>
            <w:tcW w:w="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p>
        </w:tc>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p>
        </w:tc>
        <w:tc>
          <w:tcPr>
            <w:tcW w:w="3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500" w:lineRule="exact"/>
              <w:jc w:val="left"/>
              <w:textAlignment w:val="top"/>
              <w:rPr>
                <w:rFonts w:ascii="宋体" w:hAnsi="宋体" w:cs="宋体"/>
                <w:kern w:val="0"/>
                <w:sz w:val="15"/>
                <w:szCs w:val="15"/>
                <w:highlight w:val="none"/>
              </w:rPr>
            </w:pPr>
          </w:p>
        </w:tc>
        <w:tc>
          <w:tcPr>
            <w:tcW w:w="2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p>
        </w:tc>
        <w:tc>
          <w:tcPr>
            <w:tcW w:w="2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500" w:lineRule="exact"/>
              <w:jc w:val="left"/>
              <w:textAlignment w:val="top"/>
              <w:rPr>
                <w:rFonts w:ascii="宋体" w:hAnsi="宋体" w:cs="宋体"/>
                <w:kern w:val="0"/>
                <w:sz w:val="15"/>
                <w:szCs w:val="15"/>
                <w:highlight w:val="none"/>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500" w:lineRule="exact"/>
              <w:jc w:val="left"/>
              <w:textAlignment w:val="top"/>
              <w:rPr>
                <w:rFonts w:ascii="宋体" w:hAnsi="宋体" w:cs="宋体"/>
                <w:kern w:val="0"/>
                <w:sz w:val="15"/>
                <w:szCs w:val="15"/>
                <w:highlight w:val="none"/>
              </w:rPr>
            </w:pPr>
          </w:p>
        </w:tc>
        <w:tc>
          <w:tcPr>
            <w:tcW w:w="78" w:type="pct"/>
            <w:tcBorders>
              <w:top w:val="nil"/>
              <w:left w:val="nil"/>
              <w:bottom w:val="nil"/>
              <w:right w:val="nil"/>
            </w:tcBorders>
            <w:shd w:val="clear" w:color="auto" w:fill="auto"/>
            <w:noWrap/>
            <w:vAlign w:val="center"/>
          </w:tcPr>
          <w:p>
            <w:pPr>
              <w:spacing w:line="500" w:lineRule="exact"/>
              <w:rPr>
                <w:rFonts w:ascii="等线" w:hAnsi="等线" w:eastAsia="等线" w:cs="等线"/>
                <w:sz w:val="22"/>
                <w:szCs w:val="22"/>
                <w:highlight w:val="none"/>
              </w:rPr>
            </w:pPr>
          </w:p>
        </w:tc>
      </w:tr>
    </w:tbl>
    <w:p>
      <w:pPr>
        <w:pStyle w:val="2"/>
        <w:rPr>
          <w:rFonts w:ascii="宋体" w:hAnsi="宋体" w:cs="宋体"/>
          <w:sz w:val="21"/>
          <w:szCs w:val="21"/>
          <w:highlight w:val="none"/>
        </w:rPr>
      </w:pPr>
    </w:p>
    <w:p>
      <w:pPr>
        <w:pStyle w:val="2"/>
        <w:rPr>
          <w:highlight w:val="none"/>
        </w:rPr>
      </w:pPr>
    </w:p>
    <w:bookmarkEnd w:id="1"/>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5166BDB"/>
    <w:multiLevelType w:val="multilevel"/>
    <w:tmpl w:val="25166BDB"/>
    <w:lvl w:ilvl="0" w:tentative="0">
      <w:start w:val="1"/>
      <w:numFmt w:val="decimal"/>
      <w:lvlText w:val="（%1）"/>
      <w:lvlJc w:val="left"/>
      <w:pPr>
        <w:ind w:left="1190" w:hanging="720"/>
      </w:pPr>
      <w:rPr>
        <w:rFonts w:hint="default"/>
      </w:rPr>
    </w:lvl>
    <w:lvl w:ilvl="1" w:tentative="0">
      <w:start w:val="1"/>
      <w:numFmt w:val="lowerLetter"/>
      <w:lvlText w:val="%2)"/>
      <w:lvlJc w:val="left"/>
      <w:pPr>
        <w:ind w:left="1310" w:hanging="420"/>
      </w:pPr>
    </w:lvl>
    <w:lvl w:ilvl="2" w:tentative="0">
      <w:start w:val="1"/>
      <w:numFmt w:val="lowerRoman"/>
      <w:lvlText w:val="%3."/>
      <w:lvlJc w:val="right"/>
      <w:pPr>
        <w:ind w:left="1730" w:hanging="420"/>
      </w:pPr>
    </w:lvl>
    <w:lvl w:ilvl="3" w:tentative="0">
      <w:start w:val="1"/>
      <w:numFmt w:val="decimal"/>
      <w:lvlText w:val="%4."/>
      <w:lvlJc w:val="left"/>
      <w:pPr>
        <w:ind w:left="2150" w:hanging="420"/>
      </w:pPr>
    </w:lvl>
    <w:lvl w:ilvl="4" w:tentative="0">
      <w:start w:val="1"/>
      <w:numFmt w:val="lowerLetter"/>
      <w:lvlText w:val="%5)"/>
      <w:lvlJc w:val="left"/>
      <w:pPr>
        <w:ind w:left="2570" w:hanging="420"/>
      </w:pPr>
    </w:lvl>
    <w:lvl w:ilvl="5" w:tentative="0">
      <w:start w:val="1"/>
      <w:numFmt w:val="lowerRoman"/>
      <w:lvlText w:val="%6."/>
      <w:lvlJc w:val="right"/>
      <w:pPr>
        <w:ind w:left="2990" w:hanging="420"/>
      </w:pPr>
    </w:lvl>
    <w:lvl w:ilvl="6" w:tentative="0">
      <w:start w:val="1"/>
      <w:numFmt w:val="decimal"/>
      <w:lvlText w:val="%7."/>
      <w:lvlJc w:val="left"/>
      <w:pPr>
        <w:ind w:left="3410" w:hanging="420"/>
      </w:pPr>
    </w:lvl>
    <w:lvl w:ilvl="7" w:tentative="0">
      <w:start w:val="1"/>
      <w:numFmt w:val="lowerLetter"/>
      <w:lvlText w:val="%8)"/>
      <w:lvlJc w:val="left"/>
      <w:pPr>
        <w:ind w:left="3830" w:hanging="420"/>
      </w:pPr>
    </w:lvl>
    <w:lvl w:ilvl="8" w:tentative="0">
      <w:start w:val="1"/>
      <w:numFmt w:val="lowerRoman"/>
      <w:lvlText w:val="%9."/>
      <w:lvlJc w:val="right"/>
      <w:pPr>
        <w:ind w:left="4250" w:hanging="420"/>
      </w:pPr>
    </w:lvl>
  </w:abstractNum>
  <w:abstractNum w:abstractNumId="1">
    <w:nsid w:val="754518CE"/>
    <w:multiLevelType w:val="multilevel"/>
    <w:tmpl w:val="754518CE"/>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115"/>
    <w:rsid w:val="0001449B"/>
    <w:rsid w:val="00020786"/>
    <w:rsid w:val="00032969"/>
    <w:rsid w:val="00080E3F"/>
    <w:rsid w:val="00086A01"/>
    <w:rsid w:val="000C14FB"/>
    <w:rsid w:val="001504C2"/>
    <w:rsid w:val="001A7DE9"/>
    <w:rsid w:val="001C2E6C"/>
    <w:rsid w:val="001E23BA"/>
    <w:rsid w:val="002375C7"/>
    <w:rsid w:val="00257ED3"/>
    <w:rsid w:val="00291B62"/>
    <w:rsid w:val="002B314D"/>
    <w:rsid w:val="002B44FD"/>
    <w:rsid w:val="00350C98"/>
    <w:rsid w:val="003575CA"/>
    <w:rsid w:val="00361582"/>
    <w:rsid w:val="003A4FF8"/>
    <w:rsid w:val="004028E5"/>
    <w:rsid w:val="00403CFC"/>
    <w:rsid w:val="00423F5E"/>
    <w:rsid w:val="00432418"/>
    <w:rsid w:val="00442D3C"/>
    <w:rsid w:val="00444C24"/>
    <w:rsid w:val="00445AE9"/>
    <w:rsid w:val="00452E6E"/>
    <w:rsid w:val="004E5115"/>
    <w:rsid w:val="0051306A"/>
    <w:rsid w:val="00523EB3"/>
    <w:rsid w:val="005441BE"/>
    <w:rsid w:val="00547A6B"/>
    <w:rsid w:val="005615BD"/>
    <w:rsid w:val="00576D01"/>
    <w:rsid w:val="00580FE8"/>
    <w:rsid w:val="00582D15"/>
    <w:rsid w:val="00597B5E"/>
    <w:rsid w:val="005A0D12"/>
    <w:rsid w:val="006049EB"/>
    <w:rsid w:val="00605512"/>
    <w:rsid w:val="006149EE"/>
    <w:rsid w:val="006407C1"/>
    <w:rsid w:val="00691DC9"/>
    <w:rsid w:val="006A780F"/>
    <w:rsid w:val="006B0E0C"/>
    <w:rsid w:val="00717BF7"/>
    <w:rsid w:val="00735FBB"/>
    <w:rsid w:val="0073602E"/>
    <w:rsid w:val="00795D4F"/>
    <w:rsid w:val="007E65E4"/>
    <w:rsid w:val="00820021"/>
    <w:rsid w:val="008335E5"/>
    <w:rsid w:val="008D2961"/>
    <w:rsid w:val="008D3008"/>
    <w:rsid w:val="008D56A5"/>
    <w:rsid w:val="00903CD1"/>
    <w:rsid w:val="00930AF7"/>
    <w:rsid w:val="009617C8"/>
    <w:rsid w:val="009A74C3"/>
    <w:rsid w:val="009B05F8"/>
    <w:rsid w:val="009D4990"/>
    <w:rsid w:val="00A013BE"/>
    <w:rsid w:val="00A04853"/>
    <w:rsid w:val="00A31B00"/>
    <w:rsid w:val="00A34CFB"/>
    <w:rsid w:val="00A433C0"/>
    <w:rsid w:val="00A97899"/>
    <w:rsid w:val="00AB3320"/>
    <w:rsid w:val="00B454F4"/>
    <w:rsid w:val="00B72620"/>
    <w:rsid w:val="00BA23AA"/>
    <w:rsid w:val="00BB39D6"/>
    <w:rsid w:val="00BC4176"/>
    <w:rsid w:val="00C043D3"/>
    <w:rsid w:val="00C06A3F"/>
    <w:rsid w:val="00C36E3A"/>
    <w:rsid w:val="00C40354"/>
    <w:rsid w:val="00C47B06"/>
    <w:rsid w:val="00CB6BD1"/>
    <w:rsid w:val="00D1611A"/>
    <w:rsid w:val="00D20704"/>
    <w:rsid w:val="00D224D8"/>
    <w:rsid w:val="00D32604"/>
    <w:rsid w:val="00D95468"/>
    <w:rsid w:val="00D97EDF"/>
    <w:rsid w:val="00DA1B1E"/>
    <w:rsid w:val="00DC116C"/>
    <w:rsid w:val="00DE604B"/>
    <w:rsid w:val="00E30A5C"/>
    <w:rsid w:val="00E342D3"/>
    <w:rsid w:val="00EB6A17"/>
    <w:rsid w:val="00F239DB"/>
    <w:rsid w:val="00F377A2"/>
    <w:rsid w:val="00F37F34"/>
    <w:rsid w:val="00FA50BD"/>
    <w:rsid w:val="00FC72B3"/>
    <w:rsid w:val="10D31935"/>
    <w:rsid w:val="193F417F"/>
    <w:rsid w:val="29AC3109"/>
    <w:rsid w:val="29AE625D"/>
    <w:rsid w:val="2A317F31"/>
    <w:rsid w:val="387829B8"/>
    <w:rsid w:val="40BA48A6"/>
    <w:rsid w:val="41C2222B"/>
    <w:rsid w:val="453E0FA0"/>
    <w:rsid w:val="4CF919E9"/>
    <w:rsid w:val="4E94212A"/>
    <w:rsid w:val="54872C02"/>
    <w:rsid w:val="57EA4B48"/>
    <w:rsid w:val="5AF07D84"/>
    <w:rsid w:val="6CB54A5D"/>
    <w:rsid w:val="6D877EFA"/>
    <w:rsid w:val="6E516C3B"/>
    <w:rsid w:val="71E54721"/>
    <w:rsid w:val="7315255B"/>
    <w:rsid w:val="73DB7F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20"/>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spacing w:line="500" w:lineRule="exact"/>
      <w:ind w:firstLine="420"/>
    </w:pPr>
    <w:rPr>
      <w:sz w:val="28"/>
      <w:szCs w:val="28"/>
    </w:rPr>
  </w:style>
  <w:style w:type="paragraph" w:styleId="5">
    <w:name w:val="Document Map"/>
    <w:basedOn w:val="1"/>
    <w:link w:val="23"/>
    <w:qFormat/>
    <w:uiPriority w:val="0"/>
    <w:rPr>
      <w:rFonts w:ascii="Tahoma" w:hAnsi="Tahoma"/>
      <w:sz w:val="16"/>
      <w:szCs w:val="16"/>
    </w:rPr>
  </w:style>
  <w:style w:type="paragraph" w:styleId="6">
    <w:name w:val="Date"/>
    <w:basedOn w:val="1"/>
    <w:next w:val="1"/>
    <w:link w:val="17"/>
    <w:semiHidden/>
    <w:unhideWhenUsed/>
    <w:qFormat/>
    <w:uiPriority w:val="99"/>
    <w:pPr>
      <w:ind w:left="100" w:leftChars="2500"/>
    </w:pPr>
  </w:style>
  <w:style w:type="paragraph" w:styleId="7">
    <w:name w:val="footer"/>
    <w:basedOn w:val="1"/>
    <w:link w:val="19"/>
    <w:unhideWhenUsed/>
    <w:qFormat/>
    <w:uiPriority w:val="99"/>
    <w:pPr>
      <w:tabs>
        <w:tab w:val="center" w:pos="4153"/>
        <w:tab w:val="right" w:pos="8306"/>
      </w:tabs>
      <w:snapToGrid w:val="0"/>
      <w:jc w:val="left"/>
    </w:pPr>
    <w:rPr>
      <w:sz w:val="18"/>
      <w:szCs w:val="18"/>
    </w:rPr>
  </w:style>
  <w:style w:type="paragraph" w:styleId="8">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Body Text 2"/>
    <w:basedOn w:val="1"/>
    <w:link w:val="14"/>
    <w:qFormat/>
    <w:uiPriority w:val="0"/>
    <w:pPr>
      <w:spacing w:line="460" w:lineRule="exact"/>
    </w:pPr>
    <w:rPr>
      <w:rFonts w:ascii="宋体"/>
      <w:sz w:val="24"/>
    </w:r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000FF" w:themeColor="hyperlink"/>
      <w:u w:val="single"/>
      <w14:textFill>
        <w14:solidFill>
          <w14:schemeClr w14:val="hlink"/>
        </w14:solidFill>
      </w14:textFill>
    </w:rPr>
  </w:style>
  <w:style w:type="character" w:customStyle="1" w:styleId="14">
    <w:name w:val="正文文本 2 字符"/>
    <w:basedOn w:val="12"/>
    <w:link w:val="9"/>
    <w:qFormat/>
    <w:uiPriority w:val="0"/>
    <w:rPr>
      <w:rFonts w:ascii="宋体" w:hAnsi="Times New Roman" w:eastAsia="宋体" w:cs="Times New Roman"/>
      <w:sz w:val="24"/>
      <w:szCs w:val="20"/>
    </w:rPr>
  </w:style>
  <w:style w:type="paragraph" w:customStyle="1" w:styleId="15">
    <w:name w:val="列出段落1"/>
    <w:basedOn w:val="1"/>
    <w:qFormat/>
    <w:uiPriority w:val="0"/>
    <w:pPr>
      <w:ind w:firstLine="420" w:firstLineChars="200"/>
    </w:pPr>
  </w:style>
  <w:style w:type="paragraph" w:customStyle="1" w:styleId="16">
    <w:name w:val="普通正文"/>
    <w:basedOn w:val="1"/>
    <w:qFormat/>
    <w:uiPriority w:val="0"/>
    <w:pPr>
      <w:adjustRightInd w:val="0"/>
      <w:spacing w:before="120" w:after="120" w:line="360" w:lineRule="auto"/>
      <w:ind w:firstLine="482"/>
      <w:jc w:val="left"/>
      <w:textAlignment w:val="baseline"/>
    </w:pPr>
    <w:rPr>
      <w:rFonts w:ascii="Arial" w:hAnsi="Arial"/>
      <w:kern w:val="0"/>
      <w:szCs w:val="24"/>
    </w:rPr>
  </w:style>
  <w:style w:type="character" w:customStyle="1" w:styleId="17">
    <w:name w:val="日期 字符"/>
    <w:basedOn w:val="12"/>
    <w:link w:val="6"/>
    <w:semiHidden/>
    <w:qFormat/>
    <w:uiPriority w:val="99"/>
    <w:rPr>
      <w:rFonts w:ascii="Times New Roman" w:hAnsi="Times New Roman" w:eastAsia="宋体" w:cs="Times New Roman"/>
      <w:szCs w:val="20"/>
    </w:rPr>
  </w:style>
  <w:style w:type="character" w:customStyle="1" w:styleId="18">
    <w:name w:val="页眉 字符"/>
    <w:basedOn w:val="12"/>
    <w:link w:val="8"/>
    <w:qFormat/>
    <w:uiPriority w:val="99"/>
    <w:rPr>
      <w:rFonts w:ascii="Times New Roman" w:hAnsi="Times New Roman" w:eastAsia="宋体" w:cs="Times New Roman"/>
      <w:sz w:val="18"/>
      <w:szCs w:val="18"/>
    </w:rPr>
  </w:style>
  <w:style w:type="character" w:customStyle="1" w:styleId="19">
    <w:name w:val="页脚 字符"/>
    <w:basedOn w:val="12"/>
    <w:link w:val="7"/>
    <w:qFormat/>
    <w:uiPriority w:val="99"/>
    <w:rPr>
      <w:rFonts w:ascii="Times New Roman" w:hAnsi="Times New Roman" w:eastAsia="宋体" w:cs="Times New Roman"/>
      <w:sz w:val="18"/>
      <w:szCs w:val="18"/>
    </w:rPr>
  </w:style>
  <w:style w:type="character" w:customStyle="1" w:styleId="20">
    <w:name w:val="标题 1 字符"/>
    <w:basedOn w:val="12"/>
    <w:link w:val="3"/>
    <w:qFormat/>
    <w:uiPriority w:val="9"/>
    <w:rPr>
      <w:rFonts w:ascii="Times New Roman" w:hAnsi="Times New Roman" w:eastAsia="宋体" w:cs="Times New Roman"/>
      <w:b/>
      <w:bCs/>
      <w:kern w:val="44"/>
      <w:sz w:val="44"/>
      <w:szCs w:val="44"/>
    </w:rPr>
  </w:style>
  <w:style w:type="character" w:customStyle="1" w:styleId="21">
    <w:name w:val="标题 2 字符"/>
    <w:basedOn w:val="12"/>
    <w:link w:val="4"/>
    <w:qFormat/>
    <w:uiPriority w:val="9"/>
    <w:rPr>
      <w:rFonts w:asciiTheme="majorHAnsi" w:hAnsiTheme="majorHAnsi" w:eastAsiaTheme="majorEastAsia" w:cstheme="majorBidi"/>
      <w:b/>
      <w:bCs/>
      <w:sz w:val="32"/>
      <w:szCs w:val="32"/>
    </w:rPr>
  </w:style>
  <w:style w:type="paragraph" w:styleId="22">
    <w:name w:val="List Paragraph"/>
    <w:basedOn w:val="1"/>
    <w:qFormat/>
    <w:uiPriority w:val="0"/>
    <w:pPr>
      <w:ind w:firstLine="420" w:firstLineChars="200"/>
    </w:pPr>
  </w:style>
  <w:style w:type="character" w:customStyle="1" w:styleId="23">
    <w:name w:val="文档结构图 字符"/>
    <w:basedOn w:val="12"/>
    <w:link w:val="5"/>
    <w:qFormat/>
    <w:uiPriority w:val="0"/>
    <w:rPr>
      <w:rFonts w:ascii="Tahoma" w:hAnsi="Tahoma" w:eastAsia="宋体" w:cs="Times New Roman"/>
      <w:kern w:val="2"/>
      <w:sz w:val="16"/>
      <w:szCs w:val="1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10</Pages>
  <Words>1118</Words>
  <Characters>6379</Characters>
  <Lines>53</Lines>
  <Paragraphs>14</Paragraphs>
  <TotalTime>18</TotalTime>
  <ScaleCrop>false</ScaleCrop>
  <LinksUpToDate>false</LinksUpToDate>
  <CharactersWithSpaces>7483</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2021-08-03T04:19:00Z</dcterms:created>
  <dc:creator>dreamsummit</dc:creator>
  <cp:lastModifiedBy>本超人不会飞O_o</cp:lastModifiedBy>
  <dcterms:modified xsi:type="dcterms:W3CDTF">2022-03-16T08:27:48Z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1E657EF8BAA44E44897EB237D73E1E09</vt:lpwstr>
  </property>
</Properties>
</file>