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ind w:firstLine="960"/>
        <w:rPr>
          <w:sz w:val="48"/>
          <w:szCs w:val="48"/>
        </w:rPr>
      </w:pPr>
    </w:p>
    <w:p>
      <w:pPr>
        <w:pStyle w:val="44"/>
        <w:ind w:firstLine="960"/>
        <w:rPr>
          <w:sz w:val="48"/>
          <w:szCs w:val="48"/>
        </w:rPr>
      </w:pPr>
    </w:p>
    <w:p>
      <w:pPr>
        <w:pStyle w:val="44"/>
        <w:ind w:firstLine="0" w:firstLineChars="0"/>
        <w:jc w:val="center"/>
        <w:rPr>
          <w:sz w:val="48"/>
          <w:szCs w:val="48"/>
        </w:rPr>
      </w:pPr>
      <w:r>
        <w:rPr>
          <w:rFonts w:hint="eastAsia"/>
          <w:sz w:val="52"/>
          <w:szCs w:val="52"/>
        </w:rPr>
        <w:t>菏泽鲁西新区2023年幼儿园厨房设备及空调采购项目</w:t>
      </w:r>
    </w:p>
    <w:p>
      <w:pPr>
        <w:pStyle w:val="44"/>
        <w:ind w:firstLine="960"/>
        <w:rPr>
          <w:sz w:val="48"/>
          <w:szCs w:val="48"/>
        </w:rPr>
      </w:pPr>
    </w:p>
    <w:p>
      <w:pPr>
        <w:jc w:val="center"/>
        <w:rPr>
          <w:rFonts w:ascii="宋体" w:cs="宋体"/>
          <w:kern w:val="0"/>
          <w:sz w:val="52"/>
          <w:szCs w:val="52"/>
        </w:rPr>
      </w:pPr>
    </w:p>
    <w:p>
      <w:pPr>
        <w:jc w:val="center"/>
        <w:rPr>
          <w:rFonts w:ascii="宋体" w:cs="宋体"/>
          <w:kern w:val="0"/>
          <w:sz w:val="52"/>
          <w:szCs w:val="52"/>
          <w:highlight w:val="none"/>
        </w:rPr>
      </w:pPr>
    </w:p>
    <w:p>
      <w:pPr>
        <w:jc w:val="center"/>
        <w:rPr>
          <w:rFonts w:ascii="宋体" w:cs="宋体"/>
          <w:kern w:val="0"/>
          <w:sz w:val="52"/>
          <w:szCs w:val="52"/>
          <w:highlight w:val="none"/>
        </w:rPr>
      </w:pPr>
      <w:r>
        <w:rPr>
          <w:rFonts w:hint="eastAsia" w:ascii="宋体" w:hAnsi="宋体" w:cs="宋体"/>
          <w:kern w:val="0"/>
          <w:sz w:val="52"/>
          <w:szCs w:val="52"/>
          <w:highlight w:val="none"/>
        </w:rPr>
        <w:t xml:space="preserve">竞争性磋商文件 </w:t>
      </w:r>
    </w:p>
    <w:p>
      <w:pPr>
        <w:rPr>
          <w:rFonts w:ascii="宋体" w:cs="宋体"/>
          <w:sz w:val="32"/>
          <w:szCs w:val="32"/>
          <w:highlight w:val="none"/>
        </w:rPr>
      </w:pPr>
      <w:r>
        <w:rPr>
          <w:rFonts w:hint="eastAsia" w:ascii="宋体" w:cs="宋体"/>
          <w:sz w:val="32"/>
          <w:szCs w:val="32"/>
          <w:highlight w:val="none"/>
        </w:rPr>
        <w:t xml:space="preserve">                       </w:t>
      </w:r>
    </w:p>
    <w:p>
      <w:pPr>
        <w:jc w:val="center"/>
        <w:rPr>
          <w:rFonts w:ascii="宋体" w:cs="宋体"/>
          <w:sz w:val="32"/>
          <w:szCs w:val="32"/>
          <w:highlight w:val="none"/>
        </w:rPr>
      </w:pPr>
      <w:r>
        <w:rPr>
          <w:rFonts w:hint="eastAsia" w:ascii="宋体" w:hAnsi="宋体" w:cs="宋体"/>
          <w:sz w:val="32"/>
          <w:szCs w:val="32"/>
          <w:highlight w:val="none"/>
        </w:rPr>
        <w:t>项目编号：</w:t>
      </w:r>
      <w:r>
        <w:rPr>
          <w:rFonts w:hint="eastAsia" w:ascii="宋体" w:hAnsi="宋体" w:cs="宋体"/>
          <w:sz w:val="32"/>
          <w:szCs w:val="32"/>
          <w:highlight w:val="none"/>
          <w:lang w:eastAsia="zh-CN"/>
        </w:rPr>
        <w:t>SDGP371791000202302000127</w:t>
      </w:r>
      <w:r>
        <w:rPr>
          <w:rFonts w:hint="eastAsia" w:ascii="宋体" w:hAnsi="宋体" w:cs="宋体"/>
          <w:sz w:val="32"/>
          <w:szCs w:val="32"/>
          <w:highlight w:val="none"/>
        </w:rPr>
        <w:t xml:space="preserve"> </w:t>
      </w:r>
    </w:p>
    <w:p>
      <w:pPr>
        <w:tabs>
          <w:tab w:val="left" w:pos="1425"/>
        </w:tabs>
        <w:rPr>
          <w:rFonts w:ascii="宋体" w:cs="宋体"/>
          <w:kern w:val="0"/>
          <w:sz w:val="40"/>
          <w:szCs w:val="32"/>
        </w:rPr>
      </w:pPr>
    </w:p>
    <w:p>
      <w:pPr>
        <w:rPr>
          <w:rFonts w:ascii="宋体" w:cs="宋体"/>
          <w:b/>
          <w:bCs/>
          <w:spacing w:val="-20"/>
          <w:sz w:val="40"/>
          <w:szCs w:val="40"/>
        </w:rPr>
      </w:pPr>
    </w:p>
    <w:p>
      <w:pPr>
        <w:rPr>
          <w:rFonts w:ascii="宋体" w:cs="宋体"/>
          <w:b/>
          <w:bCs/>
          <w:spacing w:val="-20"/>
          <w:sz w:val="40"/>
          <w:szCs w:val="40"/>
        </w:rPr>
      </w:pPr>
    </w:p>
    <w:p>
      <w:pPr>
        <w:rPr>
          <w:rFonts w:ascii="宋体" w:cs="宋体"/>
          <w:b/>
          <w:bCs/>
          <w:spacing w:val="-20"/>
          <w:sz w:val="40"/>
          <w:szCs w:val="40"/>
        </w:rPr>
      </w:pPr>
    </w:p>
    <w:p>
      <w:pPr>
        <w:ind w:firstLine="912" w:firstLineChars="300"/>
        <w:rPr>
          <w:rFonts w:ascii="宋体" w:cs="宋体"/>
          <w:bCs/>
          <w:sz w:val="32"/>
          <w:szCs w:val="32"/>
        </w:rPr>
      </w:pPr>
      <w:r>
        <w:rPr>
          <w:rFonts w:hint="eastAsia" w:ascii="宋体" w:hAnsi="宋体" w:cs="宋体"/>
          <w:bCs/>
          <w:spacing w:val="-8"/>
          <w:sz w:val="32"/>
          <w:szCs w:val="32"/>
        </w:rPr>
        <w:t>采    购</w:t>
      </w:r>
      <w:r>
        <w:rPr>
          <w:rFonts w:ascii="宋体" w:hAnsi="宋体" w:cs="宋体"/>
          <w:bCs/>
          <w:spacing w:val="-8"/>
          <w:sz w:val="32"/>
          <w:szCs w:val="32"/>
        </w:rPr>
        <w:t xml:space="preserve">   </w:t>
      </w:r>
      <w:r>
        <w:rPr>
          <w:rFonts w:hint="eastAsia" w:ascii="宋体" w:hAnsi="宋体" w:cs="宋体"/>
          <w:bCs/>
          <w:spacing w:val="-8"/>
          <w:sz w:val="32"/>
          <w:szCs w:val="32"/>
        </w:rPr>
        <w:t>人：</w:t>
      </w:r>
      <w:r>
        <w:rPr>
          <w:rFonts w:hint="eastAsia" w:ascii="宋体" w:hAnsi="宋体" w:cs="宋体"/>
          <w:bCs/>
          <w:spacing w:val="-8"/>
          <w:sz w:val="32"/>
          <w:szCs w:val="32"/>
          <w:highlight w:val="none"/>
          <w:lang w:eastAsia="zh-CN"/>
        </w:rPr>
        <w:t>菏泽</w:t>
      </w:r>
      <w:r>
        <w:rPr>
          <w:rFonts w:hint="eastAsia" w:ascii="宋体" w:hAnsi="宋体" w:cs="宋体"/>
          <w:bCs/>
          <w:spacing w:val="-8"/>
          <w:sz w:val="32"/>
          <w:szCs w:val="32"/>
          <w:highlight w:val="none"/>
        </w:rPr>
        <w:t>鲁西新区教育体育服务中心</w:t>
      </w:r>
      <w:r>
        <w:rPr>
          <w:rFonts w:hint="eastAsia" w:ascii="宋体" w:hAnsi="宋体" w:cs="宋体"/>
          <w:bCs/>
          <w:sz w:val="32"/>
          <w:szCs w:val="32"/>
          <w:highlight w:val="none"/>
        </w:rPr>
        <w:t xml:space="preserve"> </w:t>
      </w:r>
    </w:p>
    <w:p>
      <w:pPr>
        <w:ind w:firstLine="960" w:firstLineChars="300"/>
        <w:rPr>
          <w:rFonts w:ascii="宋体" w:cs="宋体"/>
          <w:bCs/>
          <w:sz w:val="32"/>
          <w:szCs w:val="32"/>
        </w:rPr>
      </w:pPr>
      <w:r>
        <w:rPr>
          <w:rFonts w:hint="eastAsia" w:ascii="宋体" w:hAnsi="宋体" w:cs="宋体"/>
          <w:bCs/>
          <w:sz w:val="32"/>
          <w:szCs w:val="32"/>
        </w:rPr>
        <w:t>采购代理机构：山东晟菖宏项目管理有限公司</w:t>
      </w:r>
    </w:p>
    <w:p>
      <w:pPr>
        <w:ind w:firstLine="921" w:firstLineChars="288"/>
        <w:rPr>
          <w:rFonts w:ascii="宋体" w:cs="宋体"/>
          <w:bCs/>
          <w:sz w:val="32"/>
          <w:szCs w:val="32"/>
        </w:rPr>
      </w:pPr>
      <w:r>
        <w:rPr>
          <w:rFonts w:hint="eastAsia" w:ascii="宋体" w:hAnsi="宋体" w:cs="宋体"/>
          <w:bCs/>
          <w:sz w:val="32"/>
          <w:szCs w:val="32"/>
        </w:rPr>
        <w:t>日</w:t>
      </w:r>
      <w:r>
        <w:rPr>
          <w:rFonts w:ascii="宋体" w:hAnsi="宋体" w:cs="宋体"/>
          <w:bCs/>
          <w:sz w:val="32"/>
          <w:szCs w:val="32"/>
        </w:rPr>
        <w:t xml:space="preserve"> </w:t>
      </w:r>
      <w:r>
        <w:rPr>
          <w:rFonts w:ascii="宋体" w:hAnsi="宋体" w:cs="宋体"/>
          <w:bCs/>
          <w:sz w:val="32"/>
          <w:szCs w:val="32"/>
          <w:highlight w:val="none"/>
        </w:rPr>
        <w:t xml:space="preserve">       </w:t>
      </w:r>
      <w:r>
        <w:rPr>
          <w:rFonts w:hint="eastAsia" w:ascii="宋体" w:hAnsi="宋体" w:cs="宋体"/>
          <w:bCs/>
          <w:sz w:val="32"/>
          <w:szCs w:val="32"/>
          <w:highlight w:val="none"/>
        </w:rPr>
        <w:t>期：二〇二三年十月</w:t>
      </w:r>
    </w:p>
    <w:p>
      <w:pPr>
        <w:rPr>
          <w:rFonts w:ascii="宋体" w:cs="宋体"/>
          <w:b/>
          <w:bCs/>
          <w:sz w:val="48"/>
          <w:szCs w:val="48"/>
        </w:rPr>
      </w:pPr>
    </w:p>
    <w:p>
      <w:pPr>
        <w:jc w:val="center"/>
        <w:rPr>
          <w:rFonts w:ascii="宋体" w:cs="宋体"/>
          <w:b/>
          <w:kern w:val="0"/>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1" w:footer="992" w:gutter="0"/>
          <w:cols w:space="720" w:num="1"/>
          <w:titlePg/>
          <w:docGrid w:type="lines" w:linePitch="312" w:charSpace="0"/>
        </w:sectPr>
      </w:pPr>
    </w:p>
    <w:p>
      <w:pPr>
        <w:jc w:val="center"/>
        <w:rPr>
          <w:rFonts w:ascii="宋体" w:cs="宋体"/>
          <w:bCs/>
          <w:kern w:val="0"/>
          <w:sz w:val="44"/>
          <w:szCs w:val="44"/>
        </w:rPr>
      </w:pPr>
      <w:r>
        <w:rPr>
          <w:rFonts w:hint="eastAsia" w:ascii="宋体" w:hAnsi="宋体" w:cs="宋体"/>
          <w:bCs/>
          <w:kern w:val="0"/>
          <w:sz w:val="44"/>
          <w:szCs w:val="44"/>
        </w:rPr>
        <w:t>目</w:t>
      </w:r>
      <w:r>
        <w:rPr>
          <w:rFonts w:ascii="宋体" w:hAnsi="宋体" w:cs="宋体"/>
          <w:bCs/>
          <w:kern w:val="0"/>
          <w:sz w:val="44"/>
          <w:szCs w:val="44"/>
        </w:rPr>
        <w:t xml:space="preserve">     </w:t>
      </w:r>
      <w:r>
        <w:rPr>
          <w:rFonts w:hint="eastAsia" w:ascii="宋体" w:hAnsi="宋体" w:cs="宋体"/>
          <w:bCs/>
          <w:kern w:val="0"/>
          <w:sz w:val="44"/>
          <w:szCs w:val="44"/>
        </w:rPr>
        <w:t>录</w:t>
      </w:r>
    </w:p>
    <w:p>
      <w:pPr>
        <w:jc w:val="center"/>
        <w:rPr>
          <w:rFonts w:ascii="宋体" w:cs="宋体"/>
          <w:bCs/>
          <w:kern w:val="0"/>
          <w:sz w:val="44"/>
          <w:szCs w:val="44"/>
        </w:rPr>
      </w:pPr>
    </w:p>
    <w:p>
      <w:pPr>
        <w:pStyle w:val="18"/>
        <w:tabs>
          <w:tab w:val="right" w:leader="dot" w:pos="8848"/>
          <w:tab w:val="clear" w:pos="8296"/>
        </w:tabs>
        <w:spacing w:line="480" w:lineRule="auto"/>
      </w:pPr>
      <w:r>
        <w:rPr>
          <w:rFonts w:hint="eastAsia" w:hAnsi="宋体" w:eastAsia="宋体" w:cs="宋体"/>
          <w:b w:val="0"/>
          <w:bCs/>
          <w:sz w:val="32"/>
          <w:szCs w:val="32"/>
        </w:rPr>
        <w:fldChar w:fldCharType="begin"/>
      </w:r>
      <w:r>
        <w:rPr>
          <w:rFonts w:hint="eastAsia" w:hAnsi="宋体" w:eastAsia="宋体" w:cs="宋体"/>
          <w:b w:val="0"/>
          <w:bCs/>
          <w:sz w:val="32"/>
          <w:szCs w:val="32"/>
        </w:rPr>
        <w:instrText xml:space="preserve"> TOC \o "1-1" \h \z \u </w:instrText>
      </w:r>
      <w:r>
        <w:rPr>
          <w:rFonts w:hint="eastAsia" w:hAnsi="宋体" w:eastAsia="宋体" w:cs="宋体"/>
          <w:b w:val="0"/>
          <w:bCs/>
          <w:sz w:val="32"/>
          <w:szCs w:val="32"/>
        </w:rPr>
        <w:fldChar w:fldCharType="separate"/>
      </w:r>
      <w:r>
        <w:fldChar w:fldCharType="begin"/>
      </w:r>
      <w:r>
        <w:instrText xml:space="preserve"> HYPERLINK \l "_Toc27308" </w:instrText>
      </w:r>
      <w:r>
        <w:fldChar w:fldCharType="separate"/>
      </w:r>
      <w:r>
        <w:rPr>
          <w:rFonts w:hint="eastAsia" w:hAnsi="宋体" w:eastAsia="宋体" w:cs="宋体"/>
          <w:szCs w:val="32"/>
        </w:rPr>
        <w:t>第一章 竞争性磋商公告</w:t>
      </w:r>
      <w:r>
        <w:tab/>
      </w:r>
      <w:r>
        <w:fldChar w:fldCharType="begin"/>
      </w:r>
      <w:r>
        <w:instrText xml:space="preserve"> PAGEREF _Toc27308 \h </w:instrText>
      </w:r>
      <w:r>
        <w:fldChar w:fldCharType="separate"/>
      </w:r>
      <w:r>
        <w:t>1</w:t>
      </w:r>
      <w:r>
        <w:fldChar w:fldCharType="end"/>
      </w:r>
      <w:r>
        <w:fldChar w:fldCharType="end"/>
      </w:r>
    </w:p>
    <w:p>
      <w:pPr>
        <w:pStyle w:val="18"/>
        <w:tabs>
          <w:tab w:val="right" w:leader="dot" w:pos="8848"/>
          <w:tab w:val="clear" w:pos="8296"/>
        </w:tabs>
        <w:spacing w:line="480" w:lineRule="auto"/>
      </w:pPr>
      <w:r>
        <w:fldChar w:fldCharType="begin"/>
      </w:r>
      <w:r>
        <w:instrText xml:space="preserve"> HYPERLINK \l "_Toc13737" </w:instrText>
      </w:r>
      <w:r>
        <w:fldChar w:fldCharType="separate"/>
      </w:r>
      <w:r>
        <w:rPr>
          <w:rFonts w:hint="eastAsia" w:hAnsi="宋体" w:eastAsia="宋体" w:cs="宋体"/>
          <w:szCs w:val="32"/>
        </w:rPr>
        <w:t>第二章 供应商须知</w:t>
      </w:r>
      <w:r>
        <w:tab/>
      </w:r>
      <w:r>
        <w:fldChar w:fldCharType="begin"/>
      </w:r>
      <w:r>
        <w:instrText xml:space="preserve"> PAGEREF _Toc13737 \h </w:instrText>
      </w:r>
      <w:r>
        <w:fldChar w:fldCharType="separate"/>
      </w:r>
      <w:r>
        <w:t>6</w:t>
      </w:r>
      <w:r>
        <w:fldChar w:fldCharType="end"/>
      </w:r>
      <w:r>
        <w:fldChar w:fldCharType="end"/>
      </w:r>
    </w:p>
    <w:p>
      <w:pPr>
        <w:pStyle w:val="18"/>
        <w:tabs>
          <w:tab w:val="right" w:leader="dot" w:pos="8848"/>
          <w:tab w:val="clear" w:pos="8296"/>
        </w:tabs>
        <w:spacing w:line="480" w:lineRule="auto"/>
      </w:pPr>
      <w:r>
        <w:fldChar w:fldCharType="begin"/>
      </w:r>
      <w:r>
        <w:instrText xml:space="preserve"> HYPERLINK \l "_Toc1601" </w:instrText>
      </w:r>
      <w:r>
        <w:fldChar w:fldCharType="separate"/>
      </w:r>
      <w:r>
        <w:rPr>
          <w:rFonts w:hint="eastAsia" w:hAnsi="宋体" w:eastAsia="宋体" w:cs="Times New Roman"/>
          <w:szCs w:val="32"/>
        </w:rPr>
        <w:t xml:space="preserve">第三章 </w:t>
      </w:r>
      <w:r>
        <w:rPr>
          <w:rFonts w:hint="eastAsia" w:hAnsi="宋体" w:eastAsia="宋体" w:cs="宋体"/>
          <w:szCs w:val="32"/>
        </w:rPr>
        <w:t>竞争性磋商办法</w:t>
      </w:r>
      <w:r>
        <w:tab/>
      </w:r>
      <w:r>
        <w:fldChar w:fldCharType="begin"/>
      </w:r>
      <w:r>
        <w:instrText xml:space="preserve"> PAGEREF _Toc1601 \h </w:instrText>
      </w:r>
      <w:r>
        <w:fldChar w:fldCharType="separate"/>
      </w:r>
      <w:r>
        <w:t>27</w:t>
      </w:r>
      <w:r>
        <w:fldChar w:fldCharType="end"/>
      </w:r>
      <w:r>
        <w:fldChar w:fldCharType="end"/>
      </w:r>
    </w:p>
    <w:p>
      <w:pPr>
        <w:pStyle w:val="18"/>
        <w:tabs>
          <w:tab w:val="right" w:leader="dot" w:pos="8848"/>
          <w:tab w:val="clear" w:pos="8296"/>
        </w:tabs>
        <w:spacing w:line="480" w:lineRule="auto"/>
      </w:pPr>
      <w:r>
        <w:fldChar w:fldCharType="begin"/>
      </w:r>
      <w:r>
        <w:instrText xml:space="preserve"> HYPERLINK \l "_Toc17659" </w:instrText>
      </w:r>
      <w:r>
        <w:fldChar w:fldCharType="separate"/>
      </w:r>
      <w:r>
        <w:rPr>
          <w:rFonts w:hint="eastAsia" w:hAnsi="宋体" w:eastAsia="宋体" w:cs="宋体"/>
          <w:bCs/>
          <w:spacing w:val="-6"/>
          <w:kern w:val="2"/>
          <w:szCs w:val="32"/>
        </w:rPr>
        <w:t>第四章  合同条款及格式</w:t>
      </w:r>
      <w:r>
        <w:tab/>
      </w:r>
      <w:r>
        <w:fldChar w:fldCharType="begin"/>
      </w:r>
      <w:r>
        <w:instrText xml:space="preserve"> PAGEREF _Toc17659 \h </w:instrText>
      </w:r>
      <w:r>
        <w:fldChar w:fldCharType="separate"/>
      </w:r>
      <w:r>
        <w:t>33</w:t>
      </w:r>
      <w:r>
        <w:fldChar w:fldCharType="end"/>
      </w:r>
      <w:r>
        <w:fldChar w:fldCharType="end"/>
      </w:r>
    </w:p>
    <w:p>
      <w:pPr>
        <w:pStyle w:val="18"/>
        <w:tabs>
          <w:tab w:val="right" w:leader="dot" w:pos="8848"/>
          <w:tab w:val="clear" w:pos="8296"/>
        </w:tabs>
        <w:spacing w:line="480" w:lineRule="auto"/>
      </w:pPr>
      <w:r>
        <w:fldChar w:fldCharType="begin"/>
      </w:r>
      <w:r>
        <w:instrText xml:space="preserve"> HYPERLINK \l "_Toc26555" </w:instrText>
      </w:r>
      <w:r>
        <w:fldChar w:fldCharType="separate"/>
      </w:r>
      <w:r>
        <w:rPr>
          <w:rFonts w:hint="eastAsia" w:hAnsi="宋体" w:eastAsia="宋体" w:cs="宋体"/>
          <w:szCs w:val="32"/>
        </w:rPr>
        <w:t>第五章  项目说明及要求</w:t>
      </w:r>
      <w:r>
        <w:tab/>
      </w:r>
      <w:r>
        <w:fldChar w:fldCharType="begin"/>
      </w:r>
      <w:r>
        <w:instrText xml:space="preserve"> PAGEREF _Toc26555 \h </w:instrText>
      </w:r>
      <w:r>
        <w:fldChar w:fldCharType="separate"/>
      </w:r>
      <w:r>
        <w:t>34</w:t>
      </w:r>
      <w:r>
        <w:fldChar w:fldCharType="end"/>
      </w:r>
      <w:r>
        <w:fldChar w:fldCharType="end"/>
      </w:r>
    </w:p>
    <w:p>
      <w:pPr>
        <w:pStyle w:val="18"/>
        <w:tabs>
          <w:tab w:val="right" w:leader="dot" w:pos="8848"/>
          <w:tab w:val="clear" w:pos="8296"/>
        </w:tabs>
        <w:spacing w:line="480" w:lineRule="auto"/>
        <w:rPr>
          <w:rFonts w:hint="default" w:eastAsia="楷体_GB2312"/>
          <w:lang w:val="en-US" w:eastAsia="zh-CN"/>
        </w:rPr>
      </w:pPr>
      <w:r>
        <w:fldChar w:fldCharType="begin"/>
      </w:r>
      <w:r>
        <w:instrText xml:space="preserve"> HYPERLINK \l "_Toc4754" </w:instrText>
      </w:r>
      <w:r>
        <w:fldChar w:fldCharType="separate"/>
      </w:r>
      <w:r>
        <w:rPr>
          <w:rFonts w:hint="eastAsia" w:hAnsi="宋体" w:eastAsia="宋体" w:cs="宋体"/>
          <w:szCs w:val="32"/>
        </w:rPr>
        <w:t>第六章  响应文件格式</w:t>
      </w:r>
      <w:r>
        <w:tab/>
      </w:r>
      <w:r>
        <w:fldChar w:fldCharType="end"/>
      </w:r>
      <w:r>
        <w:rPr>
          <w:rFonts w:hint="eastAsia"/>
          <w:lang w:val="en-US" w:eastAsia="zh-CN"/>
        </w:rPr>
        <w:t>67</w:t>
      </w:r>
    </w:p>
    <w:p>
      <w:pPr>
        <w:pStyle w:val="18"/>
        <w:tabs>
          <w:tab w:val="right" w:leader="dot" w:pos="8848"/>
          <w:tab w:val="clear" w:pos="8296"/>
        </w:tabs>
      </w:pPr>
    </w:p>
    <w:p>
      <w:pPr>
        <w:spacing w:line="480" w:lineRule="auto"/>
        <w:jc w:val="center"/>
        <w:rPr>
          <w:rFonts w:ascii="宋体" w:hAnsi="宋体" w:cs="宋体"/>
          <w:b/>
          <w:kern w:val="0"/>
          <w:sz w:val="24"/>
        </w:rPr>
      </w:pPr>
      <w:r>
        <w:rPr>
          <w:rFonts w:hint="eastAsia" w:ascii="宋体" w:hAnsi="宋体" w:cs="宋体"/>
          <w:bCs/>
          <w:szCs w:val="32"/>
        </w:rPr>
        <w:fldChar w:fldCharType="end"/>
      </w:r>
    </w:p>
    <w:p>
      <w:pPr>
        <w:jc w:val="center"/>
        <w:rPr>
          <w:rFonts w:ascii="宋体" w:cs="宋体"/>
          <w:b/>
          <w:kern w:val="0"/>
          <w:sz w:val="44"/>
          <w:szCs w:val="44"/>
        </w:rPr>
      </w:pPr>
    </w:p>
    <w:p>
      <w:pPr>
        <w:jc w:val="center"/>
        <w:rPr>
          <w:rFonts w:ascii="宋体" w:cs="宋体"/>
          <w:b/>
          <w:kern w:val="0"/>
          <w:sz w:val="44"/>
          <w:szCs w:val="44"/>
        </w:rPr>
      </w:pPr>
    </w:p>
    <w:p>
      <w:pPr>
        <w:jc w:val="center"/>
        <w:rPr>
          <w:rFonts w:ascii="宋体" w:cs="宋体"/>
          <w:b/>
          <w:kern w:val="0"/>
          <w:sz w:val="44"/>
          <w:szCs w:val="44"/>
        </w:rPr>
      </w:pPr>
    </w:p>
    <w:p>
      <w:pPr>
        <w:jc w:val="center"/>
        <w:rPr>
          <w:rFonts w:ascii="宋体" w:cs="宋体"/>
          <w:b/>
          <w:kern w:val="0"/>
          <w:sz w:val="44"/>
          <w:szCs w:val="44"/>
        </w:rPr>
      </w:pPr>
    </w:p>
    <w:p>
      <w:pPr>
        <w:jc w:val="center"/>
        <w:rPr>
          <w:rFonts w:ascii="宋体" w:cs="宋体"/>
          <w:b/>
          <w:kern w:val="0"/>
          <w:sz w:val="44"/>
          <w:szCs w:val="44"/>
        </w:rPr>
      </w:pPr>
    </w:p>
    <w:p>
      <w:pPr>
        <w:jc w:val="center"/>
        <w:rPr>
          <w:rFonts w:ascii="宋体" w:cs="宋体"/>
          <w:b/>
          <w:kern w:val="0"/>
          <w:sz w:val="44"/>
          <w:szCs w:val="44"/>
        </w:rPr>
      </w:pPr>
    </w:p>
    <w:p>
      <w:pPr>
        <w:jc w:val="center"/>
        <w:rPr>
          <w:rFonts w:ascii="宋体" w:cs="宋体"/>
          <w:b/>
          <w:kern w:val="0"/>
          <w:sz w:val="44"/>
          <w:szCs w:val="44"/>
        </w:rPr>
      </w:pPr>
    </w:p>
    <w:p>
      <w:pPr>
        <w:jc w:val="center"/>
        <w:rPr>
          <w:rFonts w:ascii="宋体" w:cs="宋体"/>
          <w:b/>
          <w:kern w:val="0"/>
          <w:sz w:val="44"/>
          <w:szCs w:val="44"/>
        </w:rPr>
      </w:pPr>
    </w:p>
    <w:p>
      <w:pPr>
        <w:jc w:val="center"/>
        <w:rPr>
          <w:rFonts w:ascii="宋体" w:cs="宋体"/>
          <w:b/>
          <w:kern w:val="0"/>
          <w:sz w:val="44"/>
          <w:szCs w:val="44"/>
        </w:rPr>
      </w:pPr>
    </w:p>
    <w:p>
      <w:pPr>
        <w:jc w:val="center"/>
        <w:rPr>
          <w:rFonts w:ascii="宋体" w:cs="宋体"/>
          <w:b/>
          <w:kern w:val="0"/>
          <w:sz w:val="44"/>
          <w:szCs w:val="44"/>
        </w:rPr>
      </w:pPr>
    </w:p>
    <w:p>
      <w:pPr>
        <w:jc w:val="center"/>
        <w:rPr>
          <w:rFonts w:ascii="宋体" w:cs="宋体"/>
          <w:b/>
          <w:kern w:val="0"/>
          <w:sz w:val="44"/>
          <w:szCs w:val="44"/>
        </w:rPr>
      </w:pPr>
    </w:p>
    <w:p>
      <w:bookmarkStart w:id="0" w:name="_Toc14910"/>
    </w:p>
    <w:p>
      <w:pPr>
        <w:pStyle w:val="5"/>
        <w:spacing w:line="360" w:lineRule="auto"/>
        <w:rPr>
          <w:rFonts w:ascii="宋体" w:hAnsi="宋体" w:eastAsia="宋体" w:cs="宋体"/>
          <w:sz w:val="32"/>
          <w:szCs w:val="32"/>
        </w:rPr>
        <w:sectPr>
          <w:footerReference r:id="rId9" w:type="default"/>
          <w:pgSz w:w="11910" w:h="16840"/>
          <w:pgMar w:top="1531" w:right="1531" w:bottom="1531" w:left="1531" w:header="587" w:footer="1050" w:gutter="0"/>
          <w:pgNumType w:start="1"/>
          <w:cols w:space="720" w:num="1"/>
        </w:sectPr>
      </w:pPr>
    </w:p>
    <w:p>
      <w:pPr>
        <w:pStyle w:val="5"/>
        <w:spacing w:line="360" w:lineRule="auto"/>
        <w:rPr>
          <w:rFonts w:ascii="宋体" w:hAnsi="宋体" w:eastAsia="宋体" w:cs="宋体"/>
          <w:sz w:val="32"/>
          <w:szCs w:val="32"/>
        </w:rPr>
      </w:pPr>
      <w:bookmarkStart w:id="1" w:name="_Toc27308"/>
      <w:r>
        <w:rPr>
          <w:rFonts w:hint="eastAsia" w:ascii="宋体" w:hAnsi="宋体" w:eastAsia="宋体" w:cs="宋体"/>
          <w:sz w:val="32"/>
          <w:szCs w:val="32"/>
        </w:rPr>
        <w:t>第一章 竞争性磋商公告</w:t>
      </w:r>
      <w:bookmarkEnd w:id="0"/>
      <w:bookmarkEnd w:id="1"/>
      <w:r>
        <w:rPr>
          <w:rFonts w:hint="eastAsia" w:ascii="宋体" w:hAnsi="宋体" w:eastAsia="宋体" w:cs="宋体"/>
          <w:sz w:val="32"/>
          <w:szCs w:val="32"/>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4" w:type="dxa"/>
          </w:tcPr>
          <w:p>
            <w:pPr>
              <w:spacing w:line="360" w:lineRule="auto"/>
              <w:ind w:firstLine="280" w:firstLineChars="100"/>
              <w:rPr>
                <w:rFonts w:ascii="仿宋" w:hAnsi="仿宋" w:eastAsia="仿宋"/>
                <w:sz w:val="28"/>
                <w:szCs w:val="28"/>
                <w:highlight w:val="none"/>
              </w:rPr>
            </w:pPr>
            <w:r>
              <w:rPr>
                <w:rFonts w:hint="eastAsia" w:ascii="仿宋" w:hAnsi="仿宋" w:eastAsia="仿宋"/>
                <w:sz w:val="28"/>
                <w:szCs w:val="28"/>
                <w:highlight w:val="none"/>
              </w:rPr>
              <w:t>项目概况</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菏泽鲁西新区2023年幼儿园厨房设备及空调采购项目的潜在供应商应在中国山东政府采购网 、菏泽市政府采购公共服务平台、在赢标电子招标采购交易平台（菏泽专区）（http://hz.fzbidding.com）下载获取竞争性磋商文件，并于2023年</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24</w:t>
            </w:r>
            <w:r>
              <w:rPr>
                <w:rFonts w:hint="eastAsia" w:ascii="仿宋" w:hAnsi="仿宋" w:eastAsia="仿宋"/>
                <w:sz w:val="28"/>
                <w:szCs w:val="28"/>
                <w:highlight w:val="none"/>
              </w:rPr>
              <w:t xml:space="preserve"> 日</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时</w:t>
            </w:r>
            <w:r>
              <w:rPr>
                <w:rFonts w:hint="eastAsia" w:ascii="仿宋" w:hAnsi="仿宋" w:eastAsia="仿宋"/>
                <w:sz w:val="28"/>
                <w:szCs w:val="28"/>
                <w:highlight w:val="none"/>
                <w:lang w:val="en-US" w:eastAsia="zh-CN"/>
              </w:rPr>
              <w:t>00</w:t>
            </w:r>
            <w:r>
              <w:rPr>
                <w:rFonts w:hint="eastAsia" w:ascii="仿宋" w:hAnsi="仿宋" w:eastAsia="仿宋"/>
                <w:sz w:val="28"/>
                <w:szCs w:val="28"/>
                <w:highlight w:val="none"/>
              </w:rPr>
              <w:t>分 (北京时间) 前提交响应文件。</w:t>
            </w:r>
          </w:p>
        </w:tc>
      </w:tr>
    </w:tbl>
    <w:p>
      <w:pPr>
        <w:spacing w:line="420" w:lineRule="atLeast"/>
        <w:rPr>
          <w:sz w:val="28"/>
          <w:szCs w:val="28"/>
          <w:highlight w:val="none"/>
        </w:rPr>
      </w:pPr>
    </w:p>
    <w:p>
      <w:pPr>
        <w:spacing w:line="360" w:lineRule="auto"/>
        <w:rPr>
          <w:rFonts w:ascii="黑体" w:hAnsi="黑体" w:eastAsia="黑体" w:cs="黑体"/>
          <w:sz w:val="28"/>
          <w:szCs w:val="28"/>
          <w:highlight w:val="none"/>
        </w:rPr>
      </w:pPr>
      <w:bookmarkStart w:id="2" w:name="_Toc28359002"/>
      <w:bookmarkStart w:id="3" w:name="_Toc28359079"/>
      <w:bookmarkStart w:id="4" w:name="_Toc35393790"/>
      <w:bookmarkStart w:id="5" w:name="_Toc35393621"/>
      <w:bookmarkStart w:id="6" w:name="_Hlk24379207"/>
      <w:r>
        <w:rPr>
          <w:rFonts w:hint="eastAsia" w:ascii="黑体" w:hAnsi="黑体" w:eastAsia="黑体" w:cs="黑体"/>
          <w:sz w:val="28"/>
          <w:szCs w:val="28"/>
          <w:highlight w:val="none"/>
        </w:rPr>
        <w:t>一、项目基本情况</w:t>
      </w:r>
      <w:bookmarkEnd w:id="2"/>
      <w:bookmarkEnd w:id="3"/>
      <w:bookmarkEnd w:id="4"/>
      <w:bookmarkEnd w:id="5"/>
    </w:p>
    <w:p>
      <w:pPr>
        <w:spacing w:line="360" w:lineRule="auto"/>
        <w:ind w:firstLine="280" w:firstLineChars="100"/>
        <w:rPr>
          <w:rFonts w:hint="eastAsia" w:ascii="仿宋" w:hAnsi="仿宋" w:eastAsia="仿宋"/>
          <w:sz w:val="28"/>
          <w:szCs w:val="28"/>
          <w:highlight w:val="none"/>
          <w:lang w:eastAsia="zh-CN"/>
        </w:rPr>
      </w:pPr>
      <w:r>
        <w:rPr>
          <w:rFonts w:hint="eastAsia" w:ascii="仿宋" w:hAnsi="仿宋" w:eastAsia="仿宋"/>
          <w:sz w:val="28"/>
          <w:szCs w:val="28"/>
          <w:highlight w:val="none"/>
        </w:rPr>
        <w:t>1.项目编号：</w:t>
      </w:r>
      <w:r>
        <w:rPr>
          <w:rFonts w:hint="eastAsia" w:ascii="仿宋" w:hAnsi="仿宋" w:eastAsia="仿宋"/>
          <w:sz w:val="28"/>
          <w:szCs w:val="28"/>
          <w:highlight w:val="none"/>
          <w:lang w:eastAsia="zh-CN"/>
        </w:rPr>
        <w:t>SDGP371791000202302000127</w:t>
      </w:r>
    </w:p>
    <w:p>
      <w:pPr>
        <w:spacing w:line="360" w:lineRule="auto"/>
        <w:ind w:firstLine="280" w:firstLineChars="100"/>
        <w:rPr>
          <w:rFonts w:ascii="仿宋" w:hAnsi="仿宋" w:eastAsia="仿宋"/>
          <w:sz w:val="28"/>
          <w:szCs w:val="28"/>
          <w:highlight w:val="none"/>
        </w:rPr>
      </w:pPr>
      <w:r>
        <w:rPr>
          <w:rFonts w:hint="eastAsia" w:ascii="仿宋" w:hAnsi="仿宋" w:eastAsia="仿宋"/>
          <w:sz w:val="28"/>
          <w:szCs w:val="28"/>
          <w:highlight w:val="none"/>
        </w:rPr>
        <w:t>2.项目名称：菏泽鲁西新区2023年幼儿园厨房设备及空调采购项目</w:t>
      </w:r>
    </w:p>
    <w:p>
      <w:pPr>
        <w:spacing w:line="360" w:lineRule="auto"/>
        <w:ind w:firstLine="280" w:firstLineChars="100"/>
        <w:rPr>
          <w:rFonts w:ascii="仿宋" w:hAnsi="仿宋" w:eastAsia="仿宋"/>
          <w:sz w:val="28"/>
          <w:szCs w:val="28"/>
          <w:highlight w:val="none"/>
        </w:rPr>
      </w:pPr>
      <w:r>
        <w:rPr>
          <w:rFonts w:hint="eastAsia" w:ascii="仿宋" w:hAnsi="仿宋" w:eastAsia="仿宋"/>
          <w:sz w:val="28"/>
          <w:szCs w:val="28"/>
          <w:highlight w:val="none"/>
        </w:rPr>
        <w:t>3.采购方式：竞争性磋商</w:t>
      </w:r>
    </w:p>
    <w:bookmarkEnd w:id="6"/>
    <w:p>
      <w:pPr>
        <w:spacing w:line="360" w:lineRule="auto"/>
        <w:ind w:firstLine="280" w:firstLineChars="100"/>
        <w:rPr>
          <w:rFonts w:ascii="仿宋" w:hAnsi="仿宋" w:eastAsia="仿宋"/>
          <w:sz w:val="28"/>
          <w:szCs w:val="28"/>
        </w:rPr>
      </w:pPr>
      <w:r>
        <w:rPr>
          <w:rFonts w:hint="eastAsia" w:ascii="仿宋" w:hAnsi="仿宋" w:eastAsia="仿宋"/>
          <w:sz w:val="28"/>
          <w:szCs w:val="28"/>
        </w:rPr>
        <w:t xml:space="preserve">4.预算金额（万元）：103.341536 </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p>
    <w:p>
      <w:pPr>
        <w:spacing w:line="360" w:lineRule="auto"/>
        <w:ind w:firstLine="280" w:firstLineChars="100"/>
        <w:rPr>
          <w:rFonts w:ascii="仿宋" w:hAnsi="仿宋" w:eastAsia="仿宋"/>
          <w:sz w:val="28"/>
          <w:szCs w:val="28"/>
        </w:rPr>
      </w:pPr>
      <w:r>
        <w:rPr>
          <w:rFonts w:hint="eastAsia" w:ascii="仿宋" w:hAnsi="仿宋" w:eastAsia="仿宋"/>
          <w:sz w:val="28"/>
          <w:szCs w:val="28"/>
        </w:rPr>
        <w:t>5.最高限价（万元）：103.341536</w:t>
      </w:r>
    </w:p>
    <w:p>
      <w:pPr>
        <w:spacing w:line="360" w:lineRule="auto"/>
        <w:ind w:firstLine="280" w:firstLineChars="100"/>
        <w:rPr>
          <w:rFonts w:ascii="仿宋" w:hAnsi="仿宋" w:eastAsia="仿宋"/>
          <w:sz w:val="28"/>
          <w:szCs w:val="28"/>
        </w:rPr>
      </w:pPr>
      <w:r>
        <w:rPr>
          <w:rFonts w:hint="eastAsia" w:ascii="仿宋" w:hAnsi="仿宋" w:eastAsia="仿宋"/>
          <w:sz w:val="28"/>
          <w:szCs w:val="28"/>
        </w:rPr>
        <w:t>6.采购需求：</w:t>
      </w:r>
    </w:p>
    <w:tbl>
      <w:tblPr>
        <w:tblStyle w:val="26"/>
        <w:tblW w:w="0" w:type="auto"/>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1813"/>
        <w:gridCol w:w="1813"/>
        <w:gridCol w:w="1813"/>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Align w:val="center"/>
          </w:tcPr>
          <w:p>
            <w:pPr>
              <w:pStyle w:val="42"/>
              <w:jc w:val="center"/>
              <w:rPr>
                <w:rFonts w:ascii="仿宋" w:hAnsi="仿宋" w:eastAsia="仿宋" w:cs="仿宋"/>
                <w:sz w:val="24"/>
              </w:rPr>
            </w:pPr>
            <w:r>
              <w:rPr>
                <w:rFonts w:hint="eastAsia" w:ascii="仿宋" w:hAnsi="仿宋" w:eastAsia="仿宋" w:cs="仿宋"/>
                <w:sz w:val="24"/>
              </w:rPr>
              <w:t>包号</w:t>
            </w:r>
          </w:p>
        </w:tc>
        <w:tc>
          <w:tcPr>
            <w:tcW w:w="1813" w:type="dxa"/>
            <w:vAlign w:val="center"/>
          </w:tcPr>
          <w:p>
            <w:pPr>
              <w:pStyle w:val="42"/>
              <w:jc w:val="center"/>
              <w:rPr>
                <w:rFonts w:ascii="仿宋" w:hAnsi="仿宋" w:eastAsia="仿宋" w:cs="仿宋"/>
                <w:sz w:val="24"/>
              </w:rPr>
            </w:pPr>
            <w:r>
              <w:rPr>
                <w:rFonts w:hint="eastAsia" w:ascii="仿宋" w:hAnsi="仿宋" w:eastAsia="仿宋" w:cs="仿宋"/>
                <w:sz w:val="24"/>
              </w:rPr>
              <w:t>采购内容</w:t>
            </w:r>
          </w:p>
        </w:tc>
        <w:tc>
          <w:tcPr>
            <w:tcW w:w="1813" w:type="dxa"/>
            <w:vAlign w:val="center"/>
          </w:tcPr>
          <w:p>
            <w:pPr>
              <w:pStyle w:val="42"/>
              <w:jc w:val="center"/>
              <w:rPr>
                <w:rFonts w:ascii="仿宋" w:hAnsi="仿宋" w:eastAsia="仿宋" w:cs="仿宋"/>
                <w:sz w:val="24"/>
              </w:rPr>
            </w:pPr>
            <w:r>
              <w:rPr>
                <w:rFonts w:hint="eastAsia" w:ascii="仿宋" w:hAnsi="仿宋" w:eastAsia="仿宋" w:cs="仿宋"/>
                <w:sz w:val="24"/>
              </w:rPr>
              <w:t>数量</w:t>
            </w:r>
          </w:p>
        </w:tc>
        <w:tc>
          <w:tcPr>
            <w:tcW w:w="1813" w:type="dxa"/>
            <w:vAlign w:val="center"/>
          </w:tcPr>
          <w:p>
            <w:pPr>
              <w:pStyle w:val="42"/>
              <w:jc w:val="center"/>
              <w:rPr>
                <w:rFonts w:ascii="仿宋" w:hAnsi="仿宋" w:eastAsia="仿宋" w:cs="仿宋"/>
                <w:sz w:val="24"/>
              </w:rPr>
            </w:pPr>
            <w:r>
              <w:rPr>
                <w:rFonts w:hint="eastAsia" w:ascii="仿宋" w:hAnsi="仿宋" w:eastAsia="仿宋" w:cs="仿宋"/>
                <w:sz w:val="24"/>
              </w:rPr>
              <w:t>简要技术需求或服务要求</w:t>
            </w:r>
          </w:p>
        </w:tc>
        <w:tc>
          <w:tcPr>
            <w:tcW w:w="1813" w:type="dxa"/>
            <w:vAlign w:val="center"/>
          </w:tcPr>
          <w:p>
            <w:pPr>
              <w:pStyle w:val="42"/>
              <w:jc w:val="center"/>
              <w:rPr>
                <w:rFonts w:ascii="仿宋" w:hAnsi="仿宋" w:eastAsia="仿宋" w:cs="仿宋"/>
                <w:sz w:val="24"/>
              </w:rPr>
            </w:pPr>
            <w:r>
              <w:rPr>
                <w:rFonts w:hint="eastAsia" w:ascii="仿宋" w:hAnsi="仿宋" w:eastAsia="仿宋" w:cs="仿宋"/>
                <w:sz w:val="24"/>
              </w:rPr>
              <w:t>本包预算金额(最高 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646" w:type="dxa"/>
            <w:vAlign w:val="center"/>
          </w:tcPr>
          <w:p>
            <w:pPr>
              <w:pStyle w:val="42"/>
              <w:jc w:val="center"/>
              <w:rPr>
                <w:rFonts w:ascii="仿宋" w:hAnsi="仿宋" w:eastAsia="仿宋" w:cs="仿宋"/>
                <w:sz w:val="24"/>
              </w:rPr>
            </w:pPr>
            <w:r>
              <w:rPr>
                <w:rFonts w:hint="eastAsia" w:ascii="仿宋" w:hAnsi="仿宋" w:eastAsia="仿宋" w:cs="仿宋"/>
                <w:sz w:val="24"/>
              </w:rPr>
              <w:t>A包</w:t>
            </w:r>
          </w:p>
        </w:tc>
        <w:tc>
          <w:tcPr>
            <w:tcW w:w="1813" w:type="dxa"/>
            <w:vAlign w:val="center"/>
          </w:tcPr>
          <w:p>
            <w:pPr>
              <w:pStyle w:val="42"/>
              <w:jc w:val="left"/>
              <w:rPr>
                <w:rFonts w:ascii="仿宋" w:hAnsi="仿宋" w:eastAsia="仿宋" w:cs="仿宋"/>
                <w:sz w:val="24"/>
              </w:rPr>
            </w:pPr>
            <w:r>
              <w:rPr>
                <w:rFonts w:hint="eastAsia" w:ascii="仿宋" w:hAnsi="仿宋" w:eastAsia="仿宋" w:cs="仿宋"/>
                <w:sz w:val="24"/>
              </w:rPr>
              <w:t>厨房设备及空调</w:t>
            </w:r>
          </w:p>
        </w:tc>
        <w:tc>
          <w:tcPr>
            <w:tcW w:w="1813" w:type="dxa"/>
            <w:vAlign w:val="center"/>
          </w:tcPr>
          <w:p>
            <w:pPr>
              <w:pStyle w:val="42"/>
              <w:jc w:val="center"/>
              <w:rPr>
                <w:rFonts w:ascii="仿宋" w:hAnsi="仿宋" w:eastAsia="仿宋" w:cs="仿宋"/>
                <w:sz w:val="24"/>
              </w:rPr>
            </w:pPr>
            <w:r>
              <w:rPr>
                <w:rFonts w:hint="eastAsia" w:ascii="仿宋" w:hAnsi="仿宋" w:eastAsia="仿宋" w:cs="仿宋"/>
                <w:sz w:val="24"/>
              </w:rPr>
              <w:t>1</w:t>
            </w:r>
          </w:p>
        </w:tc>
        <w:tc>
          <w:tcPr>
            <w:tcW w:w="1813" w:type="dxa"/>
            <w:vAlign w:val="center"/>
          </w:tcPr>
          <w:p>
            <w:pPr>
              <w:pStyle w:val="42"/>
              <w:jc w:val="center"/>
              <w:rPr>
                <w:rFonts w:ascii="仿宋" w:hAnsi="仿宋" w:eastAsia="仿宋" w:cs="仿宋"/>
                <w:sz w:val="24"/>
              </w:rPr>
            </w:pPr>
            <w:r>
              <w:rPr>
                <w:rFonts w:hint="eastAsia" w:ascii="仿宋" w:hAnsi="仿宋" w:eastAsia="仿宋" w:cs="仿宋"/>
                <w:sz w:val="24"/>
              </w:rPr>
              <w:t>详见竞争性磋商文件</w:t>
            </w:r>
          </w:p>
        </w:tc>
        <w:tc>
          <w:tcPr>
            <w:tcW w:w="1813" w:type="dxa"/>
            <w:vAlign w:val="center"/>
          </w:tcPr>
          <w:p>
            <w:pPr>
              <w:pStyle w:val="42"/>
              <w:jc w:val="center"/>
              <w:rPr>
                <w:rFonts w:ascii="仿宋" w:hAnsi="仿宋" w:eastAsia="仿宋" w:cs="仿宋"/>
                <w:sz w:val="24"/>
              </w:rPr>
            </w:pPr>
            <w:r>
              <w:rPr>
                <w:rFonts w:hint="eastAsia" w:ascii="仿宋" w:hAnsi="仿宋" w:eastAsia="仿宋" w:cs="仿宋"/>
                <w:sz w:val="24"/>
              </w:rPr>
              <w:t>103.341536</w:t>
            </w:r>
          </w:p>
        </w:tc>
      </w:tr>
    </w:tbl>
    <w:p>
      <w:pPr>
        <w:pStyle w:val="42"/>
        <w:rPr>
          <w:sz w:val="24"/>
        </w:rPr>
      </w:pPr>
    </w:p>
    <w:p>
      <w:pPr>
        <w:numPr>
          <w:ilvl w:val="0"/>
          <w:numId w:val="1"/>
        </w:numPr>
        <w:spacing w:line="360" w:lineRule="auto"/>
        <w:ind w:firstLine="280" w:firstLineChars="100"/>
        <w:rPr>
          <w:rFonts w:ascii="仿宋" w:hAnsi="仿宋" w:eastAsia="仿宋"/>
          <w:sz w:val="28"/>
          <w:szCs w:val="28"/>
        </w:rPr>
      </w:pPr>
      <w:r>
        <w:rPr>
          <w:rFonts w:hint="eastAsia" w:ascii="仿宋" w:hAnsi="仿宋" w:eastAsia="仿宋"/>
          <w:sz w:val="28"/>
          <w:szCs w:val="28"/>
        </w:rPr>
        <w:t>合同履行期限：详见竞争性磋商文件</w:t>
      </w:r>
    </w:p>
    <w:p>
      <w:pPr>
        <w:numPr>
          <w:ilvl w:val="0"/>
          <w:numId w:val="1"/>
        </w:numPr>
        <w:spacing w:line="360" w:lineRule="auto"/>
        <w:ind w:firstLine="280" w:firstLineChars="100"/>
        <w:rPr>
          <w:rFonts w:ascii="仿宋" w:hAnsi="仿宋" w:eastAsia="仿宋"/>
          <w:sz w:val="28"/>
          <w:szCs w:val="28"/>
        </w:rPr>
      </w:pPr>
      <w:r>
        <w:rPr>
          <w:rFonts w:hint="eastAsia" w:ascii="仿宋" w:hAnsi="仿宋" w:eastAsia="仿宋"/>
          <w:sz w:val="28"/>
          <w:szCs w:val="28"/>
        </w:rPr>
        <w:t>本项目是否接受联合体：不接受。</w:t>
      </w:r>
    </w:p>
    <w:p>
      <w:pPr>
        <w:spacing w:line="360" w:lineRule="auto"/>
        <w:rPr>
          <w:rFonts w:ascii="黑体" w:hAnsi="黑体" w:eastAsia="黑体" w:cs="黑体"/>
          <w:sz w:val="28"/>
          <w:szCs w:val="28"/>
        </w:rPr>
      </w:pPr>
      <w:bookmarkStart w:id="7" w:name="_Toc35393791"/>
      <w:bookmarkStart w:id="8" w:name="_Toc28359080"/>
      <w:bookmarkStart w:id="9" w:name="_Toc35393622"/>
      <w:bookmarkStart w:id="10" w:name="_Toc28359003"/>
      <w:bookmarkStart w:id="11" w:name="_Toc35393623"/>
      <w:bookmarkStart w:id="12" w:name="_Toc28359004"/>
      <w:bookmarkStart w:id="13" w:name="_Toc35393792"/>
      <w:bookmarkStart w:id="14" w:name="_Toc28359081"/>
      <w:r>
        <w:rPr>
          <w:rFonts w:hint="eastAsia" w:ascii="黑体" w:hAnsi="黑体" w:eastAsia="黑体" w:cs="黑体"/>
          <w:sz w:val="28"/>
          <w:szCs w:val="28"/>
        </w:rPr>
        <w:t>二、申请人的资格要求：</w:t>
      </w:r>
      <w:bookmarkEnd w:id="7"/>
      <w:bookmarkEnd w:id="8"/>
      <w:bookmarkEnd w:id="9"/>
      <w:bookmarkEnd w:id="10"/>
    </w:p>
    <w:p>
      <w:pPr>
        <w:spacing w:line="360" w:lineRule="auto"/>
        <w:ind w:firstLine="280" w:firstLineChars="100"/>
        <w:rPr>
          <w:rFonts w:ascii="仿宋" w:hAnsi="仿宋" w:eastAsia="仿宋"/>
          <w:sz w:val="28"/>
          <w:szCs w:val="28"/>
        </w:rPr>
      </w:pPr>
      <w:r>
        <w:rPr>
          <w:rFonts w:hint="eastAsia" w:ascii="仿宋" w:hAnsi="仿宋" w:eastAsia="仿宋"/>
          <w:sz w:val="28"/>
          <w:szCs w:val="28"/>
        </w:rPr>
        <w:t>1.满足《中华人民共和国政府采购法》第二十二条规定；</w:t>
      </w:r>
    </w:p>
    <w:p>
      <w:pPr>
        <w:spacing w:line="360" w:lineRule="auto"/>
        <w:ind w:firstLine="280" w:firstLineChars="100"/>
        <w:rPr>
          <w:rFonts w:ascii="仿宋" w:hAnsi="仿宋" w:eastAsia="仿宋"/>
          <w:sz w:val="28"/>
          <w:szCs w:val="28"/>
        </w:rPr>
      </w:pPr>
      <w:r>
        <w:rPr>
          <w:rFonts w:hint="eastAsia" w:ascii="仿宋" w:hAnsi="仿宋" w:eastAsia="仿宋"/>
          <w:sz w:val="28"/>
          <w:szCs w:val="28"/>
        </w:rPr>
        <w:t>2.落实政府采购政策需满足的资格要求：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2.1《中小企业划型标准规定》（工信部联企业【2011】300号）；</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2.2按照《财政部、工业和信息化部关于印发&lt;政府采购促进中小企业发展管理办法&gt;的通知》（财库〔2020〕46号）要求，本项目专门面向中小企业采购，供应商必须出具《中小企业声明函》；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2.3财政部、民政部、中国残疾人联合会《关于促进残疾人就业政府采购政策的通知》（财库【2017】141号）；</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2.4财政部、司法部《关于政府采购支持监狱企业发展有关问题的通知》（财库【2014】68号）。</w:t>
      </w:r>
    </w:p>
    <w:p>
      <w:pPr>
        <w:spacing w:line="360" w:lineRule="auto"/>
        <w:rPr>
          <w:rFonts w:ascii="仿宋" w:hAnsi="仿宋" w:eastAsia="仿宋"/>
          <w:sz w:val="28"/>
          <w:szCs w:val="28"/>
        </w:rPr>
      </w:pPr>
      <w:r>
        <w:rPr>
          <w:rFonts w:hint="eastAsia" w:ascii="仿宋" w:hAnsi="仿宋" w:eastAsia="仿宋"/>
          <w:sz w:val="28"/>
          <w:szCs w:val="28"/>
        </w:rPr>
        <w:t>3.本项目的特定资格要求：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3.1潜在供应商须具有有效的营业执照，并且在人员、设备、资金等方面具备相应的能力；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3.2在信用中国（www.creditchina.gov.cn）、中国政府采购网（www.ccgp.gov.cn）、信用山东（credit.shandong.gov.cn）网站中未被列入失信被执行人、税收违法黑名单、政府采购严重违法失信行为记录名单；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3.3本项目专门面向中小企业采购，供应商必须出具《中小企业声明函》；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3.4本项目不接受联合体投标；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3.5资格审查方式：资格后审。</w:t>
      </w:r>
    </w:p>
    <w:p>
      <w:pPr>
        <w:spacing w:line="360" w:lineRule="auto"/>
        <w:rPr>
          <w:rFonts w:ascii="黑体" w:hAnsi="黑体" w:eastAsia="黑体" w:cs="黑体"/>
          <w:sz w:val="28"/>
          <w:szCs w:val="28"/>
        </w:rPr>
      </w:pPr>
      <w:r>
        <w:rPr>
          <w:rFonts w:hint="eastAsia" w:ascii="黑体" w:hAnsi="黑体" w:eastAsia="黑体" w:cs="黑体"/>
          <w:sz w:val="28"/>
          <w:szCs w:val="28"/>
        </w:rPr>
        <w:t>三、获取采购文件</w:t>
      </w:r>
      <w:bookmarkEnd w:id="11"/>
      <w:bookmarkEnd w:id="12"/>
      <w:bookmarkEnd w:id="13"/>
      <w:bookmarkEnd w:id="14"/>
    </w:p>
    <w:p>
      <w:pPr>
        <w:spacing w:line="360" w:lineRule="auto"/>
        <w:ind w:firstLine="280" w:firstLineChars="100"/>
        <w:rPr>
          <w:rFonts w:ascii="仿宋" w:hAnsi="仿宋" w:eastAsia="仿宋"/>
          <w:sz w:val="28"/>
          <w:szCs w:val="28"/>
          <w:highlight w:val="none"/>
          <w:u w:val="single"/>
        </w:rPr>
      </w:pPr>
      <w:r>
        <w:rPr>
          <w:rFonts w:hint="eastAsia" w:ascii="仿宋" w:hAnsi="仿宋" w:eastAsia="仿宋"/>
          <w:sz w:val="28"/>
          <w:szCs w:val="28"/>
          <w:highlight w:val="none"/>
        </w:rPr>
        <w:t>1.时间：</w:t>
      </w:r>
      <w:r>
        <w:rPr>
          <w:rFonts w:hint="eastAsia" w:ascii="仿宋" w:hAnsi="仿宋" w:eastAsia="仿宋"/>
          <w:sz w:val="28"/>
          <w:szCs w:val="28"/>
          <w:highlight w:val="none"/>
          <w:u w:val="single"/>
        </w:rPr>
        <w:t>2023年</w:t>
      </w:r>
      <w:r>
        <w:rPr>
          <w:rFonts w:hint="eastAsia" w:ascii="仿宋" w:hAnsi="仿宋" w:eastAsia="仿宋"/>
          <w:sz w:val="28"/>
          <w:szCs w:val="28"/>
          <w:highlight w:val="none"/>
          <w:u w:val="single"/>
          <w:lang w:val="en-US" w:eastAsia="zh-CN"/>
        </w:rPr>
        <w:t>10</w:t>
      </w:r>
      <w:r>
        <w:rPr>
          <w:rFonts w:hint="eastAsia" w:ascii="仿宋" w:hAnsi="仿宋" w:eastAsia="仿宋"/>
          <w:sz w:val="28"/>
          <w:szCs w:val="28"/>
          <w:highlight w:val="none"/>
          <w:u w:val="single"/>
        </w:rPr>
        <w:t>月</w:t>
      </w:r>
      <w:r>
        <w:rPr>
          <w:rFonts w:hint="eastAsia" w:ascii="仿宋" w:hAnsi="仿宋" w:eastAsia="仿宋"/>
          <w:sz w:val="28"/>
          <w:szCs w:val="28"/>
          <w:highlight w:val="none"/>
          <w:u w:val="single"/>
          <w:lang w:val="en-US" w:eastAsia="zh-CN"/>
        </w:rPr>
        <w:t>13</w:t>
      </w:r>
      <w:r>
        <w:rPr>
          <w:rFonts w:hint="eastAsia" w:ascii="仿宋" w:hAnsi="仿宋" w:eastAsia="仿宋"/>
          <w:sz w:val="28"/>
          <w:szCs w:val="28"/>
          <w:highlight w:val="none"/>
          <w:u w:val="single"/>
        </w:rPr>
        <w:t>日8时00分至2023年</w:t>
      </w:r>
      <w:r>
        <w:rPr>
          <w:rFonts w:hint="eastAsia" w:ascii="仿宋" w:hAnsi="仿宋" w:eastAsia="仿宋"/>
          <w:sz w:val="28"/>
          <w:szCs w:val="28"/>
          <w:highlight w:val="none"/>
          <w:u w:val="single"/>
          <w:lang w:val="en-US" w:eastAsia="zh-CN"/>
        </w:rPr>
        <w:t>10</w:t>
      </w:r>
      <w:r>
        <w:rPr>
          <w:rFonts w:hint="eastAsia" w:ascii="仿宋" w:hAnsi="仿宋" w:eastAsia="仿宋"/>
          <w:sz w:val="28"/>
          <w:szCs w:val="28"/>
          <w:highlight w:val="none"/>
          <w:u w:val="single"/>
        </w:rPr>
        <w:t>月</w:t>
      </w:r>
      <w:r>
        <w:rPr>
          <w:rFonts w:hint="eastAsia" w:ascii="仿宋" w:hAnsi="仿宋" w:eastAsia="仿宋"/>
          <w:sz w:val="28"/>
          <w:szCs w:val="28"/>
          <w:highlight w:val="none"/>
          <w:u w:val="single"/>
          <w:lang w:val="en-US" w:eastAsia="zh-CN"/>
        </w:rPr>
        <w:t>19</w:t>
      </w:r>
      <w:r>
        <w:rPr>
          <w:rFonts w:hint="eastAsia" w:ascii="仿宋" w:hAnsi="仿宋" w:eastAsia="仿宋"/>
          <w:sz w:val="28"/>
          <w:szCs w:val="28"/>
          <w:highlight w:val="none"/>
          <w:u w:val="single"/>
        </w:rPr>
        <w:t>日1</w:t>
      </w:r>
      <w:r>
        <w:rPr>
          <w:rFonts w:hint="eastAsia" w:ascii="仿宋" w:hAnsi="仿宋" w:eastAsia="仿宋"/>
          <w:sz w:val="28"/>
          <w:szCs w:val="28"/>
          <w:highlight w:val="none"/>
          <w:u w:val="single"/>
          <w:lang w:val="en-US" w:eastAsia="zh-CN"/>
        </w:rPr>
        <w:t>8</w:t>
      </w:r>
      <w:r>
        <w:rPr>
          <w:rFonts w:hint="eastAsia" w:ascii="仿宋" w:hAnsi="仿宋" w:eastAsia="仿宋"/>
          <w:sz w:val="28"/>
          <w:szCs w:val="28"/>
          <w:highlight w:val="none"/>
          <w:u w:val="single"/>
        </w:rPr>
        <w:t>时00分（北京时间，法定节假日除外）</w:t>
      </w:r>
    </w:p>
    <w:p>
      <w:pPr>
        <w:spacing w:line="360" w:lineRule="auto"/>
        <w:ind w:firstLine="280" w:firstLineChars="100"/>
        <w:rPr>
          <w:rFonts w:ascii="仿宋" w:hAnsi="仿宋" w:eastAsia="仿宋"/>
          <w:sz w:val="28"/>
          <w:szCs w:val="28"/>
          <w:highlight w:val="none"/>
        </w:rPr>
      </w:pPr>
      <w:r>
        <w:rPr>
          <w:rFonts w:hint="eastAsia" w:ascii="仿宋" w:hAnsi="仿宋" w:eastAsia="仿宋"/>
          <w:sz w:val="28"/>
          <w:szCs w:val="28"/>
          <w:highlight w:val="none"/>
        </w:rPr>
        <w:t>2.地点：中国山东政府采购网、在赢标电子招标采购交易平台（菏泽专区）（http://hz.fzbidding.com）自行下载。</w:t>
      </w:r>
    </w:p>
    <w:p>
      <w:pPr>
        <w:spacing w:line="360" w:lineRule="auto"/>
        <w:ind w:firstLine="280" w:firstLineChars="100"/>
        <w:rPr>
          <w:rFonts w:ascii="仿宋" w:hAnsi="仿宋" w:eastAsia="仿宋"/>
          <w:sz w:val="28"/>
          <w:szCs w:val="28"/>
        </w:rPr>
      </w:pPr>
      <w:r>
        <w:rPr>
          <w:rFonts w:hint="eastAsia" w:ascii="仿宋" w:hAnsi="仿宋" w:eastAsia="仿宋"/>
          <w:sz w:val="28"/>
          <w:szCs w:val="28"/>
          <w:highlight w:val="none"/>
        </w:rPr>
        <w:t xml:space="preserve">3.方式：①潜在供应商需在(2023 年 </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 xml:space="preserve"> 月 </w:t>
      </w:r>
      <w:r>
        <w:rPr>
          <w:rFonts w:hint="eastAsia" w:ascii="仿宋" w:hAnsi="仿宋" w:eastAsia="仿宋"/>
          <w:sz w:val="28"/>
          <w:szCs w:val="28"/>
          <w:highlight w:val="none"/>
          <w:lang w:val="en-US" w:eastAsia="zh-CN"/>
        </w:rPr>
        <w:t>13</w:t>
      </w:r>
      <w:r>
        <w:rPr>
          <w:rFonts w:hint="eastAsia" w:ascii="仿宋" w:hAnsi="仿宋" w:eastAsia="仿宋"/>
          <w:sz w:val="28"/>
          <w:szCs w:val="28"/>
          <w:highlight w:val="none"/>
        </w:rPr>
        <w:t xml:space="preserve"> 日 8 时 00 分至 2023 年 </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 xml:space="preserve">月 </w:t>
      </w:r>
      <w:r>
        <w:rPr>
          <w:rFonts w:hint="eastAsia" w:ascii="仿宋" w:hAnsi="仿宋" w:eastAsia="仿宋"/>
          <w:sz w:val="28"/>
          <w:szCs w:val="28"/>
          <w:highlight w:val="none"/>
          <w:lang w:val="en-US" w:eastAsia="zh-CN"/>
        </w:rPr>
        <w:t>19</w:t>
      </w:r>
      <w:r>
        <w:rPr>
          <w:rFonts w:hint="eastAsia" w:ascii="仿宋" w:hAnsi="仿宋" w:eastAsia="仿宋"/>
          <w:sz w:val="28"/>
          <w:szCs w:val="28"/>
          <w:highlight w:val="none"/>
        </w:rPr>
        <w:t>日 18 时 00 分，北京时间，法</w:t>
      </w:r>
      <w:r>
        <w:rPr>
          <w:rFonts w:hint="eastAsia" w:ascii="仿宋" w:hAnsi="仿宋" w:eastAsia="仿宋"/>
          <w:sz w:val="28"/>
          <w:szCs w:val="28"/>
        </w:rPr>
        <w:t>定节假日除外）中国山东政府采购网+赢标电子招标采购交易平台（菏泽专区）（http://hz.fzbidding.com）进行网上注册并</w:t>
      </w:r>
      <w:r>
        <w:rPr>
          <w:rFonts w:hint="eastAsia" w:ascii="仿宋" w:hAnsi="仿宋" w:eastAsia="仿宋"/>
          <w:sz w:val="28"/>
          <w:szCs w:val="28"/>
          <w:lang w:eastAsia="zh-CN"/>
        </w:rPr>
        <w:t>在</w:t>
      </w:r>
      <w:r>
        <w:rPr>
          <w:rFonts w:hint="eastAsia" w:ascii="仿宋" w:hAnsi="仿宋" w:eastAsia="仿宋"/>
          <w:sz w:val="28"/>
          <w:szCs w:val="28"/>
        </w:rPr>
        <w:t>赢标电子招标采购交易平台（菏泽专区）（http://hz.fzbidding.com）备案，截止时间前未在上述网站注册的或者只注册未进行网上备案的供应商不具备参与本项目的投标资格。② 潜在供应商还须在采购文件规定的时限内登录赢标电子招标采购交易平台（菏泽专区）（http://hz.fzbidding.com）下载电子版竞争性磋商文件，逾期未下载造成本项目采购活动无法参加，后果自负。③关于本项目的变更、修改、澄清、补充内容及对项目的 暂停、延期通知等情况均在发布磋商公告的媒介同时发布。供应商自行查阅网站信息， 或于开标前向代理机构电话询问确认，未按要求查阅者自行承担相应后果，恕不予单独告知。</w:t>
      </w:r>
    </w:p>
    <w:p>
      <w:pPr>
        <w:spacing w:line="360" w:lineRule="auto"/>
        <w:ind w:firstLine="280" w:firstLineChars="100"/>
        <w:rPr>
          <w:rFonts w:ascii="仿宋" w:hAnsi="仿宋" w:eastAsia="仿宋"/>
          <w:sz w:val="28"/>
          <w:szCs w:val="28"/>
        </w:rPr>
      </w:pPr>
      <w:bookmarkStart w:id="15" w:name="_Toc28359005"/>
      <w:bookmarkStart w:id="16" w:name="_Toc28359082"/>
      <w:bookmarkStart w:id="17" w:name="_Toc35393793"/>
      <w:bookmarkStart w:id="18" w:name="_Toc35393624"/>
      <w:r>
        <w:rPr>
          <w:rFonts w:hint="eastAsia" w:ascii="仿宋" w:hAnsi="仿宋" w:eastAsia="仿宋"/>
          <w:sz w:val="28"/>
          <w:szCs w:val="28"/>
        </w:rPr>
        <w:t xml:space="preserve">4.售价：0元 </w:t>
      </w:r>
    </w:p>
    <w:p>
      <w:pPr>
        <w:spacing w:line="360" w:lineRule="auto"/>
        <w:rPr>
          <w:rFonts w:ascii="黑体" w:hAnsi="黑体" w:eastAsia="黑体" w:cs="黑体"/>
          <w:sz w:val="28"/>
          <w:szCs w:val="28"/>
        </w:rPr>
      </w:pPr>
      <w:r>
        <w:rPr>
          <w:rFonts w:hint="eastAsia" w:ascii="黑体" w:hAnsi="黑体" w:eastAsia="黑体" w:cs="黑体"/>
          <w:sz w:val="28"/>
          <w:szCs w:val="28"/>
        </w:rPr>
        <w:t>四、响应文件</w:t>
      </w:r>
      <w:bookmarkEnd w:id="15"/>
      <w:bookmarkEnd w:id="16"/>
      <w:bookmarkEnd w:id="17"/>
      <w:bookmarkEnd w:id="18"/>
      <w:r>
        <w:rPr>
          <w:rFonts w:hint="eastAsia" w:ascii="黑体" w:hAnsi="黑体" w:eastAsia="黑体" w:cs="黑体"/>
          <w:sz w:val="28"/>
          <w:szCs w:val="28"/>
        </w:rPr>
        <w:t>的递交</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rPr>
        <w:t>1.截止时</w:t>
      </w:r>
      <w:r>
        <w:rPr>
          <w:rFonts w:hint="eastAsia" w:ascii="仿宋" w:hAnsi="仿宋" w:eastAsia="仿宋"/>
          <w:sz w:val="28"/>
          <w:szCs w:val="28"/>
          <w:highlight w:val="none"/>
        </w:rPr>
        <w:t>间：</w:t>
      </w:r>
      <w:r>
        <w:rPr>
          <w:rFonts w:hint="eastAsia" w:ascii="仿宋" w:hAnsi="仿宋" w:eastAsia="仿宋"/>
          <w:sz w:val="28"/>
          <w:szCs w:val="28"/>
          <w:highlight w:val="none"/>
          <w:u w:val="single"/>
        </w:rPr>
        <w:t>2023年</w:t>
      </w:r>
      <w:r>
        <w:rPr>
          <w:rFonts w:hint="eastAsia" w:ascii="仿宋" w:hAnsi="仿宋" w:eastAsia="仿宋"/>
          <w:sz w:val="28"/>
          <w:szCs w:val="28"/>
          <w:highlight w:val="none"/>
          <w:u w:val="single"/>
          <w:lang w:val="en-US" w:eastAsia="zh-CN"/>
        </w:rPr>
        <w:t>10</w:t>
      </w:r>
      <w:r>
        <w:rPr>
          <w:rFonts w:hint="eastAsia" w:ascii="仿宋" w:hAnsi="仿宋" w:eastAsia="仿宋"/>
          <w:sz w:val="28"/>
          <w:szCs w:val="28"/>
          <w:highlight w:val="none"/>
          <w:u w:val="single"/>
        </w:rPr>
        <w:t>月</w:t>
      </w:r>
      <w:r>
        <w:rPr>
          <w:rFonts w:hint="eastAsia" w:ascii="仿宋" w:hAnsi="仿宋" w:eastAsia="仿宋"/>
          <w:sz w:val="28"/>
          <w:szCs w:val="28"/>
          <w:highlight w:val="none"/>
          <w:u w:val="single"/>
          <w:lang w:val="en-US" w:eastAsia="zh-CN"/>
        </w:rPr>
        <w:t>24</w:t>
      </w:r>
      <w:r>
        <w:rPr>
          <w:rFonts w:hint="eastAsia" w:ascii="仿宋" w:hAnsi="仿宋" w:eastAsia="仿宋"/>
          <w:sz w:val="28"/>
          <w:szCs w:val="28"/>
          <w:highlight w:val="none"/>
          <w:u w:val="single"/>
        </w:rPr>
        <w:t>日</w:t>
      </w:r>
      <w:r>
        <w:rPr>
          <w:rFonts w:hint="eastAsia" w:ascii="仿宋" w:hAnsi="仿宋" w:eastAsia="仿宋"/>
          <w:sz w:val="28"/>
          <w:szCs w:val="28"/>
          <w:highlight w:val="none"/>
          <w:u w:val="single"/>
          <w:lang w:val="en-US" w:eastAsia="zh-CN"/>
        </w:rPr>
        <w:t>9</w:t>
      </w:r>
      <w:r>
        <w:rPr>
          <w:rFonts w:hint="eastAsia" w:ascii="仿宋" w:hAnsi="仿宋" w:eastAsia="仿宋"/>
          <w:sz w:val="28"/>
          <w:szCs w:val="28"/>
          <w:highlight w:val="none"/>
          <w:u w:val="single"/>
        </w:rPr>
        <w:t>时</w:t>
      </w:r>
      <w:r>
        <w:rPr>
          <w:rFonts w:hint="eastAsia" w:ascii="仿宋" w:hAnsi="仿宋" w:eastAsia="仿宋"/>
          <w:sz w:val="28"/>
          <w:szCs w:val="28"/>
          <w:highlight w:val="none"/>
          <w:u w:val="single"/>
          <w:lang w:val="en-US" w:eastAsia="zh-CN"/>
        </w:rPr>
        <w:t>0</w:t>
      </w:r>
      <w:r>
        <w:rPr>
          <w:rFonts w:hint="eastAsia" w:ascii="仿宋" w:hAnsi="仿宋" w:eastAsia="仿宋"/>
          <w:sz w:val="28"/>
          <w:szCs w:val="28"/>
          <w:highlight w:val="none"/>
          <w:u w:val="single"/>
        </w:rPr>
        <w:t>0分（北京时间）。</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2.开标时间：</w:t>
      </w:r>
      <w:r>
        <w:rPr>
          <w:rFonts w:hint="eastAsia" w:ascii="仿宋" w:hAnsi="仿宋" w:eastAsia="仿宋"/>
          <w:sz w:val="28"/>
          <w:szCs w:val="28"/>
          <w:highlight w:val="none"/>
          <w:u w:val="single"/>
        </w:rPr>
        <w:t>2023年</w:t>
      </w:r>
      <w:r>
        <w:rPr>
          <w:rFonts w:hint="eastAsia" w:ascii="仿宋" w:hAnsi="仿宋" w:eastAsia="仿宋"/>
          <w:sz w:val="28"/>
          <w:szCs w:val="28"/>
          <w:highlight w:val="none"/>
          <w:u w:val="single"/>
          <w:lang w:val="en-US" w:eastAsia="zh-CN"/>
        </w:rPr>
        <w:t>10</w:t>
      </w:r>
      <w:r>
        <w:rPr>
          <w:rFonts w:hint="eastAsia" w:ascii="仿宋" w:hAnsi="仿宋" w:eastAsia="仿宋"/>
          <w:sz w:val="28"/>
          <w:szCs w:val="28"/>
          <w:highlight w:val="none"/>
          <w:u w:val="single"/>
        </w:rPr>
        <w:t>月</w:t>
      </w:r>
      <w:r>
        <w:rPr>
          <w:rFonts w:hint="eastAsia" w:ascii="仿宋" w:hAnsi="仿宋" w:eastAsia="仿宋"/>
          <w:sz w:val="28"/>
          <w:szCs w:val="28"/>
          <w:highlight w:val="none"/>
          <w:u w:val="single"/>
          <w:lang w:val="en-US" w:eastAsia="zh-CN"/>
        </w:rPr>
        <w:t>24</w:t>
      </w:r>
      <w:r>
        <w:rPr>
          <w:rFonts w:hint="eastAsia" w:ascii="仿宋" w:hAnsi="仿宋" w:eastAsia="仿宋"/>
          <w:sz w:val="28"/>
          <w:szCs w:val="28"/>
          <w:highlight w:val="none"/>
          <w:u w:val="single"/>
        </w:rPr>
        <w:t>日</w:t>
      </w:r>
      <w:r>
        <w:rPr>
          <w:rFonts w:hint="eastAsia" w:ascii="仿宋" w:hAnsi="仿宋" w:eastAsia="仿宋"/>
          <w:sz w:val="28"/>
          <w:szCs w:val="28"/>
          <w:highlight w:val="none"/>
          <w:u w:val="single"/>
          <w:lang w:val="en-US" w:eastAsia="zh-CN"/>
        </w:rPr>
        <w:t>9</w:t>
      </w:r>
      <w:r>
        <w:rPr>
          <w:rFonts w:hint="eastAsia" w:ascii="仿宋" w:hAnsi="仿宋" w:eastAsia="仿宋"/>
          <w:sz w:val="28"/>
          <w:szCs w:val="28"/>
          <w:highlight w:val="none"/>
          <w:u w:val="single"/>
        </w:rPr>
        <w:t>时</w:t>
      </w:r>
      <w:r>
        <w:rPr>
          <w:rFonts w:hint="eastAsia" w:ascii="仿宋" w:hAnsi="仿宋" w:eastAsia="仿宋"/>
          <w:sz w:val="28"/>
          <w:szCs w:val="28"/>
          <w:highlight w:val="none"/>
          <w:u w:val="single"/>
          <w:lang w:val="en-US" w:eastAsia="zh-CN"/>
        </w:rPr>
        <w:t>0</w:t>
      </w:r>
      <w:r>
        <w:rPr>
          <w:rFonts w:hint="eastAsia" w:ascii="仿宋" w:hAnsi="仿宋" w:eastAsia="仿宋"/>
          <w:sz w:val="28"/>
          <w:szCs w:val="28"/>
          <w:highlight w:val="none"/>
          <w:u w:val="single"/>
        </w:rPr>
        <w:t>0分（北京时间）。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3.地    点：赢 标 电 子 招 标 采 购 交 易 平 台 （ 菏 泽 专 区 ） （http://hz.fzbidding.com）虚拟开标大厅开启（本项目实行远程不见面开标，供应商无需到达现场参加开标活动）。</w:t>
      </w:r>
      <w:bookmarkStart w:id="19" w:name="_Toc28359007"/>
      <w:bookmarkStart w:id="20" w:name="_Toc28359084"/>
      <w:bookmarkStart w:id="21" w:name="_Toc35393794"/>
      <w:bookmarkStart w:id="22" w:name="_Toc35393625"/>
    </w:p>
    <w:p>
      <w:pPr>
        <w:spacing w:line="360" w:lineRule="auto"/>
        <w:rPr>
          <w:rFonts w:ascii="黑体" w:hAnsi="黑体" w:eastAsia="黑体" w:cs="黑体"/>
          <w:sz w:val="28"/>
          <w:szCs w:val="28"/>
        </w:rPr>
      </w:pPr>
      <w:r>
        <w:rPr>
          <w:rFonts w:hint="eastAsia" w:ascii="黑体" w:hAnsi="黑体" w:eastAsia="黑体" w:cs="黑体"/>
          <w:sz w:val="28"/>
          <w:szCs w:val="28"/>
        </w:rPr>
        <w:t>五、公告期限</w:t>
      </w:r>
      <w:bookmarkEnd w:id="19"/>
      <w:bookmarkEnd w:id="20"/>
      <w:bookmarkEnd w:id="21"/>
      <w:bookmarkEnd w:id="22"/>
    </w:p>
    <w:p>
      <w:pPr>
        <w:spacing w:line="360" w:lineRule="auto"/>
        <w:ind w:firstLine="280" w:firstLineChars="100"/>
        <w:rPr>
          <w:rFonts w:ascii="仿宋" w:hAnsi="仿宋" w:eastAsia="仿宋"/>
          <w:sz w:val="28"/>
          <w:szCs w:val="28"/>
        </w:rPr>
      </w:pPr>
      <w:r>
        <w:rPr>
          <w:rFonts w:hint="eastAsia" w:ascii="仿宋" w:hAnsi="仿宋" w:eastAsia="仿宋"/>
          <w:sz w:val="28"/>
          <w:szCs w:val="28"/>
        </w:rPr>
        <w:t>自本公告发布之日起3个工作日。</w:t>
      </w:r>
    </w:p>
    <w:p>
      <w:pPr>
        <w:spacing w:line="360" w:lineRule="auto"/>
        <w:rPr>
          <w:rFonts w:ascii="黑体" w:hAnsi="黑体" w:eastAsia="黑体" w:cs="黑体"/>
          <w:sz w:val="28"/>
          <w:szCs w:val="28"/>
        </w:rPr>
      </w:pPr>
      <w:bookmarkStart w:id="23" w:name="_Toc35393795"/>
      <w:bookmarkStart w:id="24" w:name="_Toc35393626"/>
      <w:r>
        <w:rPr>
          <w:rFonts w:hint="eastAsia" w:ascii="黑体" w:hAnsi="黑体" w:eastAsia="黑体" w:cs="黑体"/>
          <w:sz w:val="28"/>
          <w:szCs w:val="28"/>
        </w:rPr>
        <w:t>六、其他补充事宜</w:t>
      </w:r>
      <w:bookmarkEnd w:id="23"/>
      <w:bookmarkEnd w:id="24"/>
    </w:p>
    <w:p>
      <w:pPr>
        <w:spacing w:line="360" w:lineRule="auto"/>
        <w:ind w:firstLine="280" w:firstLineChars="100"/>
        <w:rPr>
          <w:rFonts w:ascii="仿宋" w:hAnsi="仿宋" w:eastAsia="仿宋"/>
          <w:sz w:val="28"/>
          <w:szCs w:val="28"/>
        </w:rPr>
      </w:pPr>
      <w:bookmarkStart w:id="25" w:name="_Toc28359085"/>
      <w:bookmarkStart w:id="26" w:name="_Toc35393627"/>
      <w:bookmarkStart w:id="27" w:name="_Toc28359008"/>
      <w:bookmarkStart w:id="28" w:name="_Toc35393796"/>
      <w:r>
        <w:rPr>
          <w:rFonts w:hint="eastAsia" w:ascii="仿宋" w:hAnsi="仿宋" w:eastAsia="仿宋"/>
          <w:sz w:val="28"/>
          <w:szCs w:val="28"/>
        </w:rPr>
        <w:t>重要说明：</w:t>
      </w:r>
    </w:p>
    <w:p>
      <w:pPr>
        <w:spacing w:line="360" w:lineRule="auto"/>
        <w:ind w:firstLine="280" w:firstLineChars="100"/>
        <w:rPr>
          <w:rFonts w:ascii="仿宋" w:hAnsi="仿宋" w:eastAsia="仿宋"/>
          <w:sz w:val="28"/>
          <w:szCs w:val="28"/>
        </w:rPr>
      </w:pPr>
      <w:r>
        <w:rPr>
          <w:rFonts w:hint="eastAsia" w:ascii="仿宋" w:hAnsi="仿宋" w:eastAsia="仿宋"/>
          <w:sz w:val="28"/>
          <w:szCs w:val="28"/>
        </w:rPr>
        <w:t>网上交易须知：</w:t>
      </w:r>
    </w:p>
    <w:p>
      <w:pPr>
        <w:spacing w:line="360" w:lineRule="auto"/>
        <w:ind w:firstLine="280" w:firstLineChars="100"/>
        <w:rPr>
          <w:rFonts w:ascii="仿宋" w:hAnsi="仿宋" w:eastAsia="仿宋"/>
          <w:sz w:val="28"/>
          <w:szCs w:val="28"/>
        </w:rPr>
      </w:pPr>
      <w:r>
        <w:rPr>
          <w:rFonts w:hint="eastAsia" w:ascii="仿宋" w:hAnsi="仿宋" w:eastAsia="仿宋"/>
          <w:sz w:val="28"/>
          <w:szCs w:val="28"/>
        </w:rPr>
        <w:t>本次采购为电子招投标，采用远程不见面开标，全程线上举行，供应商无需到 达现场参加开标活动。提交电子响应文件需使用赢标平台——投标客户端经过ca锁进行加密，加密后生成的电子响应文件方可上传提交，网站的注册及CA的办理过程需一定时间周期，供应商务必在采购文件规定的时间内进行网站的注册及CA办理完成，以免造成投标失败。未及时进行网站注册及CA办理的供应商所造成的投标失败，后果由其自负。（企业CA办理注册请于菏泽市公共资源交易中心一楼杜经理联系，电话：15315301315）</w:t>
      </w:r>
    </w:p>
    <w:p>
      <w:pPr>
        <w:spacing w:line="360" w:lineRule="auto"/>
        <w:ind w:firstLine="280" w:firstLineChars="100"/>
        <w:rPr>
          <w:rFonts w:ascii="仿宋" w:hAnsi="仿宋" w:eastAsia="仿宋"/>
          <w:sz w:val="28"/>
          <w:szCs w:val="28"/>
        </w:rPr>
      </w:pPr>
      <w:r>
        <w:rPr>
          <w:rFonts w:hint="eastAsia" w:ascii="仿宋" w:hAnsi="仿宋" w:eastAsia="仿宋"/>
          <w:sz w:val="28"/>
          <w:szCs w:val="28"/>
        </w:rPr>
        <w:t>竞争性磋商文件一经在中国山东政府采购网、菏泽市政府采购公共服务平台、赢标平台菏泽专区http://hz.fzbidding.com发布，视作已发放给所有供应商（发布时间即为发出磋商文件的时间），各供应商应随时关注项目信息并及时相关平台下载电子版竞争性磋商文件和各类澄清答疑，否则所造成的一切后果由供应商自负。</w:t>
      </w:r>
    </w:p>
    <w:p>
      <w:pPr>
        <w:spacing w:line="360" w:lineRule="auto"/>
        <w:ind w:firstLine="280" w:firstLineChars="100"/>
        <w:rPr>
          <w:rFonts w:ascii="仿宋" w:hAnsi="仿宋" w:eastAsia="仿宋"/>
          <w:sz w:val="28"/>
          <w:szCs w:val="28"/>
        </w:rPr>
      </w:pPr>
      <w:r>
        <w:rPr>
          <w:rFonts w:hint="eastAsia" w:ascii="仿宋" w:hAnsi="仿宋" w:eastAsia="仿宋"/>
          <w:sz w:val="28"/>
          <w:szCs w:val="28"/>
        </w:rPr>
        <w:t>3、网站响应文件的制作过程需一定的学习时间，供应商务必在开标截止时间前进行投标相关文件的上传，以免造成投标失败。</w:t>
      </w:r>
    </w:p>
    <w:p>
      <w:pPr>
        <w:spacing w:line="360" w:lineRule="auto"/>
        <w:rPr>
          <w:rFonts w:ascii="黑体" w:hAnsi="黑体" w:eastAsia="黑体" w:cs="黑体"/>
          <w:sz w:val="28"/>
          <w:szCs w:val="28"/>
          <w:highlight w:val="none"/>
        </w:rPr>
      </w:pPr>
      <w:r>
        <w:rPr>
          <w:rFonts w:hint="eastAsia" w:ascii="黑体" w:hAnsi="黑体" w:eastAsia="黑体" w:cs="黑体"/>
          <w:sz w:val="28"/>
          <w:szCs w:val="28"/>
          <w:highlight w:val="none"/>
        </w:rPr>
        <w:t>七、对本次采购提出询问，请按以下方式联系</w:t>
      </w:r>
      <w:bookmarkEnd w:id="25"/>
      <w:bookmarkEnd w:id="26"/>
      <w:bookmarkEnd w:id="27"/>
      <w:bookmarkEnd w:id="28"/>
    </w:p>
    <w:p>
      <w:pPr>
        <w:spacing w:line="360" w:lineRule="auto"/>
        <w:ind w:firstLine="280" w:firstLineChars="100"/>
        <w:rPr>
          <w:rFonts w:ascii="仿宋" w:hAnsi="仿宋" w:eastAsia="仿宋"/>
          <w:sz w:val="28"/>
          <w:szCs w:val="28"/>
          <w:highlight w:val="none"/>
        </w:rPr>
      </w:pPr>
      <w:r>
        <w:rPr>
          <w:rFonts w:hint="eastAsia" w:ascii="仿宋" w:hAnsi="仿宋" w:eastAsia="仿宋"/>
          <w:sz w:val="28"/>
          <w:szCs w:val="28"/>
          <w:highlight w:val="none"/>
        </w:rPr>
        <w:t>1.采购人信息</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名称：菏泽鲁西新区教育体育服务中心</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地址：菏泽市广州路与丹阳东路交叉口北300米路西广州路中学院内</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联系方式：</w:t>
      </w:r>
      <w:bookmarkStart w:id="29" w:name="_Toc28359086"/>
      <w:bookmarkStart w:id="30" w:name="_Toc28359009"/>
      <w:r>
        <w:rPr>
          <w:rFonts w:hint="eastAsia" w:ascii="仿宋" w:hAnsi="仿宋" w:eastAsia="仿宋"/>
          <w:sz w:val="28"/>
          <w:szCs w:val="28"/>
          <w:highlight w:val="none"/>
        </w:rPr>
        <w:t>7155819</w:t>
      </w:r>
    </w:p>
    <w:p>
      <w:pPr>
        <w:spacing w:line="360" w:lineRule="auto"/>
        <w:ind w:firstLine="280" w:firstLineChars="100"/>
        <w:rPr>
          <w:rFonts w:ascii="仿宋" w:hAnsi="仿宋" w:eastAsia="仿宋"/>
          <w:sz w:val="28"/>
          <w:szCs w:val="28"/>
        </w:rPr>
      </w:pPr>
      <w:r>
        <w:rPr>
          <w:rFonts w:hint="eastAsia" w:ascii="仿宋" w:hAnsi="仿宋" w:eastAsia="仿宋"/>
          <w:sz w:val="28"/>
          <w:szCs w:val="28"/>
        </w:rPr>
        <w:t>2.采购代理机构信息</w:t>
      </w:r>
      <w:bookmarkEnd w:id="29"/>
      <w:bookmarkEnd w:id="30"/>
    </w:p>
    <w:p>
      <w:pPr>
        <w:spacing w:line="360" w:lineRule="auto"/>
        <w:ind w:firstLine="560" w:firstLineChars="200"/>
        <w:rPr>
          <w:rFonts w:ascii="仿宋" w:hAnsi="仿宋" w:eastAsia="仿宋"/>
          <w:sz w:val="28"/>
          <w:szCs w:val="28"/>
        </w:rPr>
      </w:pPr>
      <w:r>
        <w:rPr>
          <w:rFonts w:hint="eastAsia" w:ascii="仿宋" w:hAnsi="仿宋" w:eastAsia="仿宋"/>
          <w:sz w:val="28"/>
          <w:szCs w:val="28"/>
        </w:rPr>
        <w:t>名称：山东晟菖宏项目管理有限公司</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地址：菏泽市经济开发区丹阳街道府东路155号军培中心A座201室</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联系方式：</w:t>
      </w:r>
      <w:bookmarkStart w:id="31" w:name="_Toc28359087"/>
      <w:bookmarkStart w:id="32" w:name="_Toc28359010"/>
      <w:r>
        <w:rPr>
          <w:rFonts w:hint="eastAsia" w:ascii="仿宋" w:hAnsi="仿宋" w:eastAsia="仿宋"/>
          <w:sz w:val="28"/>
          <w:szCs w:val="28"/>
        </w:rPr>
        <w:t>19963006050</w:t>
      </w:r>
    </w:p>
    <w:p>
      <w:pPr>
        <w:spacing w:line="360" w:lineRule="auto"/>
        <w:ind w:firstLine="280" w:firstLineChars="100"/>
        <w:rPr>
          <w:rFonts w:ascii="仿宋" w:hAnsi="仿宋" w:eastAsia="仿宋"/>
          <w:sz w:val="28"/>
          <w:szCs w:val="28"/>
        </w:rPr>
      </w:pPr>
      <w:r>
        <w:rPr>
          <w:rFonts w:hint="eastAsia" w:ascii="仿宋" w:hAnsi="仿宋" w:eastAsia="仿宋"/>
          <w:sz w:val="28"/>
          <w:szCs w:val="28"/>
        </w:rPr>
        <w:t>3.项目联系方式</w:t>
      </w:r>
      <w:bookmarkEnd w:id="31"/>
      <w:bookmarkEnd w:id="32"/>
    </w:p>
    <w:p>
      <w:pPr>
        <w:spacing w:line="360" w:lineRule="auto"/>
        <w:ind w:firstLine="560" w:firstLineChars="200"/>
        <w:rPr>
          <w:rFonts w:ascii="仿宋" w:hAnsi="仿宋" w:eastAsia="仿宋"/>
          <w:sz w:val="28"/>
          <w:szCs w:val="28"/>
        </w:rPr>
      </w:pPr>
      <w:r>
        <w:rPr>
          <w:rFonts w:hint="eastAsia" w:ascii="仿宋" w:hAnsi="仿宋" w:eastAsia="仿宋"/>
          <w:sz w:val="28"/>
          <w:szCs w:val="28"/>
        </w:rPr>
        <w:t>项目联系人：山东晟菖宏项目管理有限公司</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电话：19963006050</w:t>
      </w:r>
    </w:p>
    <w:p>
      <w:pPr>
        <w:spacing w:line="360" w:lineRule="auto"/>
        <w:ind w:firstLine="280" w:firstLineChars="100"/>
        <w:jc w:val="right"/>
        <w:rPr>
          <w:rFonts w:ascii="仿宋" w:hAnsi="仿宋" w:eastAsia="仿宋"/>
          <w:sz w:val="28"/>
          <w:szCs w:val="28"/>
        </w:rPr>
      </w:pPr>
      <w:r>
        <w:rPr>
          <w:rFonts w:hint="eastAsia" w:ascii="仿宋" w:hAnsi="仿宋" w:eastAsia="仿宋"/>
          <w:sz w:val="28"/>
          <w:szCs w:val="28"/>
        </w:rPr>
        <w:t xml:space="preserve">发布人：邵岩     </w:t>
      </w:r>
    </w:p>
    <w:p>
      <w:pPr>
        <w:spacing w:line="360" w:lineRule="auto"/>
        <w:ind w:firstLine="280" w:firstLineChars="100"/>
        <w:jc w:val="right"/>
        <w:rPr>
          <w:rFonts w:ascii="仿宋" w:hAnsi="仿宋" w:eastAsia="仿宋"/>
          <w:sz w:val="28"/>
          <w:szCs w:val="28"/>
          <w:highlight w:val="none"/>
        </w:rPr>
      </w:pPr>
      <w:r>
        <w:rPr>
          <w:rFonts w:hint="eastAsia" w:ascii="仿宋" w:hAnsi="仿宋" w:eastAsia="仿宋"/>
          <w:sz w:val="28"/>
          <w:szCs w:val="28"/>
          <w:highlight w:val="none"/>
        </w:rPr>
        <w:t>发布时间：2023年</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12</w:t>
      </w:r>
      <w:r>
        <w:rPr>
          <w:rFonts w:hint="eastAsia" w:ascii="仿宋" w:hAnsi="仿宋" w:eastAsia="仿宋"/>
          <w:sz w:val="28"/>
          <w:szCs w:val="28"/>
          <w:highlight w:val="none"/>
        </w:rPr>
        <w:t>日</w:t>
      </w:r>
    </w:p>
    <w:p>
      <w:pPr>
        <w:jc w:val="center"/>
        <w:rPr>
          <w:rStyle w:val="43"/>
          <w:rFonts w:ascii="宋体" w:hAnsi="宋体" w:eastAsia="宋体" w:cs="宋体"/>
          <w:sz w:val="32"/>
          <w:szCs w:val="32"/>
        </w:rPr>
      </w:pPr>
      <w:r>
        <w:rPr>
          <w:rFonts w:hint="eastAsia"/>
          <w:b/>
          <w:bCs/>
          <w:sz w:val="44"/>
          <w:szCs w:val="44"/>
        </w:rPr>
        <w:br w:type="page"/>
      </w:r>
      <w:bookmarkStart w:id="33" w:name="_Toc13737"/>
      <w:r>
        <w:rPr>
          <w:rStyle w:val="43"/>
          <w:rFonts w:hint="eastAsia" w:ascii="宋体" w:hAnsi="宋体" w:eastAsia="宋体" w:cs="宋体"/>
          <w:sz w:val="32"/>
          <w:szCs w:val="32"/>
        </w:rPr>
        <w:t>第二章 供应商须知</w:t>
      </w:r>
    </w:p>
    <w:bookmarkEnd w:id="33"/>
    <w:p>
      <w:pPr>
        <w:jc w:val="center"/>
        <w:rPr>
          <w:rFonts w:ascii="宋体" w:hAnsi="宋体"/>
          <w:b/>
          <w:bCs/>
          <w:sz w:val="32"/>
          <w:szCs w:val="32"/>
        </w:rPr>
      </w:pPr>
      <w:r>
        <w:rPr>
          <w:rFonts w:hint="eastAsia" w:ascii="宋体" w:hAnsi="宋体"/>
          <w:b/>
          <w:bCs/>
          <w:sz w:val="32"/>
          <w:szCs w:val="32"/>
        </w:rPr>
        <w:t>供应商须知前附表</w:t>
      </w:r>
    </w:p>
    <w:tbl>
      <w:tblPr>
        <w:tblStyle w:val="25"/>
        <w:tblpPr w:leftFromText="180" w:rightFromText="180" w:vertAnchor="text" w:horzAnchor="page" w:tblpXSpec="center" w:tblpY="443"/>
        <w:tblOverlap w:val="never"/>
        <w:tblW w:w="10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46"/>
        <w:gridCol w:w="7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noWrap/>
            <w:vAlign w:val="center"/>
          </w:tcPr>
          <w:p>
            <w:pPr>
              <w:spacing w:line="340" w:lineRule="atLeast"/>
              <w:jc w:val="center"/>
              <w:rPr>
                <w:rFonts w:ascii="宋体" w:hAnsi="宋体"/>
                <w:b/>
                <w:bCs/>
                <w:sz w:val="24"/>
              </w:rPr>
            </w:pPr>
            <w:r>
              <w:rPr>
                <w:rFonts w:hint="eastAsia" w:ascii="宋体" w:hAnsi="宋体"/>
                <w:b/>
                <w:bCs/>
                <w:sz w:val="24"/>
              </w:rPr>
              <w:t>条款号</w:t>
            </w:r>
          </w:p>
        </w:tc>
        <w:tc>
          <w:tcPr>
            <w:tcW w:w="1746" w:type="dxa"/>
            <w:noWrap/>
            <w:vAlign w:val="center"/>
          </w:tcPr>
          <w:p>
            <w:pPr>
              <w:spacing w:line="340" w:lineRule="atLeast"/>
              <w:jc w:val="center"/>
              <w:rPr>
                <w:rFonts w:ascii="宋体" w:hAnsi="宋体"/>
                <w:b/>
                <w:bCs/>
                <w:sz w:val="24"/>
              </w:rPr>
            </w:pPr>
            <w:r>
              <w:rPr>
                <w:rFonts w:hint="eastAsia" w:ascii="宋体" w:hAnsi="宋体"/>
                <w:b/>
                <w:bCs/>
                <w:sz w:val="24"/>
              </w:rPr>
              <w:t>条款名称</w:t>
            </w:r>
          </w:p>
        </w:tc>
        <w:tc>
          <w:tcPr>
            <w:tcW w:w="7570" w:type="dxa"/>
            <w:noWrap/>
            <w:vAlign w:val="center"/>
          </w:tcPr>
          <w:p>
            <w:pPr>
              <w:spacing w:line="340" w:lineRule="atLeast"/>
              <w:jc w:val="center"/>
              <w:rPr>
                <w:rFonts w:ascii="宋体" w:hAnsi="宋体"/>
                <w:b/>
                <w:bCs/>
                <w:sz w:val="24"/>
              </w:rPr>
            </w:pPr>
            <w:r>
              <w:rPr>
                <w:rFonts w:hint="eastAsia" w:ascii="宋体" w:hAnsi="宋体"/>
                <w:b/>
                <w:bCs/>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1</w:t>
            </w:r>
          </w:p>
        </w:tc>
        <w:tc>
          <w:tcPr>
            <w:tcW w:w="1746" w:type="dxa"/>
            <w:noWrap/>
            <w:vAlign w:val="center"/>
          </w:tcPr>
          <w:p>
            <w:pPr>
              <w:spacing w:line="340" w:lineRule="atLeast"/>
              <w:ind w:firstLine="240" w:firstLineChars="100"/>
              <w:rPr>
                <w:rFonts w:ascii="宋体" w:hAnsi="宋体" w:cs="宋体"/>
                <w:sz w:val="24"/>
              </w:rPr>
            </w:pPr>
            <w:r>
              <w:rPr>
                <w:rFonts w:hint="eastAsia" w:ascii="宋体" w:hAnsi="宋体" w:cs="宋体"/>
                <w:sz w:val="24"/>
              </w:rPr>
              <w:t>采购人</w:t>
            </w:r>
          </w:p>
        </w:tc>
        <w:tc>
          <w:tcPr>
            <w:tcW w:w="7570" w:type="dxa"/>
            <w:noWrap/>
            <w:vAlign w:val="center"/>
          </w:tcPr>
          <w:p>
            <w:pPr>
              <w:spacing w:line="340" w:lineRule="atLeast"/>
              <w:jc w:val="left"/>
              <w:rPr>
                <w:rFonts w:ascii="宋体" w:hAnsi="宋体" w:cs="宋体"/>
                <w:sz w:val="24"/>
              </w:rPr>
            </w:pPr>
            <w:r>
              <w:rPr>
                <w:rFonts w:hint="eastAsia" w:ascii="宋体" w:hAnsi="宋体" w:cs="宋体"/>
                <w:sz w:val="24"/>
              </w:rPr>
              <w:t>名</w:t>
            </w:r>
            <w:r>
              <w:rPr>
                <w:rFonts w:hint="eastAsia" w:ascii="宋体" w:hAnsi="宋体" w:eastAsia="宋体" w:cs="宋体"/>
                <w:sz w:val="24"/>
              </w:rPr>
              <w:t>称：菏泽鲁西新区教育体育服务中心</w:t>
            </w:r>
          </w:p>
          <w:p>
            <w:pPr>
              <w:spacing w:line="340" w:lineRule="atLeast"/>
              <w:jc w:val="left"/>
              <w:rPr>
                <w:rFonts w:ascii="宋体" w:hAnsi="宋体" w:cs="宋体"/>
                <w:sz w:val="24"/>
              </w:rPr>
            </w:pPr>
            <w:r>
              <w:rPr>
                <w:rFonts w:hint="eastAsia" w:ascii="宋体" w:hAnsi="宋体" w:cs="宋体"/>
                <w:sz w:val="24"/>
              </w:rPr>
              <w:t>地址：菏泽市广州路与丹阳东路交叉口北300米路西广州路中学院内</w:t>
            </w:r>
          </w:p>
          <w:p>
            <w:pPr>
              <w:spacing w:line="340" w:lineRule="atLeast"/>
              <w:jc w:val="left"/>
              <w:rPr>
                <w:rFonts w:ascii="宋体" w:hAnsi="宋体" w:cs="宋体"/>
                <w:sz w:val="24"/>
              </w:rPr>
            </w:pPr>
            <w:r>
              <w:rPr>
                <w:rFonts w:hint="eastAsia" w:ascii="宋体" w:hAnsi="宋体" w:cs="宋体"/>
                <w:sz w:val="24"/>
              </w:rPr>
              <w:t>联系人：季海涵</w:t>
            </w:r>
          </w:p>
          <w:p>
            <w:pPr>
              <w:spacing w:line="340" w:lineRule="atLeast"/>
              <w:jc w:val="left"/>
              <w:rPr>
                <w:rFonts w:ascii="宋体" w:hAnsi="宋体" w:cs="宋体"/>
                <w:sz w:val="24"/>
              </w:rPr>
            </w:pPr>
            <w:r>
              <w:rPr>
                <w:rFonts w:hint="eastAsia" w:ascii="宋体" w:hAnsi="宋体" w:cs="宋体"/>
                <w:sz w:val="24"/>
              </w:rPr>
              <w:t>联系方式：0530-7155819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2</w:t>
            </w:r>
          </w:p>
        </w:tc>
        <w:tc>
          <w:tcPr>
            <w:tcW w:w="1746" w:type="dxa"/>
            <w:noWrap/>
            <w:vAlign w:val="center"/>
          </w:tcPr>
          <w:p>
            <w:pPr>
              <w:spacing w:line="340" w:lineRule="atLeast"/>
              <w:jc w:val="center"/>
              <w:rPr>
                <w:rFonts w:ascii="宋体" w:hAnsi="宋体" w:cs="宋体"/>
                <w:sz w:val="24"/>
              </w:rPr>
            </w:pPr>
            <w:r>
              <w:rPr>
                <w:rFonts w:hint="eastAsia" w:ascii="宋体" w:hAnsi="宋体" w:cs="宋体"/>
                <w:sz w:val="24"/>
              </w:rPr>
              <w:t>采购代理机构</w:t>
            </w:r>
          </w:p>
        </w:tc>
        <w:tc>
          <w:tcPr>
            <w:tcW w:w="7570" w:type="dxa"/>
            <w:noWrap/>
            <w:vAlign w:val="center"/>
          </w:tcPr>
          <w:p>
            <w:pPr>
              <w:spacing w:line="340" w:lineRule="atLeast"/>
              <w:jc w:val="left"/>
              <w:rPr>
                <w:rFonts w:ascii="宋体" w:hAnsi="宋体" w:cs="宋体"/>
                <w:sz w:val="24"/>
              </w:rPr>
            </w:pPr>
            <w:r>
              <w:rPr>
                <w:rFonts w:hint="eastAsia" w:ascii="宋体" w:hAnsi="宋体" w:cs="宋体"/>
                <w:sz w:val="24"/>
              </w:rPr>
              <w:t>名称：山东晟菖宏项目管理有限公司</w:t>
            </w:r>
          </w:p>
          <w:p>
            <w:pPr>
              <w:spacing w:line="340" w:lineRule="atLeast"/>
              <w:jc w:val="left"/>
              <w:rPr>
                <w:rFonts w:ascii="宋体" w:hAnsi="宋体" w:cs="宋体"/>
                <w:sz w:val="24"/>
              </w:rPr>
            </w:pPr>
            <w:r>
              <w:rPr>
                <w:rFonts w:hint="eastAsia" w:ascii="宋体" w:hAnsi="宋体" w:cs="宋体"/>
                <w:sz w:val="24"/>
              </w:rPr>
              <w:t>地址：菏泽市经济开发区丹阳街道府东路155号军培中心A座201室</w:t>
            </w:r>
          </w:p>
          <w:p>
            <w:pPr>
              <w:spacing w:line="340" w:lineRule="atLeast"/>
              <w:jc w:val="left"/>
              <w:rPr>
                <w:rFonts w:ascii="宋体" w:hAnsi="宋体" w:cs="宋体"/>
                <w:sz w:val="24"/>
              </w:rPr>
            </w:pPr>
            <w:r>
              <w:rPr>
                <w:rFonts w:hint="eastAsia" w:ascii="宋体" w:hAnsi="宋体" w:cs="宋体"/>
                <w:sz w:val="24"/>
              </w:rPr>
              <w:t>项目联系人：邵岩</w:t>
            </w:r>
          </w:p>
          <w:p>
            <w:pPr>
              <w:spacing w:line="340" w:lineRule="atLeast"/>
              <w:jc w:val="left"/>
              <w:rPr>
                <w:rFonts w:ascii="宋体" w:hAnsi="宋体" w:cs="宋体"/>
                <w:sz w:val="24"/>
              </w:rPr>
            </w:pPr>
            <w:r>
              <w:rPr>
                <w:rFonts w:hint="eastAsia" w:ascii="宋体" w:hAnsi="宋体" w:cs="宋体"/>
                <w:sz w:val="24"/>
              </w:rPr>
              <w:t>电话：19963006050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4" w:type="dxa"/>
            <w:noWrap/>
          </w:tcPr>
          <w:p>
            <w:pPr>
              <w:jc w:val="center"/>
              <w:rPr>
                <w:rFonts w:ascii="宋体" w:hAnsi="宋体" w:cs="宋体"/>
                <w:sz w:val="24"/>
              </w:rPr>
            </w:pPr>
            <w:r>
              <w:rPr>
                <w:rFonts w:hint="eastAsia" w:ascii="宋体" w:hAnsi="宋体" w:cs="宋体"/>
                <w:sz w:val="24"/>
              </w:rPr>
              <w:t>3</w:t>
            </w:r>
          </w:p>
        </w:tc>
        <w:tc>
          <w:tcPr>
            <w:tcW w:w="1746" w:type="dxa"/>
            <w:noWrap/>
            <w:vAlign w:val="center"/>
          </w:tcPr>
          <w:p>
            <w:pPr>
              <w:jc w:val="center"/>
              <w:rPr>
                <w:rFonts w:ascii="宋体" w:hAnsi="宋体" w:cs="宋体"/>
                <w:sz w:val="24"/>
              </w:rPr>
            </w:pPr>
            <w:r>
              <w:rPr>
                <w:rFonts w:hint="eastAsia" w:ascii="宋体" w:hAnsi="宋体" w:cs="宋体"/>
                <w:sz w:val="24"/>
              </w:rPr>
              <w:t>项目名称</w:t>
            </w:r>
          </w:p>
        </w:tc>
        <w:tc>
          <w:tcPr>
            <w:tcW w:w="7570" w:type="dxa"/>
            <w:noWrap/>
            <w:vAlign w:val="center"/>
          </w:tcPr>
          <w:p>
            <w:pPr>
              <w:jc w:val="left"/>
              <w:rPr>
                <w:rFonts w:ascii="宋体" w:hAnsi="宋体" w:cs="宋体"/>
                <w:sz w:val="24"/>
              </w:rPr>
            </w:pPr>
            <w:r>
              <w:rPr>
                <w:rFonts w:hint="eastAsia" w:ascii="宋体" w:hAnsi="宋体" w:cs="宋体"/>
                <w:sz w:val="24"/>
              </w:rPr>
              <w:t>菏泽鲁西新区2023年幼儿园厨房设备及空调采购项目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4" w:type="dxa"/>
            <w:noWrap/>
          </w:tcPr>
          <w:p>
            <w:pPr>
              <w:jc w:val="center"/>
              <w:rPr>
                <w:rFonts w:ascii="宋体" w:hAnsi="宋体" w:cs="宋体"/>
                <w:sz w:val="24"/>
              </w:rPr>
            </w:pPr>
            <w:r>
              <w:rPr>
                <w:rFonts w:hint="eastAsia" w:ascii="宋体" w:hAnsi="宋体" w:cs="宋体"/>
                <w:sz w:val="24"/>
              </w:rPr>
              <w:t>4</w:t>
            </w:r>
          </w:p>
        </w:tc>
        <w:tc>
          <w:tcPr>
            <w:tcW w:w="1746" w:type="dxa"/>
            <w:noWrap/>
            <w:vAlign w:val="center"/>
          </w:tcPr>
          <w:p>
            <w:pPr>
              <w:jc w:val="center"/>
              <w:rPr>
                <w:rFonts w:ascii="宋体" w:hAnsi="宋体" w:cs="宋体"/>
                <w:sz w:val="24"/>
              </w:rPr>
            </w:pPr>
            <w:r>
              <w:rPr>
                <w:rFonts w:hint="eastAsia" w:ascii="宋体" w:hAnsi="宋体" w:cs="宋体"/>
                <w:sz w:val="24"/>
              </w:rPr>
              <w:t>资金来源</w:t>
            </w:r>
          </w:p>
        </w:tc>
        <w:tc>
          <w:tcPr>
            <w:tcW w:w="7570" w:type="dxa"/>
            <w:noWrap/>
            <w:vAlign w:val="center"/>
          </w:tcPr>
          <w:p>
            <w:pPr>
              <w:jc w:val="left"/>
              <w:rPr>
                <w:rFonts w:ascii="宋体" w:hAnsi="宋体" w:cs="宋体"/>
                <w:sz w:val="24"/>
              </w:rPr>
            </w:pPr>
            <w:r>
              <w:rPr>
                <w:rFonts w:hint="eastAsia" w:ascii="宋体" w:hAnsi="宋体" w:cs="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34" w:type="dxa"/>
            <w:noWrap/>
          </w:tcPr>
          <w:p>
            <w:pPr>
              <w:jc w:val="center"/>
              <w:rPr>
                <w:rFonts w:ascii="宋体" w:hAnsi="宋体" w:cs="宋体"/>
                <w:sz w:val="24"/>
              </w:rPr>
            </w:pPr>
            <w:r>
              <w:rPr>
                <w:rFonts w:hint="eastAsia" w:ascii="宋体" w:hAnsi="宋体" w:cs="宋体"/>
                <w:sz w:val="24"/>
              </w:rPr>
              <w:t>5</w:t>
            </w:r>
          </w:p>
        </w:tc>
        <w:tc>
          <w:tcPr>
            <w:tcW w:w="1746" w:type="dxa"/>
            <w:noWrap/>
            <w:vAlign w:val="center"/>
          </w:tcPr>
          <w:p>
            <w:pPr>
              <w:jc w:val="center"/>
              <w:rPr>
                <w:rFonts w:ascii="宋体" w:hAnsi="宋体" w:cs="宋体"/>
                <w:sz w:val="24"/>
              </w:rPr>
            </w:pPr>
            <w:r>
              <w:rPr>
                <w:rFonts w:hint="eastAsia" w:ascii="宋体" w:hAnsi="宋体" w:cs="宋体"/>
                <w:sz w:val="24"/>
              </w:rPr>
              <w:t>服务内容</w:t>
            </w:r>
          </w:p>
        </w:tc>
        <w:tc>
          <w:tcPr>
            <w:tcW w:w="7570" w:type="dxa"/>
            <w:noWrap/>
            <w:vAlign w:val="center"/>
          </w:tcPr>
          <w:p>
            <w:pPr>
              <w:jc w:val="left"/>
              <w:rPr>
                <w:rFonts w:ascii="宋体" w:hAnsi="宋体" w:cs="宋体"/>
                <w:sz w:val="24"/>
              </w:rPr>
            </w:pPr>
            <w:r>
              <w:rPr>
                <w:rFonts w:hint="eastAsia" w:ascii="宋体" w:hAnsi="宋体" w:cs="宋体"/>
                <w:sz w:val="24"/>
              </w:rPr>
              <w:t>幼儿园厨房设备及空调采购（具体内容详见磋商文件第五章项目说明及要求）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4" w:type="dxa"/>
            <w:noWrap/>
          </w:tcPr>
          <w:p>
            <w:pPr>
              <w:jc w:val="center"/>
              <w:rPr>
                <w:rFonts w:ascii="宋体" w:hAnsi="宋体" w:cs="宋体"/>
                <w:sz w:val="24"/>
              </w:rPr>
            </w:pPr>
            <w:r>
              <w:rPr>
                <w:rFonts w:hint="eastAsia" w:ascii="宋体" w:hAnsi="宋体" w:cs="宋体"/>
                <w:sz w:val="24"/>
              </w:rPr>
              <w:t>6</w:t>
            </w:r>
          </w:p>
        </w:tc>
        <w:tc>
          <w:tcPr>
            <w:tcW w:w="1746" w:type="dxa"/>
            <w:noWrap/>
            <w:vAlign w:val="center"/>
          </w:tcPr>
          <w:p>
            <w:pPr>
              <w:jc w:val="center"/>
              <w:rPr>
                <w:rFonts w:ascii="宋体" w:hAnsi="宋体" w:cs="宋体"/>
                <w:sz w:val="24"/>
              </w:rPr>
            </w:pPr>
            <w:r>
              <w:rPr>
                <w:rFonts w:hint="eastAsia" w:ascii="宋体" w:hAnsi="宋体" w:cs="宋体"/>
                <w:sz w:val="24"/>
              </w:rPr>
              <w:t>供货地点</w:t>
            </w:r>
          </w:p>
        </w:tc>
        <w:tc>
          <w:tcPr>
            <w:tcW w:w="7570" w:type="dxa"/>
            <w:noWrap/>
            <w:vAlign w:val="center"/>
          </w:tcPr>
          <w:p>
            <w:pPr>
              <w:jc w:val="left"/>
              <w:rPr>
                <w:rFonts w:ascii="宋体" w:hAnsi="宋体" w:cs="宋体"/>
                <w:sz w:val="24"/>
              </w:rPr>
            </w:pPr>
            <w:r>
              <w:rPr>
                <w:rFonts w:hint="eastAsia" w:ascii="宋体" w:hAnsi="宋体" w:cs="宋体"/>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4" w:type="dxa"/>
            <w:noWrap/>
          </w:tcPr>
          <w:p>
            <w:pPr>
              <w:jc w:val="center"/>
              <w:rPr>
                <w:rFonts w:ascii="宋体" w:hAnsi="宋体" w:cs="宋体"/>
                <w:sz w:val="24"/>
              </w:rPr>
            </w:pPr>
            <w:r>
              <w:rPr>
                <w:rFonts w:hint="eastAsia" w:ascii="宋体" w:hAnsi="宋体" w:cs="宋体"/>
                <w:sz w:val="24"/>
              </w:rPr>
              <w:t>7</w:t>
            </w:r>
          </w:p>
        </w:tc>
        <w:tc>
          <w:tcPr>
            <w:tcW w:w="1746" w:type="dxa"/>
            <w:noWrap/>
            <w:vAlign w:val="center"/>
          </w:tcPr>
          <w:p>
            <w:pPr>
              <w:jc w:val="center"/>
              <w:rPr>
                <w:rFonts w:ascii="宋体" w:hAnsi="宋体" w:cs="宋体"/>
                <w:sz w:val="24"/>
              </w:rPr>
            </w:pPr>
            <w:r>
              <w:rPr>
                <w:rFonts w:hint="eastAsia" w:ascii="宋体" w:hAnsi="宋体" w:cs="宋体"/>
                <w:sz w:val="24"/>
              </w:rPr>
              <w:t>供货安装期</w:t>
            </w:r>
          </w:p>
        </w:tc>
        <w:tc>
          <w:tcPr>
            <w:tcW w:w="7570" w:type="dxa"/>
            <w:noWrap/>
            <w:vAlign w:val="center"/>
          </w:tcPr>
          <w:p>
            <w:pPr>
              <w:jc w:val="left"/>
              <w:rPr>
                <w:rFonts w:ascii="宋体" w:hAnsi="宋体" w:cs="宋体"/>
                <w:sz w:val="24"/>
              </w:rPr>
            </w:pPr>
            <w:r>
              <w:rPr>
                <w:rFonts w:hint="eastAsia" w:asciiTheme="minorEastAsia" w:hAnsiTheme="minorEastAsia" w:eastAsiaTheme="minorEastAsia" w:cstheme="minorEastAsia"/>
                <w:sz w:val="24"/>
              </w:rPr>
              <w:t>签订合同后30日历天内供货安装完成并验收合格。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4" w:type="dxa"/>
            <w:noWrap/>
          </w:tcPr>
          <w:p>
            <w:pPr>
              <w:jc w:val="center"/>
              <w:rPr>
                <w:rFonts w:ascii="宋体" w:hAnsi="宋体" w:cs="宋体"/>
                <w:sz w:val="24"/>
              </w:rPr>
            </w:pPr>
            <w:r>
              <w:rPr>
                <w:rFonts w:hint="eastAsia" w:ascii="宋体" w:hAnsi="宋体" w:cs="宋体"/>
                <w:sz w:val="24"/>
              </w:rPr>
              <w:t>8</w:t>
            </w:r>
          </w:p>
        </w:tc>
        <w:tc>
          <w:tcPr>
            <w:tcW w:w="1746" w:type="dxa"/>
            <w:noWrap/>
            <w:vAlign w:val="center"/>
          </w:tcPr>
          <w:p>
            <w:pPr>
              <w:jc w:val="center"/>
              <w:rPr>
                <w:rFonts w:ascii="宋体" w:hAnsi="宋体" w:cs="宋体"/>
                <w:sz w:val="24"/>
              </w:rPr>
            </w:pPr>
            <w:r>
              <w:rPr>
                <w:rFonts w:hint="eastAsia" w:ascii="宋体" w:hAnsi="宋体" w:cs="宋体"/>
                <w:sz w:val="24"/>
              </w:rPr>
              <w:t>质量要求</w:t>
            </w:r>
          </w:p>
        </w:tc>
        <w:tc>
          <w:tcPr>
            <w:tcW w:w="7570" w:type="dxa"/>
            <w:noWrap/>
            <w:vAlign w:val="center"/>
          </w:tcPr>
          <w:p>
            <w:pPr>
              <w:jc w:val="left"/>
              <w:rPr>
                <w:rFonts w:ascii="宋体" w:hAnsi="宋体" w:cs="宋体"/>
                <w:sz w:val="24"/>
              </w:rPr>
            </w:pPr>
            <w:r>
              <w:rPr>
                <w:rFonts w:hint="eastAsia" w:ascii="宋体" w:hAnsi="宋体" w:cs="宋体"/>
                <w:kern w:val="0"/>
                <w:sz w:val="24"/>
              </w:rPr>
              <w:t>满足采购人要求，符合国家、行业最新标准。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734" w:type="dxa"/>
            <w:noWrap/>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r>
              <w:rPr>
                <w:rFonts w:hint="eastAsia" w:ascii="宋体" w:hAnsi="宋体" w:cs="宋体"/>
                <w:sz w:val="24"/>
              </w:rPr>
              <w:t>9</w:t>
            </w:r>
          </w:p>
        </w:tc>
        <w:tc>
          <w:tcPr>
            <w:tcW w:w="1746" w:type="dxa"/>
            <w:noWrap/>
            <w:vAlign w:val="center"/>
          </w:tcPr>
          <w:p>
            <w:pPr>
              <w:jc w:val="center"/>
              <w:rPr>
                <w:rFonts w:ascii="宋体" w:hAnsi="宋体" w:cs="宋体"/>
                <w:sz w:val="24"/>
              </w:rPr>
            </w:pPr>
            <w:r>
              <w:rPr>
                <w:rFonts w:hint="eastAsia" w:ascii="宋体" w:hAnsi="宋体" w:cs="宋体"/>
                <w:sz w:val="24"/>
              </w:rPr>
              <w:t>供应商资格要求</w:t>
            </w:r>
          </w:p>
        </w:tc>
        <w:tc>
          <w:tcPr>
            <w:tcW w:w="7570" w:type="dxa"/>
            <w:noWrap/>
            <w:vAlign w:val="center"/>
          </w:tcPr>
          <w:p>
            <w:pPr>
              <w:spacing w:line="340" w:lineRule="atLeast"/>
              <w:jc w:val="left"/>
              <w:rPr>
                <w:rFonts w:ascii="宋体" w:hAnsi="宋体" w:cs="宋体"/>
                <w:sz w:val="24"/>
              </w:rPr>
            </w:pPr>
            <w:r>
              <w:rPr>
                <w:rFonts w:hint="eastAsia" w:ascii="宋体" w:hAnsi="宋体" w:cs="宋体"/>
                <w:sz w:val="24"/>
              </w:rPr>
              <w:t>1.满足《中华人民共和国政府采购法》第二十二条规定；</w:t>
            </w:r>
          </w:p>
          <w:p>
            <w:pPr>
              <w:spacing w:line="340" w:lineRule="atLeast"/>
              <w:jc w:val="left"/>
              <w:rPr>
                <w:rFonts w:ascii="宋体" w:hAnsi="宋体" w:cs="宋体"/>
                <w:sz w:val="24"/>
              </w:rPr>
            </w:pPr>
            <w:r>
              <w:rPr>
                <w:rFonts w:hint="eastAsia" w:ascii="宋体" w:hAnsi="宋体" w:cs="宋体"/>
                <w:sz w:val="24"/>
              </w:rPr>
              <w:t>2.落实政府采购政策需满足的资格要求：</w:t>
            </w:r>
          </w:p>
          <w:p>
            <w:pPr>
              <w:spacing w:line="340" w:lineRule="atLeast"/>
              <w:jc w:val="left"/>
              <w:rPr>
                <w:rFonts w:ascii="宋体" w:hAnsi="宋体" w:cs="宋体"/>
                <w:sz w:val="24"/>
              </w:rPr>
            </w:pPr>
            <w:r>
              <w:rPr>
                <w:rFonts w:hint="eastAsia" w:ascii="宋体" w:hAnsi="宋体" w:cs="宋体"/>
                <w:sz w:val="24"/>
              </w:rPr>
              <w:t>2.1《中小企业划型标准规定》（工信部联企业【2011】300号）；</w:t>
            </w:r>
          </w:p>
          <w:p>
            <w:pPr>
              <w:spacing w:line="340" w:lineRule="atLeast"/>
              <w:jc w:val="left"/>
              <w:rPr>
                <w:rFonts w:ascii="宋体" w:hAnsi="宋体" w:cs="宋体"/>
                <w:sz w:val="24"/>
              </w:rPr>
            </w:pPr>
            <w:r>
              <w:rPr>
                <w:rFonts w:hint="eastAsia" w:ascii="宋体" w:hAnsi="宋体" w:cs="宋体"/>
                <w:sz w:val="24"/>
              </w:rPr>
              <w:t>2.2按照《财政部、工业和信息化部关于印发&lt;政府采购促进中小企业发展管理办法&gt;的通知》（财库〔2020〕46号）要求，本项目专门面向中小企业采购，供应商必须出具《中小企业声明函》；</w:t>
            </w:r>
          </w:p>
          <w:p>
            <w:pPr>
              <w:spacing w:line="340" w:lineRule="atLeast"/>
              <w:jc w:val="left"/>
              <w:rPr>
                <w:rFonts w:ascii="宋体" w:hAnsi="宋体" w:cs="宋体"/>
                <w:sz w:val="24"/>
              </w:rPr>
            </w:pPr>
            <w:r>
              <w:rPr>
                <w:rFonts w:hint="eastAsia" w:ascii="宋体" w:hAnsi="宋体" w:cs="宋体"/>
                <w:sz w:val="24"/>
              </w:rPr>
              <w:t>2.3财政部、民政部、中国残疾人联合会《关于促进残疾人就业政府采购政策的通知》（财库【2017】141号）；</w:t>
            </w:r>
          </w:p>
          <w:p>
            <w:pPr>
              <w:spacing w:line="340" w:lineRule="atLeast"/>
              <w:jc w:val="left"/>
              <w:rPr>
                <w:rFonts w:ascii="宋体" w:hAnsi="宋体" w:cs="宋体"/>
                <w:sz w:val="24"/>
              </w:rPr>
            </w:pPr>
            <w:r>
              <w:rPr>
                <w:rFonts w:hint="eastAsia" w:ascii="宋体" w:hAnsi="宋体" w:cs="宋体"/>
                <w:sz w:val="24"/>
              </w:rPr>
              <w:t>2.4财政部、司法部《关于政府采购支持监狱企业发展有关问题的通知》（财库【2014】68号）。</w:t>
            </w:r>
          </w:p>
          <w:p>
            <w:pPr>
              <w:spacing w:line="340" w:lineRule="atLeast"/>
              <w:jc w:val="left"/>
              <w:rPr>
                <w:rFonts w:ascii="宋体" w:hAnsi="宋体" w:cs="宋体"/>
                <w:sz w:val="24"/>
              </w:rPr>
            </w:pPr>
            <w:r>
              <w:rPr>
                <w:rFonts w:hint="eastAsia" w:ascii="宋体" w:hAnsi="宋体" w:cs="宋体"/>
                <w:sz w:val="24"/>
              </w:rPr>
              <w:t>3.本项目的特定资格要求：</w:t>
            </w:r>
          </w:p>
          <w:p>
            <w:pPr>
              <w:spacing w:line="340" w:lineRule="atLeast"/>
              <w:jc w:val="left"/>
              <w:rPr>
                <w:rFonts w:ascii="宋体" w:hAnsi="宋体" w:cs="宋体"/>
                <w:sz w:val="24"/>
              </w:rPr>
            </w:pPr>
            <w:r>
              <w:rPr>
                <w:rFonts w:hint="eastAsia" w:ascii="宋体" w:hAnsi="宋体" w:cs="宋体"/>
                <w:sz w:val="24"/>
              </w:rPr>
              <w:t>3.1潜在供应商须具有有效的营业执照，并且在人员、设备、资金等方面具备相应的能力；</w:t>
            </w:r>
          </w:p>
          <w:p>
            <w:pPr>
              <w:spacing w:line="340" w:lineRule="atLeast"/>
              <w:jc w:val="left"/>
              <w:rPr>
                <w:rFonts w:ascii="宋体" w:hAnsi="宋体" w:cs="宋体"/>
                <w:sz w:val="24"/>
              </w:rPr>
            </w:pPr>
            <w:r>
              <w:rPr>
                <w:rFonts w:hint="eastAsia" w:ascii="宋体" w:hAnsi="宋体" w:cs="宋体"/>
                <w:sz w:val="24"/>
              </w:rPr>
              <w:t>3.2在信用中国（www.creditchina.gov.cn）、中国政府采购网（www.ccgp.gov.cn）、信用山东（credit.shandong.gov.cn）网站中未被列入失信被执行人、税收违法黑名单、政府采购严重违法失信行为记录名单；</w:t>
            </w:r>
          </w:p>
          <w:p>
            <w:pPr>
              <w:spacing w:line="340" w:lineRule="atLeast"/>
              <w:jc w:val="left"/>
              <w:rPr>
                <w:rFonts w:ascii="宋体" w:hAnsi="宋体" w:cs="宋体"/>
                <w:sz w:val="24"/>
              </w:rPr>
            </w:pPr>
            <w:r>
              <w:rPr>
                <w:rFonts w:hint="eastAsia" w:ascii="宋体" w:hAnsi="宋体" w:cs="宋体"/>
                <w:sz w:val="24"/>
              </w:rPr>
              <w:t>3.3本项目专门面向中小企业采购，供应商必须出具《中小企业声明函》；</w:t>
            </w:r>
          </w:p>
          <w:p>
            <w:pPr>
              <w:spacing w:line="340" w:lineRule="atLeast"/>
              <w:jc w:val="left"/>
              <w:rPr>
                <w:rFonts w:ascii="宋体" w:hAnsi="宋体" w:cs="宋体"/>
                <w:sz w:val="24"/>
              </w:rPr>
            </w:pPr>
            <w:r>
              <w:rPr>
                <w:rFonts w:hint="eastAsia" w:ascii="宋体" w:hAnsi="宋体" w:cs="宋体"/>
                <w:sz w:val="24"/>
              </w:rPr>
              <w:t>3.4本项目不接受联合体投标；</w:t>
            </w:r>
          </w:p>
          <w:p>
            <w:pPr>
              <w:spacing w:line="340" w:lineRule="atLeast"/>
              <w:jc w:val="left"/>
              <w:rPr>
                <w:rFonts w:ascii="宋体" w:hAnsi="宋体" w:cs="宋体"/>
                <w:sz w:val="24"/>
              </w:rPr>
            </w:pPr>
            <w:r>
              <w:rPr>
                <w:rFonts w:hint="eastAsia" w:ascii="宋体" w:hAnsi="宋体" w:cs="宋体"/>
                <w:sz w:val="24"/>
              </w:rPr>
              <w:t>3.5资格审查方式：资格后审。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10</w:t>
            </w:r>
          </w:p>
        </w:tc>
        <w:tc>
          <w:tcPr>
            <w:tcW w:w="1746" w:type="dxa"/>
            <w:noWrap/>
            <w:vAlign w:val="center"/>
          </w:tcPr>
          <w:p>
            <w:pPr>
              <w:spacing w:line="340" w:lineRule="atLeast"/>
              <w:jc w:val="center"/>
              <w:rPr>
                <w:rFonts w:ascii="宋体" w:hAnsi="宋体" w:cs="宋体"/>
                <w:bCs/>
                <w:sz w:val="24"/>
              </w:rPr>
            </w:pPr>
            <w:r>
              <w:rPr>
                <w:rFonts w:hint="eastAsia" w:ascii="宋体" w:hAnsi="宋体" w:cs="宋体"/>
                <w:bCs/>
                <w:sz w:val="24"/>
                <w:lang w:val="zh-CN"/>
              </w:rPr>
              <w:t>采购</w:t>
            </w:r>
            <w:r>
              <w:rPr>
                <w:rFonts w:hint="eastAsia" w:ascii="宋体" w:hAnsi="宋体" w:cs="宋体"/>
                <w:bCs/>
                <w:sz w:val="24"/>
              </w:rPr>
              <w:t>限价</w:t>
            </w:r>
          </w:p>
        </w:tc>
        <w:tc>
          <w:tcPr>
            <w:tcW w:w="7570" w:type="dxa"/>
            <w:noWrap/>
            <w:vAlign w:val="center"/>
          </w:tcPr>
          <w:p>
            <w:pPr>
              <w:spacing w:line="340" w:lineRule="atLeast"/>
              <w:jc w:val="left"/>
              <w:rPr>
                <w:rFonts w:ascii="宋体" w:hAnsi="宋体" w:cs="宋体"/>
                <w:sz w:val="24"/>
              </w:rPr>
            </w:pPr>
            <w:r>
              <w:rPr>
                <w:rFonts w:hint="eastAsia" w:ascii="宋体" w:hAnsi="宋体" w:cs="宋体"/>
                <w:sz w:val="24"/>
              </w:rPr>
              <w:t>采购限价：小写：1033415.36元</w:t>
            </w:r>
          </w:p>
          <w:p>
            <w:pPr>
              <w:spacing w:line="340" w:lineRule="atLeast"/>
              <w:ind w:firstLine="1200" w:firstLineChars="500"/>
              <w:jc w:val="left"/>
              <w:rPr>
                <w:rFonts w:ascii="宋体" w:hAnsi="宋体" w:cs="宋体"/>
                <w:sz w:val="24"/>
              </w:rPr>
            </w:pPr>
            <w:r>
              <w:rPr>
                <w:rFonts w:hint="eastAsia" w:ascii="宋体" w:hAnsi="宋体" w:cs="宋体"/>
                <w:sz w:val="24"/>
              </w:rPr>
              <w:t>大写：壹佰零叁万叁仟肆佰壹拾伍元叁角陆分</w:t>
            </w:r>
          </w:p>
          <w:p>
            <w:pPr>
              <w:jc w:val="left"/>
              <w:rPr>
                <w:rFonts w:ascii="宋体" w:hAnsi="宋体" w:cs="宋体"/>
                <w:sz w:val="24"/>
              </w:rPr>
            </w:pPr>
          </w:p>
          <w:p>
            <w:pPr>
              <w:jc w:val="left"/>
              <w:rPr>
                <w:rFonts w:ascii="宋体" w:hAnsi="宋体" w:cs="宋体"/>
                <w:sz w:val="24"/>
              </w:rPr>
            </w:pPr>
            <w:r>
              <w:rPr>
                <w:rFonts w:hint="eastAsia" w:ascii="宋体" w:hAnsi="宋体" w:cs="宋体"/>
                <w:sz w:val="24"/>
              </w:rPr>
              <w:t>备注：1、超过</w:t>
            </w:r>
            <w:r>
              <w:rPr>
                <w:rFonts w:hint="eastAsia" w:ascii="宋体" w:hAnsi="宋体" w:cs="宋体"/>
                <w:bCs/>
                <w:sz w:val="24"/>
                <w:lang w:val="zh-CN"/>
              </w:rPr>
              <w:t>采购</w:t>
            </w:r>
            <w:r>
              <w:rPr>
                <w:rFonts w:hint="eastAsia" w:ascii="宋体" w:hAnsi="宋体" w:cs="宋体"/>
                <w:bCs/>
                <w:sz w:val="24"/>
              </w:rPr>
              <w:t>限价</w:t>
            </w:r>
            <w:r>
              <w:rPr>
                <w:rFonts w:hint="eastAsia" w:ascii="宋体" w:hAnsi="宋体" w:cs="宋体"/>
                <w:sz w:val="24"/>
              </w:rPr>
              <w:t>的均为无效报价。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11</w:t>
            </w:r>
          </w:p>
        </w:tc>
        <w:tc>
          <w:tcPr>
            <w:tcW w:w="1746" w:type="dxa"/>
            <w:noWrap/>
            <w:vAlign w:val="center"/>
          </w:tcPr>
          <w:p>
            <w:pPr>
              <w:spacing w:line="340" w:lineRule="atLeast"/>
              <w:jc w:val="center"/>
              <w:rPr>
                <w:rFonts w:ascii="宋体" w:hAnsi="宋体" w:cs="宋体"/>
                <w:bCs/>
                <w:sz w:val="24"/>
              </w:rPr>
            </w:pPr>
            <w:r>
              <w:rPr>
                <w:rFonts w:hint="eastAsia" w:ascii="宋体" w:hAnsi="宋体" w:cs="宋体"/>
                <w:bCs/>
                <w:sz w:val="24"/>
              </w:rPr>
              <w:t>踏勘现场</w:t>
            </w:r>
          </w:p>
        </w:tc>
        <w:tc>
          <w:tcPr>
            <w:tcW w:w="7570" w:type="dxa"/>
            <w:noWrap/>
            <w:vAlign w:val="center"/>
          </w:tcPr>
          <w:p>
            <w:pPr>
              <w:spacing w:line="340" w:lineRule="atLeast"/>
              <w:rPr>
                <w:rFonts w:ascii="宋体" w:hAnsi="宋体" w:cs="宋体"/>
                <w:color w:val="000000"/>
                <w:kern w:val="0"/>
                <w:sz w:val="24"/>
              </w:rPr>
            </w:pPr>
            <w:r>
              <w:rPr>
                <w:rFonts w:hint="eastAsia" w:ascii="宋体" w:hAnsi="宋体" w:cs="宋体"/>
                <w:sz w:val="24"/>
              </w:rPr>
              <w:t>不组织，供应商自行勘察现场。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12</w:t>
            </w:r>
          </w:p>
        </w:tc>
        <w:tc>
          <w:tcPr>
            <w:tcW w:w="1746" w:type="dxa"/>
            <w:noWrap/>
            <w:vAlign w:val="center"/>
          </w:tcPr>
          <w:p>
            <w:pPr>
              <w:spacing w:line="340" w:lineRule="atLeast"/>
              <w:jc w:val="center"/>
              <w:rPr>
                <w:rFonts w:ascii="宋体" w:hAnsi="宋体" w:cs="宋体"/>
                <w:sz w:val="24"/>
              </w:rPr>
            </w:pPr>
            <w:r>
              <w:rPr>
                <w:rFonts w:hint="eastAsia" w:ascii="宋体" w:hAnsi="宋体" w:cs="宋体"/>
                <w:sz w:val="24"/>
              </w:rPr>
              <w:t>预备会</w:t>
            </w:r>
          </w:p>
        </w:tc>
        <w:tc>
          <w:tcPr>
            <w:tcW w:w="7570" w:type="dxa"/>
            <w:noWrap/>
            <w:vAlign w:val="center"/>
          </w:tcPr>
          <w:p>
            <w:pPr>
              <w:spacing w:line="340" w:lineRule="atLeast"/>
              <w:rPr>
                <w:rFonts w:ascii="宋体" w:hAnsi="宋体" w:cs="宋体"/>
                <w:sz w:val="24"/>
              </w:rPr>
            </w:pPr>
            <w:r>
              <w:rPr>
                <w:rFonts w:hint="eastAsia" w:ascii="宋体" w:hAnsi="宋体" w:cs="宋体"/>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13</w:t>
            </w:r>
          </w:p>
        </w:tc>
        <w:tc>
          <w:tcPr>
            <w:tcW w:w="1746" w:type="dxa"/>
            <w:noWrap/>
            <w:vAlign w:val="center"/>
          </w:tcPr>
          <w:p>
            <w:pPr>
              <w:spacing w:line="340" w:lineRule="atLeast"/>
              <w:jc w:val="left"/>
              <w:rPr>
                <w:rFonts w:ascii="宋体" w:hAnsi="宋体" w:cs="宋体"/>
                <w:sz w:val="24"/>
              </w:rPr>
            </w:pPr>
            <w:r>
              <w:rPr>
                <w:rFonts w:hint="eastAsia" w:ascii="宋体" w:hAnsi="宋体" w:cs="宋体"/>
                <w:sz w:val="24"/>
              </w:rPr>
              <w:t>是否专门面向中小企业采购</w:t>
            </w:r>
          </w:p>
        </w:tc>
        <w:tc>
          <w:tcPr>
            <w:tcW w:w="7570" w:type="dxa"/>
            <w:noWrap/>
            <w:vAlign w:val="center"/>
          </w:tcPr>
          <w:p>
            <w:pPr>
              <w:spacing w:line="340" w:lineRule="atLeast"/>
              <w:jc w:val="left"/>
              <w:rPr>
                <w:rFonts w:ascii="宋体" w:hAnsi="宋体" w:cs="宋体"/>
                <w:sz w:val="24"/>
              </w:rPr>
            </w:pPr>
            <w:r>
              <w:rPr>
                <w:rFonts w:hint="eastAsia" w:ascii="宋体"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14</w:t>
            </w:r>
          </w:p>
        </w:tc>
        <w:tc>
          <w:tcPr>
            <w:tcW w:w="1746" w:type="dxa"/>
            <w:noWrap/>
            <w:vAlign w:val="center"/>
          </w:tcPr>
          <w:p>
            <w:pPr>
              <w:spacing w:line="340" w:lineRule="atLeast"/>
              <w:jc w:val="center"/>
              <w:rPr>
                <w:rFonts w:ascii="宋体" w:hAnsi="宋体" w:cs="宋体"/>
                <w:sz w:val="24"/>
              </w:rPr>
            </w:pPr>
            <w:r>
              <w:rPr>
                <w:rFonts w:hint="eastAsia" w:ascii="宋体" w:hAnsi="宋体" w:cs="宋体"/>
                <w:sz w:val="24"/>
              </w:rPr>
              <w:t>转包、分包</w:t>
            </w:r>
          </w:p>
        </w:tc>
        <w:tc>
          <w:tcPr>
            <w:tcW w:w="7570" w:type="dxa"/>
            <w:noWrap/>
            <w:vAlign w:val="center"/>
          </w:tcPr>
          <w:p>
            <w:pPr>
              <w:spacing w:line="340" w:lineRule="atLeast"/>
              <w:rPr>
                <w:rFonts w:ascii="宋体" w:hAnsi="宋体" w:cs="宋体"/>
                <w:sz w:val="24"/>
              </w:rPr>
            </w:pPr>
            <w:r>
              <w:rPr>
                <w:rFonts w:hint="eastAsia" w:ascii="宋体" w:hAnsi="宋体" w:cs="宋体"/>
                <w:sz w:val="24"/>
              </w:rPr>
              <w:t>不允许任何情况的转包和分包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15</w:t>
            </w:r>
          </w:p>
        </w:tc>
        <w:tc>
          <w:tcPr>
            <w:tcW w:w="1746" w:type="dxa"/>
            <w:noWrap/>
            <w:vAlign w:val="center"/>
          </w:tcPr>
          <w:p>
            <w:pPr>
              <w:spacing w:line="340" w:lineRule="atLeast"/>
              <w:jc w:val="center"/>
              <w:rPr>
                <w:rFonts w:ascii="宋体" w:hAnsi="宋体" w:cs="宋体"/>
                <w:sz w:val="24"/>
              </w:rPr>
            </w:pPr>
            <w:r>
              <w:rPr>
                <w:rFonts w:hint="eastAsia" w:ascii="宋体" w:hAnsi="宋体" w:cs="宋体"/>
                <w:bCs/>
                <w:sz w:val="24"/>
              </w:rPr>
              <w:t>偏离</w:t>
            </w:r>
          </w:p>
        </w:tc>
        <w:tc>
          <w:tcPr>
            <w:tcW w:w="7570" w:type="dxa"/>
            <w:noWrap/>
            <w:vAlign w:val="center"/>
          </w:tcPr>
          <w:p>
            <w:pPr>
              <w:pStyle w:val="11"/>
              <w:topLinePunct/>
              <w:spacing w:line="340" w:lineRule="atLeast"/>
              <w:rPr>
                <w:rFonts w:hAnsi="宋体" w:cs="宋体"/>
                <w:szCs w:val="24"/>
              </w:rPr>
            </w:pPr>
            <w:r>
              <w:rPr>
                <w:rFonts w:hint="eastAsia" w:hAnsi="宋体" w:cs="宋体"/>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16</w:t>
            </w:r>
          </w:p>
        </w:tc>
        <w:tc>
          <w:tcPr>
            <w:tcW w:w="1746" w:type="dxa"/>
            <w:noWrap/>
            <w:vAlign w:val="center"/>
          </w:tcPr>
          <w:p>
            <w:pPr>
              <w:tabs>
                <w:tab w:val="left" w:pos="1758"/>
              </w:tabs>
              <w:spacing w:line="340" w:lineRule="atLeast"/>
              <w:jc w:val="left"/>
              <w:rPr>
                <w:rFonts w:ascii="宋体" w:hAnsi="宋体" w:cs="宋体"/>
                <w:bCs/>
                <w:sz w:val="24"/>
              </w:rPr>
            </w:pPr>
            <w:r>
              <w:rPr>
                <w:rFonts w:hint="eastAsia" w:ascii="宋体" w:hAnsi="宋体" w:cs="宋体"/>
                <w:sz w:val="24"/>
              </w:rPr>
              <w:t>供应商提出问题的截止时间</w:t>
            </w:r>
          </w:p>
        </w:tc>
        <w:tc>
          <w:tcPr>
            <w:tcW w:w="7570" w:type="dxa"/>
            <w:noWrap/>
            <w:vAlign w:val="center"/>
          </w:tcPr>
          <w:p>
            <w:pPr>
              <w:tabs>
                <w:tab w:val="left" w:pos="1758"/>
              </w:tabs>
              <w:spacing w:line="340" w:lineRule="atLeast"/>
              <w:rPr>
                <w:rFonts w:ascii="宋体" w:hAnsi="宋体" w:cs="宋体"/>
                <w:bCs/>
                <w:sz w:val="24"/>
              </w:rPr>
            </w:pPr>
            <w:r>
              <w:rPr>
                <w:rFonts w:hint="eastAsia" w:ascii="宋体" w:hAnsi="宋体" w:cs="宋体"/>
                <w:sz w:val="24"/>
              </w:rPr>
              <w:t>截止磋商时间5日前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17</w:t>
            </w:r>
          </w:p>
        </w:tc>
        <w:tc>
          <w:tcPr>
            <w:tcW w:w="1746" w:type="dxa"/>
            <w:noWrap/>
            <w:vAlign w:val="center"/>
          </w:tcPr>
          <w:p>
            <w:pPr>
              <w:tabs>
                <w:tab w:val="left" w:pos="1758"/>
              </w:tabs>
              <w:spacing w:line="340" w:lineRule="atLeast"/>
              <w:jc w:val="left"/>
              <w:rPr>
                <w:rFonts w:ascii="宋体" w:hAnsi="宋体" w:cs="宋体"/>
                <w:sz w:val="24"/>
              </w:rPr>
            </w:pPr>
            <w:r>
              <w:rPr>
                <w:rFonts w:hint="eastAsia" w:ascii="宋体" w:hAnsi="宋体" w:cs="宋体"/>
                <w:sz w:val="24"/>
              </w:rPr>
              <w:t>采购人书面澄清的时间</w:t>
            </w:r>
          </w:p>
        </w:tc>
        <w:tc>
          <w:tcPr>
            <w:tcW w:w="7570" w:type="dxa"/>
            <w:noWrap/>
            <w:vAlign w:val="center"/>
          </w:tcPr>
          <w:p>
            <w:pPr>
              <w:tabs>
                <w:tab w:val="left" w:pos="1758"/>
              </w:tabs>
              <w:spacing w:line="340" w:lineRule="atLeast"/>
              <w:rPr>
                <w:rFonts w:ascii="宋体" w:hAnsi="宋体" w:cs="宋体"/>
                <w:sz w:val="24"/>
              </w:rPr>
            </w:pPr>
            <w:r>
              <w:rPr>
                <w:rFonts w:hint="eastAsia" w:ascii="宋体" w:hAnsi="宋体" w:cs="宋体"/>
                <w:sz w:val="24"/>
              </w:rPr>
              <w:t>截止磋商时间5日前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18</w:t>
            </w:r>
          </w:p>
        </w:tc>
        <w:tc>
          <w:tcPr>
            <w:tcW w:w="1746" w:type="dxa"/>
            <w:noWrap/>
            <w:vAlign w:val="center"/>
          </w:tcPr>
          <w:p>
            <w:pPr>
              <w:tabs>
                <w:tab w:val="left" w:pos="1758"/>
              </w:tabs>
              <w:spacing w:line="340" w:lineRule="atLeast"/>
              <w:jc w:val="center"/>
              <w:rPr>
                <w:rFonts w:ascii="宋体" w:hAnsi="宋体" w:cs="宋体"/>
                <w:sz w:val="24"/>
              </w:rPr>
            </w:pPr>
            <w:r>
              <w:rPr>
                <w:rFonts w:hint="eastAsia" w:ascii="宋体" w:hAnsi="宋体" w:cs="宋体"/>
                <w:sz w:val="24"/>
              </w:rPr>
              <w:t>供应商要求澄清竞争性磋商文件的截止时间、方式</w:t>
            </w:r>
          </w:p>
        </w:tc>
        <w:tc>
          <w:tcPr>
            <w:tcW w:w="7570" w:type="dxa"/>
            <w:noWrap/>
            <w:vAlign w:val="center"/>
          </w:tcPr>
          <w:p>
            <w:pPr>
              <w:tabs>
                <w:tab w:val="left" w:pos="1758"/>
              </w:tabs>
              <w:spacing w:line="340" w:lineRule="atLeast"/>
              <w:rPr>
                <w:rFonts w:ascii="宋体" w:hAnsi="宋体" w:cs="宋体"/>
                <w:sz w:val="24"/>
              </w:rPr>
            </w:pPr>
            <w:r>
              <w:rPr>
                <w:rFonts w:hint="eastAsia" w:ascii="宋体" w:hAnsi="宋体" w:cs="宋体"/>
                <w:sz w:val="24"/>
              </w:rPr>
              <w:t>供应商应截止磋商报价时间5日前，将需要澄清的问题以word的文本形式（加盖单位公章），给</w:t>
            </w:r>
            <w:r>
              <w:fldChar w:fldCharType="begin"/>
            </w:r>
            <w:r>
              <w:instrText xml:space="preserve"> HYPERLINK "mailto:sdjwhz@163.com" </w:instrText>
            </w:r>
            <w:r>
              <w:fldChar w:fldCharType="separate"/>
            </w:r>
            <w:r>
              <w:rPr>
                <w:rFonts w:hint="eastAsia" w:ascii="宋体" w:hAnsi="宋体" w:cs="宋体"/>
                <w:sz w:val="24"/>
              </w:rPr>
              <w:t xml:space="preserve">sdsch888@163.com </w:t>
            </w:r>
            <w:r>
              <w:rPr>
                <w:rFonts w:hint="eastAsia" w:ascii="宋体" w:hAnsi="宋体" w:cs="宋体"/>
                <w:sz w:val="24"/>
              </w:rPr>
              <w:fldChar w:fldCharType="end"/>
            </w:r>
            <w:r>
              <w:rPr>
                <w:rFonts w:hint="eastAsia" w:ascii="宋体" w:hAnsi="宋体" w:cs="宋体"/>
                <w:sz w:val="24"/>
              </w:rPr>
              <w:t>发送电子邮件并电话通知采购代理机构，逾期任何问题不作答复，并视为完全认同磋商文件。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19</w:t>
            </w:r>
          </w:p>
        </w:tc>
        <w:tc>
          <w:tcPr>
            <w:tcW w:w="1746" w:type="dxa"/>
            <w:noWrap/>
            <w:vAlign w:val="center"/>
          </w:tcPr>
          <w:p>
            <w:pPr>
              <w:spacing w:line="340" w:lineRule="atLeast"/>
              <w:jc w:val="center"/>
              <w:rPr>
                <w:rFonts w:ascii="宋体" w:hAnsi="宋体" w:cs="宋体"/>
                <w:sz w:val="24"/>
              </w:rPr>
            </w:pPr>
            <w:r>
              <w:rPr>
                <w:rFonts w:hint="eastAsia" w:ascii="宋体" w:hAnsi="宋体" w:cs="宋体"/>
                <w:sz w:val="24"/>
              </w:rPr>
              <w:t>构成竞争性磋商文件的其他材料</w:t>
            </w:r>
          </w:p>
        </w:tc>
        <w:tc>
          <w:tcPr>
            <w:tcW w:w="7570" w:type="dxa"/>
            <w:noWrap/>
            <w:vAlign w:val="center"/>
          </w:tcPr>
          <w:p>
            <w:pPr>
              <w:spacing w:line="340" w:lineRule="atLeast"/>
              <w:rPr>
                <w:rFonts w:ascii="宋体" w:hAnsi="宋体" w:cs="宋体"/>
                <w:sz w:val="24"/>
              </w:rPr>
            </w:pPr>
            <w:r>
              <w:rPr>
                <w:rFonts w:hint="eastAsia" w:ascii="宋体" w:hAnsi="宋体" w:cs="宋体"/>
                <w:sz w:val="24"/>
              </w:rPr>
              <w:t>电子文档、澄清及修改文件、采购人所提供的有关资料等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20</w:t>
            </w:r>
          </w:p>
        </w:tc>
        <w:tc>
          <w:tcPr>
            <w:tcW w:w="1746" w:type="dxa"/>
            <w:noWrap/>
            <w:vAlign w:val="center"/>
          </w:tcPr>
          <w:p>
            <w:pPr>
              <w:tabs>
                <w:tab w:val="left" w:pos="1758"/>
              </w:tabs>
              <w:spacing w:line="340" w:lineRule="atLeast"/>
              <w:jc w:val="center"/>
              <w:rPr>
                <w:rFonts w:ascii="宋体" w:hAnsi="宋体" w:cs="宋体"/>
                <w:sz w:val="24"/>
              </w:rPr>
            </w:pPr>
            <w:r>
              <w:rPr>
                <w:rFonts w:hint="eastAsia" w:ascii="宋体" w:hAnsi="宋体" w:cs="宋体"/>
                <w:sz w:val="24"/>
              </w:rPr>
              <w:t>供应商确认收到竞争性磋商文件澄清的时间</w:t>
            </w:r>
          </w:p>
        </w:tc>
        <w:tc>
          <w:tcPr>
            <w:tcW w:w="7570" w:type="dxa"/>
            <w:noWrap/>
            <w:vAlign w:val="center"/>
          </w:tcPr>
          <w:p>
            <w:pPr>
              <w:tabs>
                <w:tab w:val="left" w:pos="1758"/>
              </w:tabs>
              <w:spacing w:line="340" w:lineRule="atLeast"/>
              <w:rPr>
                <w:rFonts w:ascii="宋体" w:hAnsi="宋体" w:cs="宋体"/>
                <w:sz w:val="24"/>
              </w:rPr>
            </w:pPr>
            <w:r>
              <w:rPr>
                <w:rFonts w:hint="eastAsia" w:ascii="宋体" w:hAnsi="宋体" w:cs="宋体"/>
                <w:sz w:val="24"/>
              </w:rPr>
              <w:t>收到答疑澄清文件 24 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21</w:t>
            </w:r>
          </w:p>
        </w:tc>
        <w:tc>
          <w:tcPr>
            <w:tcW w:w="1746" w:type="dxa"/>
            <w:noWrap/>
            <w:vAlign w:val="center"/>
          </w:tcPr>
          <w:p>
            <w:pPr>
              <w:spacing w:line="340" w:lineRule="atLeast"/>
              <w:jc w:val="center"/>
              <w:rPr>
                <w:rFonts w:ascii="宋体" w:hAnsi="宋体" w:cs="宋体"/>
                <w:sz w:val="24"/>
              </w:rPr>
            </w:pPr>
            <w:r>
              <w:rPr>
                <w:rFonts w:hint="eastAsia" w:ascii="宋体" w:hAnsi="宋体" w:cs="宋体"/>
                <w:sz w:val="24"/>
              </w:rPr>
              <w:t>供应商确认收到竞争性磋商文件修改的时间</w:t>
            </w:r>
          </w:p>
        </w:tc>
        <w:tc>
          <w:tcPr>
            <w:tcW w:w="7570" w:type="dxa"/>
            <w:noWrap/>
            <w:vAlign w:val="center"/>
          </w:tcPr>
          <w:p>
            <w:pPr>
              <w:spacing w:line="340" w:lineRule="atLeast"/>
              <w:rPr>
                <w:rFonts w:ascii="宋体" w:hAnsi="宋体" w:cs="宋体"/>
                <w:sz w:val="24"/>
              </w:rPr>
            </w:pPr>
            <w:r>
              <w:rPr>
                <w:rFonts w:hint="eastAsia" w:ascii="宋体" w:hAnsi="宋体" w:cs="宋体"/>
                <w:sz w:val="24"/>
              </w:rPr>
              <w:t>收到答疑澄清文件 24 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22</w:t>
            </w:r>
          </w:p>
        </w:tc>
        <w:tc>
          <w:tcPr>
            <w:tcW w:w="1746" w:type="dxa"/>
            <w:noWrap/>
            <w:vAlign w:val="center"/>
          </w:tcPr>
          <w:p>
            <w:pPr>
              <w:spacing w:line="340" w:lineRule="atLeast"/>
              <w:jc w:val="center"/>
              <w:rPr>
                <w:rFonts w:ascii="宋体" w:hAnsi="宋体" w:cs="宋体"/>
                <w:sz w:val="24"/>
              </w:rPr>
            </w:pPr>
            <w:r>
              <w:rPr>
                <w:rFonts w:hint="eastAsia" w:ascii="宋体" w:hAnsi="宋体" w:cs="宋体"/>
                <w:sz w:val="24"/>
              </w:rPr>
              <w:t>构成响应文件的其他材料</w:t>
            </w:r>
          </w:p>
        </w:tc>
        <w:tc>
          <w:tcPr>
            <w:tcW w:w="7570" w:type="dxa"/>
            <w:noWrap/>
            <w:vAlign w:val="center"/>
          </w:tcPr>
          <w:p>
            <w:pPr>
              <w:spacing w:line="340" w:lineRule="atLeast"/>
              <w:rPr>
                <w:rFonts w:ascii="宋体" w:hAnsi="宋体" w:cs="宋体"/>
                <w:sz w:val="24"/>
              </w:rPr>
            </w:pPr>
            <w:r>
              <w:rPr>
                <w:rFonts w:hint="eastAsia" w:ascii="宋体" w:hAnsi="宋体" w:cs="宋体"/>
                <w:sz w:val="24"/>
              </w:rPr>
              <w:t>按照磋商小组要求递交的澄清、补充、修改及说明。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23</w:t>
            </w:r>
          </w:p>
        </w:tc>
        <w:tc>
          <w:tcPr>
            <w:tcW w:w="1746" w:type="dxa"/>
            <w:noWrap/>
            <w:vAlign w:val="center"/>
          </w:tcPr>
          <w:p>
            <w:pPr>
              <w:spacing w:line="340" w:lineRule="atLeast"/>
              <w:jc w:val="center"/>
              <w:rPr>
                <w:rFonts w:ascii="宋体" w:hAnsi="宋体" w:cs="宋体"/>
                <w:sz w:val="24"/>
              </w:rPr>
            </w:pPr>
            <w:r>
              <w:rPr>
                <w:rFonts w:hint="eastAsia" w:ascii="宋体" w:hAnsi="宋体" w:cs="宋体"/>
                <w:sz w:val="24"/>
              </w:rPr>
              <w:t>竞争性磋商有效期</w:t>
            </w:r>
          </w:p>
        </w:tc>
        <w:tc>
          <w:tcPr>
            <w:tcW w:w="7570" w:type="dxa"/>
            <w:noWrap/>
            <w:vAlign w:val="center"/>
          </w:tcPr>
          <w:p>
            <w:pPr>
              <w:spacing w:line="340" w:lineRule="atLeast"/>
              <w:rPr>
                <w:rFonts w:ascii="宋体" w:hAnsi="宋体" w:cs="宋体"/>
                <w:sz w:val="24"/>
              </w:rPr>
            </w:pPr>
            <w:r>
              <w:rPr>
                <w:rFonts w:hint="eastAsia" w:ascii="宋体" w:hAnsi="宋体" w:cs="宋体"/>
                <w:sz w:val="24"/>
              </w:rPr>
              <w:t>90日历天（自竞争性磋商文件递交截止之日起）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24</w:t>
            </w:r>
          </w:p>
        </w:tc>
        <w:tc>
          <w:tcPr>
            <w:tcW w:w="1746" w:type="dxa"/>
            <w:noWrap/>
            <w:vAlign w:val="center"/>
          </w:tcPr>
          <w:p>
            <w:pPr>
              <w:spacing w:line="340" w:lineRule="atLeast"/>
              <w:jc w:val="center"/>
              <w:rPr>
                <w:rFonts w:ascii="宋体" w:hAnsi="宋体" w:cs="宋体"/>
                <w:sz w:val="24"/>
              </w:rPr>
            </w:pPr>
            <w:r>
              <w:rPr>
                <w:rFonts w:hint="eastAsia" w:ascii="宋体" w:hAnsi="宋体" w:cs="宋体"/>
                <w:sz w:val="24"/>
              </w:rPr>
              <w:t>是否允许递交备选报价方案</w:t>
            </w:r>
          </w:p>
        </w:tc>
        <w:tc>
          <w:tcPr>
            <w:tcW w:w="7570" w:type="dxa"/>
            <w:noWrap/>
            <w:vAlign w:val="center"/>
          </w:tcPr>
          <w:p>
            <w:pPr>
              <w:pStyle w:val="23"/>
              <w:topLinePunct/>
              <w:spacing w:line="340" w:lineRule="atLeast"/>
              <w:rPr>
                <w:rFonts w:ascii="宋体" w:hAnsi="宋体" w:cs="宋体"/>
                <w:sz w:val="24"/>
              </w:rPr>
            </w:pPr>
            <w:r>
              <w:rPr>
                <w:rFonts w:hint="eastAsia" w:ascii="宋体" w:hAnsi="宋体" w:cs="宋体"/>
                <w:b w:val="0"/>
                <w:bCs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25</w:t>
            </w:r>
          </w:p>
        </w:tc>
        <w:tc>
          <w:tcPr>
            <w:tcW w:w="1746" w:type="dxa"/>
            <w:noWrap/>
            <w:vAlign w:val="center"/>
          </w:tcPr>
          <w:p>
            <w:pPr>
              <w:spacing w:line="340" w:lineRule="atLeast"/>
              <w:jc w:val="center"/>
              <w:rPr>
                <w:rFonts w:ascii="宋体" w:hAnsi="宋体" w:cs="宋体"/>
                <w:sz w:val="24"/>
              </w:rPr>
            </w:pPr>
            <w:r>
              <w:rPr>
                <w:rFonts w:hint="eastAsia" w:ascii="宋体" w:hAnsi="宋体" w:cs="宋体"/>
                <w:sz w:val="24"/>
              </w:rPr>
              <w:t>签字或盖章要求</w:t>
            </w:r>
          </w:p>
        </w:tc>
        <w:tc>
          <w:tcPr>
            <w:tcW w:w="7570" w:type="dxa"/>
            <w:noWrap/>
            <w:vAlign w:val="center"/>
          </w:tcPr>
          <w:p>
            <w:pPr>
              <w:spacing w:line="340" w:lineRule="atLeast"/>
              <w:rPr>
                <w:rFonts w:ascii="宋体" w:hAnsi="宋体" w:cs="宋体"/>
                <w:sz w:val="24"/>
              </w:rPr>
            </w:pPr>
            <w:r>
              <w:rPr>
                <w:rFonts w:hint="eastAsia" w:ascii="宋体" w:hAnsi="宋体" w:cs="宋体"/>
                <w:sz w:val="24"/>
              </w:rPr>
              <w:t>根据竞争性磋商文件的要求，由供应商的法定代表人或委托代理人签字或盖章并加盖单位公章，响应文件中的任何改动之处应加盖单位公章和法定代表人印章确认。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26</w:t>
            </w:r>
          </w:p>
        </w:tc>
        <w:tc>
          <w:tcPr>
            <w:tcW w:w="1746" w:type="dxa"/>
            <w:noWrap/>
            <w:vAlign w:val="center"/>
          </w:tcPr>
          <w:p>
            <w:pPr>
              <w:spacing w:line="340" w:lineRule="atLeast"/>
              <w:jc w:val="center"/>
              <w:rPr>
                <w:rFonts w:ascii="宋体" w:hAnsi="宋体" w:cs="宋体"/>
                <w:sz w:val="24"/>
              </w:rPr>
            </w:pPr>
            <w:r>
              <w:rPr>
                <w:rFonts w:hint="eastAsia" w:ascii="宋体" w:hAnsi="宋体" w:cs="宋体"/>
                <w:sz w:val="24"/>
              </w:rPr>
              <w:t>响应文件份数</w:t>
            </w:r>
          </w:p>
        </w:tc>
        <w:tc>
          <w:tcPr>
            <w:tcW w:w="7570" w:type="dxa"/>
            <w:noWrap/>
            <w:vAlign w:val="center"/>
          </w:tcPr>
          <w:p>
            <w:pPr>
              <w:tabs>
                <w:tab w:val="left" w:pos="1758"/>
              </w:tabs>
              <w:spacing w:line="340" w:lineRule="atLeast"/>
            </w:pPr>
            <w:r>
              <w:rPr>
                <w:rFonts w:hint="eastAsia" w:ascii="宋体" w:hAnsi="宋体" w:cs="宋体"/>
                <w:sz w:val="24"/>
              </w:rPr>
              <w:t>经过加密的电子版响应文件一份，需在递交截止时间前在赢标平台菏泽专区（http://hz.fzbidding.com/）上传。中标后该企业还需提交四份胶装的系统内生成的PDF版纸质标书，并加盖公章。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27</w:t>
            </w:r>
          </w:p>
        </w:tc>
        <w:tc>
          <w:tcPr>
            <w:tcW w:w="1746" w:type="dxa"/>
            <w:noWrap/>
            <w:vAlign w:val="center"/>
          </w:tcPr>
          <w:p>
            <w:pPr>
              <w:spacing w:line="340" w:lineRule="atLeast"/>
              <w:jc w:val="center"/>
              <w:rPr>
                <w:rFonts w:ascii="宋体" w:hAnsi="宋体" w:cs="宋体"/>
                <w:sz w:val="24"/>
                <w:highlight w:val="none"/>
              </w:rPr>
            </w:pPr>
            <w:r>
              <w:rPr>
                <w:rFonts w:hint="eastAsia" w:ascii="宋体" w:hAnsi="宋体" w:cs="宋体"/>
                <w:sz w:val="24"/>
                <w:highlight w:val="none"/>
              </w:rPr>
              <w:t>递交响应文件截止时间</w:t>
            </w:r>
          </w:p>
        </w:tc>
        <w:tc>
          <w:tcPr>
            <w:tcW w:w="7570" w:type="dxa"/>
            <w:noWrap/>
            <w:vAlign w:val="center"/>
          </w:tcPr>
          <w:p>
            <w:pPr>
              <w:spacing w:line="340" w:lineRule="atLeast"/>
              <w:rPr>
                <w:rFonts w:ascii="宋体" w:hAnsi="宋体" w:cs="宋体"/>
                <w:sz w:val="24"/>
                <w:highlight w:val="none"/>
              </w:rPr>
            </w:pPr>
            <w:r>
              <w:rPr>
                <w:rFonts w:hint="eastAsia" w:ascii="宋体" w:hAnsi="宋体" w:cs="宋体"/>
                <w:sz w:val="24"/>
                <w:highlight w:val="none"/>
                <w:u w:val="single"/>
              </w:rPr>
              <w:t>2023</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10</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24</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9</w:t>
            </w:r>
            <w:r>
              <w:rPr>
                <w:rFonts w:hint="eastAsia" w:ascii="宋体" w:hAnsi="宋体" w:cs="宋体"/>
                <w:sz w:val="24"/>
                <w:highlight w:val="none"/>
                <w:u w:val="single"/>
              </w:rPr>
              <w:t xml:space="preserve"> </w:t>
            </w:r>
            <w:r>
              <w:rPr>
                <w:rFonts w:hint="eastAsia" w:ascii="宋体" w:hAnsi="宋体" w:cs="宋体"/>
                <w:sz w:val="24"/>
                <w:highlight w:val="none"/>
              </w:rPr>
              <w:t>时</w:t>
            </w:r>
            <w:r>
              <w:rPr>
                <w:rFonts w:hint="eastAsia" w:ascii="宋体" w:hAnsi="宋体" w:cs="宋体"/>
                <w:sz w:val="24"/>
                <w:highlight w:val="none"/>
                <w:u w:val="single"/>
              </w:rPr>
              <w:t xml:space="preserve"> 30 </w:t>
            </w:r>
            <w:r>
              <w:rPr>
                <w:rFonts w:hint="eastAsia" w:ascii="宋体" w:hAnsi="宋体" w:cs="宋体"/>
                <w:sz w:val="24"/>
                <w:highlight w:val="none"/>
              </w:rPr>
              <w:t>分（北京时间）</w:t>
            </w:r>
            <w:r>
              <w:rPr>
                <w:rFonts w:hint="eastAsia" w:ascii="宋体" w:hAnsi="宋体" w:cs="宋体"/>
                <w:sz w:val="24"/>
                <w:highlight w:val="none"/>
                <w:lang w:val="zh-CN"/>
              </w:rPr>
              <w:t>（过期不予接收）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28</w:t>
            </w:r>
          </w:p>
        </w:tc>
        <w:tc>
          <w:tcPr>
            <w:tcW w:w="1746" w:type="dxa"/>
            <w:noWrap/>
            <w:vAlign w:val="center"/>
          </w:tcPr>
          <w:p>
            <w:pPr>
              <w:tabs>
                <w:tab w:val="left" w:pos="1758"/>
              </w:tabs>
              <w:spacing w:line="340" w:lineRule="atLeast"/>
              <w:jc w:val="center"/>
              <w:rPr>
                <w:rFonts w:ascii="宋体" w:hAnsi="宋体" w:cs="宋体"/>
                <w:sz w:val="24"/>
              </w:rPr>
            </w:pPr>
            <w:r>
              <w:rPr>
                <w:rFonts w:hint="eastAsia" w:ascii="宋体" w:hAnsi="宋体" w:cs="宋体"/>
                <w:sz w:val="24"/>
              </w:rPr>
              <w:t>递交响应文件地点</w:t>
            </w:r>
          </w:p>
        </w:tc>
        <w:tc>
          <w:tcPr>
            <w:tcW w:w="7570" w:type="dxa"/>
            <w:noWrap/>
            <w:vAlign w:val="center"/>
          </w:tcPr>
          <w:p>
            <w:pPr>
              <w:tabs>
                <w:tab w:val="left" w:pos="1758"/>
              </w:tabs>
              <w:spacing w:line="340" w:lineRule="atLeast"/>
              <w:rPr>
                <w:rFonts w:ascii="宋体" w:hAnsi="宋体" w:cs="宋体"/>
                <w:sz w:val="24"/>
              </w:rPr>
            </w:pPr>
            <w:r>
              <w:rPr>
                <w:rFonts w:hint="eastAsia" w:ascii="宋体" w:hAnsi="宋体" w:cs="宋体"/>
                <w:sz w:val="24"/>
              </w:rPr>
              <w:t>在 赢 标 电 子 招 标 采 购 交 易 平 台 （ 菏 泽 专 区 ） （http://hz.fzbidding.com）递交加密版电子响应文件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29</w:t>
            </w:r>
          </w:p>
        </w:tc>
        <w:tc>
          <w:tcPr>
            <w:tcW w:w="1746" w:type="dxa"/>
            <w:noWrap/>
            <w:vAlign w:val="center"/>
          </w:tcPr>
          <w:p>
            <w:pPr>
              <w:spacing w:line="340" w:lineRule="atLeast"/>
              <w:jc w:val="center"/>
              <w:rPr>
                <w:rFonts w:ascii="宋体" w:hAnsi="宋体" w:cs="宋体"/>
                <w:sz w:val="24"/>
                <w:highlight w:val="none"/>
              </w:rPr>
            </w:pPr>
            <w:r>
              <w:rPr>
                <w:rFonts w:hint="eastAsia" w:ascii="宋体" w:hAnsi="宋体" w:cs="宋体"/>
                <w:sz w:val="24"/>
                <w:highlight w:val="none"/>
              </w:rPr>
              <w:t>磋商时间</w:t>
            </w:r>
          </w:p>
        </w:tc>
        <w:tc>
          <w:tcPr>
            <w:tcW w:w="7570" w:type="dxa"/>
            <w:noWrap/>
            <w:vAlign w:val="center"/>
          </w:tcPr>
          <w:p>
            <w:pPr>
              <w:spacing w:line="340" w:lineRule="atLeast"/>
              <w:rPr>
                <w:rFonts w:ascii="宋体" w:hAnsi="宋体" w:cs="宋体"/>
                <w:sz w:val="24"/>
                <w:highlight w:val="none"/>
              </w:rPr>
            </w:pPr>
            <w:r>
              <w:rPr>
                <w:rFonts w:hint="eastAsia" w:ascii="宋体" w:hAnsi="宋体" w:cs="宋体"/>
                <w:sz w:val="24"/>
                <w:highlight w:val="none"/>
              </w:rPr>
              <w:t>2023年</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10</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24</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9</w:t>
            </w:r>
            <w:r>
              <w:rPr>
                <w:rFonts w:hint="eastAsia" w:ascii="宋体" w:hAnsi="宋体" w:cs="宋体"/>
                <w:sz w:val="24"/>
                <w:highlight w:val="none"/>
                <w:u w:val="single"/>
              </w:rPr>
              <w:t xml:space="preserve">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00</w:t>
            </w:r>
            <w:r>
              <w:rPr>
                <w:rFonts w:hint="eastAsia" w:ascii="宋体" w:hAnsi="宋体" w:cs="宋体"/>
                <w:sz w:val="24"/>
                <w:highlight w:val="none"/>
                <w:u w:val="single"/>
              </w:rPr>
              <w:t xml:space="preserve"> </w:t>
            </w:r>
            <w:r>
              <w:rPr>
                <w:rFonts w:hint="eastAsia" w:ascii="宋体" w:hAnsi="宋体" w:cs="宋体"/>
                <w:sz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30</w:t>
            </w:r>
          </w:p>
        </w:tc>
        <w:tc>
          <w:tcPr>
            <w:tcW w:w="1746" w:type="dxa"/>
            <w:noWrap/>
            <w:vAlign w:val="center"/>
          </w:tcPr>
          <w:p>
            <w:pPr>
              <w:spacing w:line="340" w:lineRule="atLeast"/>
              <w:jc w:val="center"/>
              <w:rPr>
                <w:rFonts w:ascii="宋体" w:hAnsi="宋体" w:cs="宋体"/>
                <w:sz w:val="24"/>
              </w:rPr>
            </w:pPr>
            <w:r>
              <w:rPr>
                <w:rFonts w:hint="eastAsia" w:ascii="宋体" w:hAnsi="宋体" w:cs="宋体"/>
                <w:sz w:val="24"/>
              </w:rPr>
              <w:t>磋商地点</w:t>
            </w:r>
          </w:p>
        </w:tc>
        <w:tc>
          <w:tcPr>
            <w:tcW w:w="7570" w:type="dxa"/>
            <w:noWrap/>
            <w:vAlign w:val="center"/>
          </w:tcPr>
          <w:p>
            <w:pPr>
              <w:tabs>
                <w:tab w:val="left" w:pos="1758"/>
              </w:tabs>
              <w:spacing w:line="340" w:lineRule="atLeast"/>
              <w:rPr>
                <w:rFonts w:ascii="宋体" w:hAnsi="宋体" w:cs="宋体"/>
                <w:sz w:val="24"/>
              </w:rPr>
            </w:pPr>
            <w:r>
              <w:rPr>
                <w:rFonts w:hint="eastAsia" w:ascii="宋体" w:hAnsi="宋体" w:cs="宋体"/>
                <w:sz w:val="24"/>
              </w:rPr>
              <w:t>赢 标 电 子 招 标 采 购 交 易 平 台 （ 菏 泽 专 区 ）</w:t>
            </w:r>
          </w:p>
          <w:p>
            <w:pPr>
              <w:tabs>
                <w:tab w:val="left" w:pos="1758"/>
              </w:tabs>
              <w:spacing w:line="340" w:lineRule="atLeast"/>
            </w:pPr>
            <w:r>
              <w:rPr>
                <w:rFonts w:hint="eastAsia" w:ascii="宋体" w:hAnsi="宋体" w:cs="宋体"/>
                <w:sz w:val="24"/>
              </w:rPr>
              <w:t>（http://hz.fzbidding.com）虚拟开标大厅开启（本项目实行远程不见面开标，供应商无需到达现场参加开标活动）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31</w:t>
            </w:r>
          </w:p>
        </w:tc>
        <w:tc>
          <w:tcPr>
            <w:tcW w:w="1746" w:type="dxa"/>
            <w:noWrap/>
            <w:vAlign w:val="center"/>
          </w:tcPr>
          <w:p>
            <w:pPr>
              <w:spacing w:line="340" w:lineRule="atLeast"/>
              <w:jc w:val="center"/>
              <w:rPr>
                <w:rFonts w:ascii="宋体" w:hAnsi="宋体" w:cs="宋体"/>
                <w:sz w:val="24"/>
              </w:rPr>
            </w:pPr>
            <w:r>
              <w:rPr>
                <w:rFonts w:hint="eastAsia" w:ascii="宋体" w:hAnsi="宋体" w:cs="宋体"/>
                <w:sz w:val="24"/>
              </w:rPr>
              <w:t>磋商程序</w:t>
            </w:r>
          </w:p>
        </w:tc>
        <w:tc>
          <w:tcPr>
            <w:tcW w:w="7570" w:type="dxa"/>
            <w:noWrap/>
            <w:vAlign w:val="center"/>
          </w:tcPr>
          <w:p>
            <w:pPr>
              <w:spacing w:line="340" w:lineRule="atLeast"/>
              <w:rPr>
                <w:rFonts w:ascii="宋体" w:hAnsi="宋体" w:cs="宋体"/>
                <w:sz w:val="24"/>
              </w:rPr>
            </w:pPr>
            <w:r>
              <w:rPr>
                <w:rFonts w:ascii="宋体" w:hAnsi="宋体" w:cs="宋体"/>
                <w:sz w:val="24"/>
              </w:rPr>
              <w:t xml:space="preserve">按下列程序进行开标： </w:t>
            </w:r>
          </w:p>
          <w:p>
            <w:pPr>
              <w:numPr>
                <w:ilvl w:val="0"/>
                <w:numId w:val="2"/>
              </w:numPr>
              <w:spacing w:line="340" w:lineRule="atLeast"/>
              <w:rPr>
                <w:rFonts w:ascii="宋体" w:hAnsi="宋体" w:cs="宋体"/>
                <w:sz w:val="24"/>
              </w:rPr>
            </w:pPr>
            <w:r>
              <w:rPr>
                <w:rFonts w:ascii="宋体" w:hAnsi="宋体" w:cs="宋体"/>
                <w:sz w:val="24"/>
              </w:rPr>
              <w:t xml:space="preserve">代理机构通过赢标平台菏泽专区发送开标指令； </w:t>
            </w:r>
          </w:p>
          <w:p>
            <w:pPr>
              <w:numPr>
                <w:ilvl w:val="0"/>
                <w:numId w:val="2"/>
              </w:numPr>
              <w:spacing w:line="340" w:lineRule="atLeast"/>
              <w:rPr>
                <w:rFonts w:ascii="宋体" w:hAnsi="宋体" w:cs="宋体"/>
                <w:sz w:val="24"/>
              </w:rPr>
            </w:pPr>
            <w:r>
              <w:rPr>
                <w:rFonts w:ascii="宋体" w:hAnsi="宋体" w:cs="宋体"/>
                <w:sz w:val="24"/>
              </w:rPr>
              <w:t>供应商在解密截止时间之前，通过赢标电子招标采购交易平台（菏 泽专区）对已递交的电子响应文件进行解密；</w:t>
            </w:r>
          </w:p>
          <w:p>
            <w:pPr>
              <w:numPr>
                <w:ilvl w:val="0"/>
                <w:numId w:val="2"/>
              </w:numPr>
              <w:spacing w:line="340" w:lineRule="atLeast"/>
              <w:rPr>
                <w:rFonts w:ascii="宋体" w:hAnsi="宋体" w:cs="宋体"/>
                <w:sz w:val="24"/>
              </w:rPr>
            </w:pPr>
            <w:r>
              <w:rPr>
                <w:rFonts w:ascii="宋体" w:hAnsi="宋体" w:cs="宋体"/>
                <w:sz w:val="24"/>
              </w:rPr>
              <w:t xml:space="preserve">待所有供应商解密完成或到解密截止时间后，代理机构发布开标一览表； </w:t>
            </w:r>
          </w:p>
          <w:p>
            <w:pPr>
              <w:numPr>
                <w:ilvl w:val="0"/>
                <w:numId w:val="2"/>
              </w:numPr>
              <w:spacing w:line="340" w:lineRule="atLeast"/>
              <w:rPr>
                <w:rFonts w:ascii="宋体" w:hAnsi="宋体" w:cs="宋体"/>
                <w:sz w:val="24"/>
              </w:rPr>
            </w:pPr>
            <w:r>
              <w:rPr>
                <w:rFonts w:ascii="宋体" w:hAnsi="宋体" w:cs="宋体"/>
                <w:sz w:val="24"/>
              </w:rPr>
              <w:t xml:space="preserve">供应商对开标记录使用CA数字证书进行电子签名； </w:t>
            </w:r>
          </w:p>
          <w:p>
            <w:pPr>
              <w:numPr>
                <w:ilvl w:val="0"/>
                <w:numId w:val="2"/>
              </w:numPr>
              <w:spacing w:line="340" w:lineRule="atLeast"/>
              <w:rPr>
                <w:rFonts w:ascii="宋体" w:hAnsi="宋体" w:cs="宋体"/>
                <w:sz w:val="24"/>
              </w:rPr>
            </w:pPr>
            <w:r>
              <w:rPr>
                <w:rFonts w:ascii="宋体" w:hAnsi="宋体" w:cs="宋体"/>
                <w:sz w:val="24"/>
              </w:rPr>
              <w:t>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32</w:t>
            </w:r>
          </w:p>
        </w:tc>
        <w:tc>
          <w:tcPr>
            <w:tcW w:w="1746" w:type="dxa"/>
            <w:noWrap/>
            <w:vAlign w:val="center"/>
          </w:tcPr>
          <w:p>
            <w:pPr>
              <w:spacing w:line="340" w:lineRule="atLeast"/>
              <w:jc w:val="center"/>
              <w:rPr>
                <w:rFonts w:ascii="宋体" w:hAnsi="宋体" w:cs="宋体"/>
                <w:sz w:val="24"/>
              </w:rPr>
            </w:pPr>
            <w:r>
              <w:rPr>
                <w:rFonts w:hint="eastAsia" w:ascii="宋体" w:hAnsi="宋体" w:cs="宋体"/>
                <w:sz w:val="24"/>
              </w:rPr>
              <w:t>磋商小组的组建</w:t>
            </w:r>
          </w:p>
        </w:tc>
        <w:tc>
          <w:tcPr>
            <w:tcW w:w="7570" w:type="dxa"/>
            <w:noWrap/>
            <w:vAlign w:val="center"/>
          </w:tcPr>
          <w:p>
            <w:pPr>
              <w:spacing w:line="340" w:lineRule="atLeast"/>
              <w:rPr>
                <w:rFonts w:ascii="宋体" w:hAnsi="宋体" w:cs="宋体"/>
                <w:sz w:val="24"/>
              </w:rPr>
            </w:pPr>
            <w:r>
              <w:rPr>
                <w:rFonts w:hint="eastAsia" w:ascii="宋体" w:hAnsi="宋体" w:cs="宋体"/>
                <w:sz w:val="24"/>
              </w:rPr>
              <w:t>磋商小组成员：3人。其中采购人代表1名，其余2名成员从山东省政府采购信息公开平台专家库中随机抽取。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33</w:t>
            </w:r>
          </w:p>
        </w:tc>
        <w:tc>
          <w:tcPr>
            <w:tcW w:w="1746" w:type="dxa"/>
            <w:noWrap/>
            <w:vAlign w:val="center"/>
          </w:tcPr>
          <w:p>
            <w:pPr>
              <w:spacing w:line="340" w:lineRule="atLeast"/>
              <w:jc w:val="center"/>
              <w:rPr>
                <w:rFonts w:ascii="宋体" w:hAnsi="宋体" w:cs="宋体"/>
                <w:sz w:val="24"/>
              </w:rPr>
            </w:pPr>
            <w:r>
              <w:rPr>
                <w:rFonts w:hint="eastAsia" w:ascii="宋体" w:hAnsi="宋体" w:cs="宋体"/>
                <w:sz w:val="24"/>
              </w:rPr>
              <w:t>是否授权磋商小组确定成交供应商</w:t>
            </w:r>
          </w:p>
        </w:tc>
        <w:tc>
          <w:tcPr>
            <w:tcW w:w="7570" w:type="dxa"/>
            <w:noWrap/>
            <w:vAlign w:val="center"/>
          </w:tcPr>
          <w:p>
            <w:pPr>
              <w:spacing w:line="340" w:lineRule="atLeast"/>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34" w:type="dxa"/>
            <w:noWrap/>
            <w:vAlign w:val="center"/>
          </w:tcPr>
          <w:p>
            <w:pPr>
              <w:spacing w:line="340" w:lineRule="atLeast"/>
              <w:jc w:val="center"/>
              <w:rPr>
                <w:rFonts w:ascii="宋体" w:hAnsi="宋体" w:cs="宋体"/>
                <w:sz w:val="24"/>
              </w:rPr>
            </w:pPr>
            <w:r>
              <w:rPr>
                <w:rFonts w:hint="eastAsia" w:ascii="宋体" w:hAnsi="宋体" w:cs="宋体"/>
                <w:sz w:val="24"/>
              </w:rPr>
              <w:t>34</w:t>
            </w:r>
          </w:p>
        </w:tc>
        <w:tc>
          <w:tcPr>
            <w:tcW w:w="1746" w:type="dxa"/>
            <w:noWrap/>
            <w:vAlign w:val="center"/>
          </w:tcPr>
          <w:p>
            <w:pPr>
              <w:spacing w:line="340" w:lineRule="atLeast"/>
              <w:jc w:val="center"/>
              <w:rPr>
                <w:rFonts w:ascii="宋体" w:hAnsi="宋体" w:cs="宋体"/>
                <w:sz w:val="24"/>
              </w:rPr>
            </w:pPr>
            <w:r>
              <w:rPr>
                <w:rFonts w:hint="eastAsia" w:ascii="宋体" w:hAnsi="宋体" w:cs="宋体"/>
                <w:sz w:val="24"/>
              </w:rPr>
              <w:t>付款方式</w:t>
            </w:r>
          </w:p>
        </w:tc>
        <w:tc>
          <w:tcPr>
            <w:tcW w:w="7570" w:type="dxa"/>
            <w:noWrap/>
            <w:vAlign w:val="center"/>
          </w:tcPr>
          <w:p>
            <w:pPr>
              <w:spacing w:line="340" w:lineRule="atLeast"/>
              <w:rPr>
                <w:rFonts w:ascii="宋体" w:hAnsi="宋体" w:cs="宋体"/>
                <w:sz w:val="24"/>
              </w:rPr>
            </w:pPr>
            <w:r>
              <w:rPr>
                <w:rFonts w:hint="eastAsia"/>
                <w:sz w:val="24"/>
              </w:rPr>
              <w:t>供货安装完成并验收合格后付清合同全部价款。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34" w:type="dxa"/>
            <w:noWrap/>
            <w:vAlign w:val="center"/>
          </w:tcPr>
          <w:p>
            <w:pPr>
              <w:spacing w:line="340" w:lineRule="atLeast"/>
              <w:jc w:val="center"/>
              <w:rPr>
                <w:rFonts w:hint="default" w:ascii="宋体" w:hAnsi="宋体" w:eastAsia="宋体" w:cs="宋体"/>
                <w:sz w:val="24"/>
                <w:lang w:val="en-US" w:eastAsia="zh-CN"/>
              </w:rPr>
            </w:pPr>
            <w:r>
              <w:rPr>
                <w:rFonts w:hint="eastAsia" w:ascii="宋体" w:hAnsi="宋体" w:cs="宋体"/>
                <w:sz w:val="24"/>
                <w:lang w:val="en-US" w:eastAsia="zh-CN"/>
              </w:rPr>
              <w:t>35</w:t>
            </w:r>
          </w:p>
        </w:tc>
        <w:tc>
          <w:tcPr>
            <w:tcW w:w="1746" w:type="dxa"/>
            <w:noWrap/>
            <w:vAlign w:val="center"/>
          </w:tcPr>
          <w:p>
            <w:pPr>
              <w:spacing w:line="340" w:lineRule="atLeast"/>
              <w:jc w:val="center"/>
              <w:rPr>
                <w:rFonts w:hint="eastAsia" w:ascii="宋体" w:hAnsi="宋体" w:eastAsia="宋体" w:cs="宋体"/>
                <w:sz w:val="24"/>
                <w:lang w:eastAsia="zh-CN"/>
              </w:rPr>
            </w:pPr>
            <w:r>
              <w:rPr>
                <w:rFonts w:hint="eastAsia" w:ascii="宋体" w:hAnsi="宋体" w:cs="宋体"/>
                <w:sz w:val="24"/>
                <w:lang w:eastAsia="zh-CN"/>
              </w:rPr>
              <w:t>质保期</w:t>
            </w:r>
          </w:p>
        </w:tc>
        <w:tc>
          <w:tcPr>
            <w:tcW w:w="7570" w:type="dxa"/>
            <w:noWrap/>
            <w:vAlign w:val="center"/>
          </w:tcPr>
          <w:p>
            <w:pPr>
              <w:spacing w:line="340" w:lineRule="atLeast"/>
              <w:rPr>
                <w:rFonts w:hint="eastAsia" w:eastAsia="宋体"/>
                <w:sz w:val="24"/>
                <w:lang w:eastAsia="zh-CN"/>
              </w:rPr>
            </w:pPr>
            <w:r>
              <w:rPr>
                <w:rFonts w:hint="eastAsia"/>
                <w:sz w:val="24"/>
                <w:lang w:eastAsia="zh-CN"/>
              </w:rPr>
              <w:t>自供货安装并验收合格之日起一年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4" w:type="dxa"/>
            <w:noWrap/>
            <w:vAlign w:val="center"/>
          </w:tcPr>
          <w:p>
            <w:pPr>
              <w:spacing w:line="340" w:lineRule="atLeast"/>
              <w:jc w:val="center"/>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val="en-US" w:eastAsia="zh-CN"/>
              </w:rPr>
              <w:t>6</w:t>
            </w:r>
          </w:p>
        </w:tc>
        <w:tc>
          <w:tcPr>
            <w:tcW w:w="1746" w:type="dxa"/>
            <w:noWrap/>
            <w:vAlign w:val="center"/>
          </w:tcPr>
          <w:p>
            <w:pPr>
              <w:pStyle w:val="49"/>
              <w:spacing w:line="340" w:lineRule="atLeast"/>
              <w:jc w:val="center"/>
              <w:rPr>
                <w:sz w:val="24"/>
                <w:highlight w:val="none"/>
                <w:lang w:val="en-US" w:bidi="ar-SA"/>
              </w:rPr>
            </w:pPr>
            <w:r>
              <w:rPr>
                <w:rFonts w:hint="eastAsia"/>
                <w:sz w:val="24"/>
                <w:highlight w:val="none"/>
                <w:lang w:val="en-US" w:bidi="ar-SA"/>
              </w:rPr>
              <w:t>相关费用</w:t>
            </w:r>
          </w:p>
        </w:tc>
        <w:tc>
          <w:tcPr>
            <w:tcW w:w="7570" w:type="dxa"/>
            <w:noWrap/>
          </w:tcPr>
          <w:p>
            <w:pPr>
              <w:pStyle w:val="49"/>
              <w:numPr>
                <w:ilvl w:val="0"/>
                <w:numId w:val="3"/>
              </w:numPr>
              <w:spacing w:line="340" w:lineRule="atLeast"/>
              <w:jc w:val="left"/>
              <w:rPr>
                <w:sz w:val="24"/>
                <w:highlight w:val="none"/>
              </w:rPr>
            </w:pPr>
            <w:r>
              <w:rPr>
                <w:rFonts w:hint="eastAsia"/>
                <w:b/>
                <w:bCs/>
                <w:sz w:val="24"/>
                <w:highlight w:val="none"/>
                <w:lang w:val="en-US"/>
              </w:rPr>
              <w:t>代理服务费：</w:t>
            </w:r>
            <w:r>
              <w:rPr>
                <w:sz w:val="24"/>
                <w:highlight w:val="none"/>
              </w:rPr>
              <w:t>9532.1元</w:t>
            </w:r>
            <w:r>
              <w:rPr>
                <w:rFonts w:hint="eastAsia"/>
                <w:sz w:val="24"/>
                <w:highlight w:val="none"/>
                <w:lang w:eastAsia="zh-CN"/>
              </w:rPr>
              <w:t>、</w:t>
            </w:r>
            <w:r>
              <w:rPr>
                <w:rFonts w:hint="eastAsia"/>
                <w:b w:val="0"/>
                <w:bCs w:val="0"/>
                <w:sz w:val="24"/>
                <w:highlight w:val="none"/>
              </w:rPr>
              <w:t>评审费：</w:t>
            </w:r>
            <w:r>
              <w:rPr>
                <w:rFonts w:hint="eastAsia"/>
                <w:sz w:val="24"/>
                <w:highlight w:val="none"/>
                <w:lang w:val="en-US"/>
              </w:rPr>
              <w:t>1787.27元</w:t>
            </w:r>
            <w:r>
              <w:rPr>
                <w:rFonts w:hint="eastAsia"/>
                <w:sz w:val="24"/>
                <w:highlight w:val="none"/>
                <w:lang w:val="en-US" w:eastAsia="zh-CN"/>
              </w:rPr>
              <w:t>，</w:t>
            </w:r>
            <w:r>
              <w:rPr>
                <w:rFonts w:hint="eastAsia"/>
                <w:sz w:val="24"/>
                <w:highlight w:val="none"/>
              </w:rPr>
              <w:t>由</w:t>
            </w:r>
            <w:r>
              <w:rPr>
                <w:rFonts w:hint="eastAsia"/>
                <w:sz w:val="24"/>
                <w:highlight w:val="none"/>
                <w:lang w:val="en-US"/>
              </w:rPr>
              <w:t>成交</w:t>
            </w:r>
            <w:r>
              <w:rPr>
                <w:rFonts w:hint="eastAsia"/>
                <w:sz w:val="24"/>
                <w:highlight w:val="none"/>
              </w:rPr>
              <w:t>单位在领取</w:t>
            </w:r>
            <w:r>
              <w:rPr>
                <w:rFonts w:hint="eastAsia"/>
                <w:sz w:val="24"/>
                <w:highlight w:val="none"/>
                <w:lang w:val="en-US"/>
              </w:rPr>
              <w:t>成交</w:t>
            </w:r>
            <w:r>
              <w:rPr>
                <w:rFonts w:hint="eastAsia"/>
                <w:sz w:val="24"/>
                <w:highlight w:val="none"/>
              </w:rPr>
              <w:t>通知书时一次性付清。</w:t>
            </w:r>
          </w:p>
          <w:p>
            <w:pPr>
              <w:pStyle w:val="49"/>
              <w:spacing w:line="340" w:lineRule="atLeast"/>
              <w:jc w:val="left"/>
              <w:rPr>
                <w:sz w:val="24"/>
                <w:highlight w:val="none"/>
              </w:rPr>
            </w:pPr>
            <w:r>
              <w:rPr>
                <w:rFonts w:hint="eastAsia"/>
                <w:b/>
                <w:bCs/>
                <w:sz w:val="24"/>
                <w:highlight w:val="none"/>
                <w:lang w:val="en-US" w:eastAsia="zh-CN"/>
              </w:rPr>
              <w:t>2</w:t>
            </w:r>
            <w:r>
              <w:rPr>
                <w:rFonts w:hint="eastAsia"/>
                <w:b/>
                <w:bCs/>
                <w:sz w:val="24"/>
                <w:highlight w:val="none"/>
                <w:lang w:val="en-US"/>
              </w:rPr>
              <w:t>、电子交易平台收费标准</w:t>
            </w:r>
            <w:r>
              <w:rPr>
                <w:rFonts w:hint="eastAsia"/>
                <w:sz w:val="24"/>
                <w:highlight w:val="none"/>
                <w:lang w:val="en-US"/>
              </w:rPr>
              <w:t>：</w:t>
            </w:r>
            <w:r>
              <w:rPr>
                <w:sz w:val="24"/>
                <w:highlight w:val="none"/>
              </w:rPr>
              <w:t>按照赢标电子招标采购交易平台（菏泽专区）使用费标准执行。</w:t>
            </w:r>
          </w:p>
          <w:tbl>
            <w:tblPr>
              <w:tblStyle w:val="25"/>
              <w:tblW w:w="7180" w:type="dxa"/>
              <w:tblInd w:w="93" w:type="dxa"/>
              <w:tblLayout w:type="fixed"/>
              <w:tblCellMar>
                <w:top w:w="0" w:type="dxa"/>
                <w:left w:w="108" w:type="dxa"/>
                <w:bottom w:w="0" w:type="dxa"/>
                <w:right w:w="108" w:type="dxa"/>
              </w:tblCellMar>
            </w:tblPr>
            <w:tblGrid>
              <w:gridCol w:w="605"/>
              <w:gridCol w:w="2450"/>
              <w:gridCol w:w="1112"/>
              <w:gridCol w:w="3013"/>
            </w:tblGrid>
            <w:tr>
              <w:tblPrEx>
                <w:tblCellMar>
                  <w:top w:w="0" w:type="dxa"/>
                  <w:left w:w="108" w:type="dxa"/>
                  <w:bottom w:w="0" w:type="dxa"/>
                  <w:right w:w="108" w:type="dxa"/>
                </w:tblCellMar>
              </w:tblPrEx>
              <w:trPr>
                <w:trHeight w:val="660" w:hRule="atLeast"/>
              </w:trPr>
              <w:tc>
                <w:tcPr>
                  <w:tcW w:w="7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8"/>
                      <w:szCs w:val="28"/>
                      <w:highlight w:val="none"/>
                    </w:rPr>
                  </w:pPr>
                  <w:r>
                    <w:rPr>
                      <w:rFonts w:hint="eastAsia" w:ascii="宋体" w:hAnsi="宋体" w:cs="宋体"/>
                      <w:b/>
                      <w:bCs/>
                      <w:color w:val="000000"/>
                      <w:kern w:val="0"/>
                      <w:sz w:val="24"/>
                      <w:highlight w:val="none"/>
                      <w:lang w:bidi="ar"/>
                    </w:rPr>
                    <w:t>政府采购项目收费标准</w:t>
                  </w:r>
                </w:p>
              </w:tc>
            </w:tr>
            <w:tr>
              <w:tblPrEx>
                <w:tblCellMar>
                  <w:top w:w="0" w:type="dxa"/>
                  <w:left w:w="108" w:type="dxa"/>
                  <w:bottom w:w="0" w:type="dxa"/>
                  <w:right w:w="108" w:type="dxa"/>
                </w:tblCellMar>
              </w:tblPrEx>
              <w:trPr>
                <w:trHeight w:val="6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区间</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概</w:t>
                  </w:r>
                  <w:r>
                    <w:rPr>
                      <w:rStyle w:val="58"/>
                      <w:rFonts w:hint="default"/>
                      <w:sz w:val="21"/>
                      <w:szCs w:val="21"/>
                      <w:highlight w:val="none"/>
                      <w:lang w:bidi="ar"/>
                    </w:rPr>
                    <w:t>（估）价范围</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收费金额</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备注</w:t>
                  </w:r>
                </w:p>
              </w:tc>
            </w:tr>
            <w:tr>
              <w:tblPrEx>
                <w:tblCellMar>
                  <w:top w:w="0" w:type="dxa"/>
                  <w:left w:w="108" w:type="dxa"/>
                  <w:bottom w:w="0" w:type="dxa"/>
                  <w:right w:w="108" w:type="dxa"/>
                </w:tblCellMar>
              </w:tblPrEx>
              <w:trPr>
                <w:trHeight w:val="6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Cs w:val="21"/>
                      <w:highlight w:val="none"/>
                      <w:lang w:bidi="ar"/>
                    </w:rPr>
                    <w:t>概（估）价&lt;50万</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w:t>
                  </w:r>
                  <w:r>
                    <w:rPr>
                      <w:rFonts w:hint="eastAsia" w:ascii="宋体" w:hAnsi="宋体" w:cs="宋体"/>
                      <w:color w:val="000000"/>
                      <w:kern w:val="0"/>
                      <w:szCs w:val="21"/>
                      <w:highlight w:val="none"/>
                      <w:lang w:bidi="ar"/>
                    </w:rPr>
                    <w:t>000元</w:t>
                  </w:r>
                </w:p>
              </w:tc>
              <w:tc>
                <w:tcPr>
                  <w:tcW w:w="3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rPr>
                    <w:t>未中标的费用将在中标结果公示发布后，三个工作日内原路退回</w:t>
                  </w:r>
                </w:p>
              </w:tc>
            </w:tr>
            <w:tr>
              <w:tblPrEx>
                <w:tblCellMar>
                  <w:top w:w="0" w:type="dxa"/>
                  <w:left w:w="108" w:type="dxa"/>
                  <w:bottom w:w="0" w:type="dxa"/>
                  <w:right w:w="108" w:type="dxa"/>
                </w:tblCellMar>
              </w:tblPrEx>
              <w:trPr>
                <w:trHeight w:val="6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50万≤概（估）价&lt;300万</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2000</w:t>
                  </w:r>
                  <w:r>
                    <w:rPr>
                      <w:rFonts w:hint="eastAsia" w:ascii="宋体" w:hAnsi="宋体" w:cs="宋体"/>
                      <w:color w:val="000000"/>
                      <w:kern w:val="0"/>
                      <w:szCs w:val="21"/>
                      <w:highlight w:val="none"/>
                      <w:lang w:bidi="ar"/>
                    </w:rPr>
                    <w:t>元</w:t>
                  </w:r>
                </w:p>
              </w:tc>
              <w:tc>
                <w:tcPr>
                  <w:tcW w:w="3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r>
            <w:tr>
              <w:tblPrEx>
                <w:tblCellMar>
                  <w:top w:w="0" w:type="dxa"/>
                  <w:left w:w="108" w:type="dxa"/>
                  <w:bottom w:w="0" w:type="dxa"/>
                  <w:right w:w="108" w:type="dxa"/>
                </w:tblCellMar>
              </w:tblPrEx>
              <w:trPr>
                <w:trHeight w:val="6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300</w:t>
                  </w:r>
                  <w:r>
                    <w:rPr>
                      <w:rFonts w:hint="eastAsia" w:ascii="宋体" w:hAnsi="宋体" w:cs="宋体"/>
                      <w:color w:val="000000"/>
                      <w:kern w:val="0"/>
                      <w:szCs w:val="21"/>
                      <w:highlight w:val="none"/>
                      <w:lang w:bidi="ar"/>
                    </w:rPr>
                    <w:t>万≤</w:t>
                  </w:r>
                  <w:r>
                    <w:rPr>
                      <w:rStyle w:val="59"/>
                      <w:sz w:val="21"/>
                      <w:szCs w:val="21"/>
                      <w:highlight w:val="none"/>
                      <w:lang w:bidi="ar"/>
                    </w:rPr>
                    <w:t>概</w:t>
                  </w:r>
                  <w:r>
                    <w:rPr>
                      <w:rFonts w:hint="eastAsia" w:ascii="宋体" w:hAnsi="宋体" w:cs="宋体"/>
                      <w:color w:val="000000"/>
                      <w:kern w:val="0"/>
                      <w:szCs w:val="21"/>
                      <w:highlight w:val="none"/>
                      <w:lang w:bidi="ar"/>
                    </w:rPr>
                    <w:t>（估）价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3000</w:t>
                  </w:r>
                  <w:r>
                    <w:rPr>
                      <w:rFonts w:hint="eastAsia" w:ascii="宋体" w:hAnsi="宋体" w:cs="宋体"/>
                      <w:color w:val="000000"/>
                      <w:kern w:val="0"/>
                      <w:szCs w:val="21"/>
                      <w:highlight w:val="none"/>
                      <w:lang w:bidi="ar"/>
                    </w:rPr>
                    <w:t>元</w:t>
                  </w:r>
                </w:p>
              </w:tc>
              <w:tc>
                <w:tcPr>
                  <w:tcW w:w="3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r>
            <w:tr>
              <w:tblPrEx>
                <w:tblCellMar>
                  <w:top w:w="0" w:type="dxa"/>
                  <w:left w:w="108" w:type="dxa"/>
                  <w:bottom w:w="0" w:type="dxa"/>
                  <w:right w:w="108" w:type="dxa"/>
                </w:tblCellMar>
              </w:tblPrEx>
              <w:trPr>
                <w:trHeight w:val="780" w:hRule="atLeast"/>
              </w:trPr>
              <w:tc>
                <w:tcPr>
                  <w:tcW w:w="7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备注：平台技术联系人：毕老师 15898683755   刘老师15552513997</w:t>
                  </w:r>
                </w:p>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平台收费联系人：毕老师 15898683755</w:t>
                  </w:r>
                </w:p>
              </w:tc>
            </w:tr>
          </w:tbl>
          <w:p>
            <w:pPr>
              <w:pStyle w:val="49"/>
              <w:spacing w:line="340" w:lineRule="atLeast"/>
              <w:jc w:val="left"/>
              <w:rPr>
                <w:sz w:val="24"/>
                <w:highlight w:val="none"/>
              </w:rPr>
            </w:pPr>
          </w:p>
          <w:p>
            <w:pPr>
              <w:pStyle w:val="49"/>
              <w:spacing w:line="340" w:lineRule="atLeast"/>
              <w:jc w:val="left"/>
              <w:rPr>
                <w:b/>
                <w:bCs/>
                <w:sz w:val="24"/>
                <w:highlight w:val="none"/>
              </w:rPr>
            </w:pPr>
            <w:r>
              <w:rPr>
                <w:rFonts w:hint="eastAsia"/>
                <w:b/>
                <w:bCs/>
                <w:sz w:val="24"/>
                <w:highlight w:val="none"/>
                <w:lang w:val="en-US" w:eastAsia="zh-CN"/>
              </w:rPr>
              <w:t>3</w:t>
            </w:r>
            <w:r>
              <w:rPr>
                <w:rFonts w:hint="eastAsia"/>
                <w:b/>
                <w:bCs/>
                <w:sz w:val="24"/>
                <w:highlight w:val="none"/>
                <w:lang w:val="en-US"/>
              </w:rPr>
              <w:t>、</w:t>
            </w:r>
            <w:r>
              <w:rPr>
                <w:rFonts w:hint="eastAsia"/>
                <w:b/>
                <w:bCs/>
                <w:sz w:val="24"/>
                <w:highlight w:val="none"/>
              </w:rPr>
              <w:t>菏泽市公共资源 (国有产权) 电子平台使用费收费标准如下：</w:t>
            </w:r>
          </w:p>
          <w:p>
            <w:pPr>
              <w:pStyle w:val="49"/>
              <w:spacing w:line="340" w:lineRule="atLeast"/>
              <w:jc w:val="left"/>
              <w:rPr>
                <w:sz w:val="24"/>
                <w:highlight w:val="none"/>
              </w:rPr>
            </w:pPr>
            <w:r>
              <w:rPr>
                <w:rFonts w:hint="eastAsia"/>
                <w:sz w:val="24"/>
                <w:highlight w:val="none"/>
              </w:rPr>
              <w:t>以中标价为基数，按比例分段累进计费，由成交人领取成交通知书前缴纳至菏泽市公共资源 (国有产权) 交易中心。具体缴费比例如下：</w:t>
            </w:r>
          </w:p>
          <w:tbl>
            <w:tblPr>
              <w:tblStyle w:val="26"/>
              <w:tblW w:w="7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3" w:type="dxa"/>
                </w:tcPr>
                <w:p>
                  <w:pPr>
                    <w:spacing w:before="211" w:line="227" w:lineRule="auto"/>
                    <w:ind w:left="118"/>
                    <w:rPr>
                      <w:rFonts w:ascii="宋体" w:hAnsi="宋体" w:cs="宋体"/>
                      <w:sz w:val="24"/>
                      <w:highlight w:val="none"/>
                    </w:rPr>
                  </w:pPr>
                  <w:r>
                    <w:rPr>
                      <w:rFonts w:ascii="宋体" w:hAnsi="宋体" w:cs="宋体"/>
                      <w:spacing w:val="-2"/>
                      <w:sz w:val="23"/>
                      <w:szCs w:val="23"/>
                      <w:highlight w:val="none"/>
                    </w:rPr>
                    <w:t xml:space="preserve">300 万元 (含 300 万元) </w:t>
                  </w:r>
                  <w:r>
                    <w:rPr>
                      <w:rFonts w:ascii="宋体" w:hAnsi="宋体" w:cs="宋体"/>
                      <w:spacing w:val="-1"/>
                      <w:sz w:val="23"/>
                      <w:szCs w:val="23"/>
                      <w:highlight w:val="none"/>
                    </w:rPr>
                    <w:t>以下部分</w:t>
                  </w:r>
                </w:p>
              </w:tc>
              <w:tc>
                <w:tcPr>
                  <w:tcW w:w="2551" w:type="dxa"/>
                </w:tcPr>
                <w:p>
                  <w:pPr>
                    <w:spacing w:before="210" w:line="232" w:lineRule="auto"/>
                    <w:ind w:left="1018"/>
                    <w:rPr>
                      <w:rFonts w:ascii="宋体" w:hAnsi="宋体" w:cs="宋体"/>
                      <w:sz w:val="24"/>
                      <w:highlight w:val="none"/>
                    </w:rPr>
                  </w:pPr>
                  <w:r>
                    <w:rPr>
                      <w:rFonts w:ascii="宋体" w:hAnsi="宋体" w:cs="宋体"/>
                      <w:spacing w:val="4"/>
                      <w:sz w:val="23"/>
                      <w:szCs w:val="23"/>
                      <w:highlight w:val="none"/>
                    </w:rPr>
                    <w:t>0</w:t>
                  </w:r>
                  <w:r>
                    <w:rPr>
                      <w:rFonts w:ascii="宋体" w:hAnsi="宋体" w:cs="宋体"/>
                      <w:spacing w:val="3"/>
                      <w:sz w:val="23"/>
                      <w:szCs w:val="23"/>
                      <w:highlight w:val="none"/>
                    </w:rPr>
                    <w:t>.</w:t>
                  </w:r>
                  <w:r>
                    <w:rPr>
                      <w:rFonts w:ascii="宋体" w:hAnsi="宋体" w:cs="宋体"/>
                      <w:spacing w:val="2"/>
                      <w:sz w:val="23"/>
                      <w:szCs w:val="23"/>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3" w:type="dxa"/>
                </w:tcPr>
                <w:p>
                  <w:pPr>
                    <w:spacing w:before="210" w:line="227" w:lineRule="auto"/>
                    <w:ind w:left="118"/>
                    <w:rPr>
                      <w:rFonts w:ascii="宋体" w:hAnsi="宋体" w:cs="宋体"/>
                      <w:sz w:val="24"/>
                      <w:highlight w:val="none"/>
                    </w:rPr>
                  </w:pPr>
                  <w:r>
                    <w:rPr>
                      <w:rFonts w:ascii="宋体" w:hAnsi="宋体" w:cs="宋体"/>
                      <w:spacing w:val="-8"/>
                      <w:sz w:val="23"/>
                      <w:szCs w:val="23"/>
                      <w:highlight w:val="none"/>
                    </w:rPr>
                    <w:t>3</w:t>
                  </w:r>
                  <w:r>
                    <w:rPr>
                      <w:rFonts w:ascii="宋体" w:hAnsi="宋体" w:cs="宋体"/>
                      <w:spacing w:val="-4"/>
                      <w:sz w:val="23"/>
                      <w:szCs w:val="23"/>
                      <w:highlight w:val="none"/>
                    </w:rPr>
                    <w:t>00 万元—500 万元 (含 500 万元)</w:t>
                  </w:r>
                </w:p>
              </w:tc>
              <w:tc>
                <w:tcPr>
                  <w:tcW w:w="2551" w:type="dxa"/>
                </w:tcPr>
                <w:p>
                  <w:pPr>
                    <w:spacing w:before="209" w:line="233" w:lineRule="auto"/>
                    <w:ind w:left="1018"/>
                    <w:rPr>
                      <w:rFonts w:ascii="宋体" w:hAnsi="宋体" w:cs="宋体"/>
                      <w:sz w:val="24"/>
                      <w:highlight w:val="none"/>
                    </w:rPr>
                  </w:pPr>
                  <w:r>
                    <w:rPr>
                      <w:rFonts w:ascii="宋体" w:hAnsi="宋体" w:cs="宋体"/>
                      <w:spacing w:val="4"/>
                      <w:sz w:val="23"/>
                      <w:szCs w:val="23"/>
                      <w:highlight w:val="none"/>
                    </w:rPr>
                    <w:t>0</w:t>
                  </w:r>
                  <w:r>
                    <w:rPr>
                      <w:rFonts w:ascii="宋体" w:hAnsi="宋体" w:cs="宋体"/>
                      <w:spacing w:val="3"/>
                      <w:sz w:val="23"/>
                      <w:szCs w:val="23"/>
                      <w:highlight w:val="none"/>
                    </w:rPr>
                    <w:t>.</w:t>
                  </w:r>
                  <w:r>
                    <w:rPr>
                      <w:rFonts w:ascii="宋体" w:hAnsi="宋体" w:cs="宋体"/>
                      <w:spacing w:val="2"/>
                      <w:sz w:val="23"/>
                      <w:szCs w:val="23"/>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3" w:type="dxa"/>
                </w:tcPr>
                <w:p>
                  <w:pPr>
                    <w:spacing w:before="211" w:line="227" w:lineRule="auto"/>
                    <w:ind w:left="118"/>
                    <w:rPr>
                      <w:rFonts w:ascii="宋体" w:hAnsi="宋体" w:cs="宋体"/>
                      <w:sz w:val="24"/>
                      <w:highlight w:val="none"/>
                    </w:rPr>
                  </w:pPr>
                  <w:r>
                    <w:rPr>
                      <w:rFonts w:ascii="宋体" w:hAnsi="宋体" w:cs="宋体"/>
                      <w:spacing w:val="-14"/>
                      <w:sz w:val="23"/>
                      <w:szCs w:val="23"/>
                      <w:highlight w:val="none"/>
                    </w:rPr>
                    <w:t>50</w:t>
                  </w:r>
                  <w:r>
                    <w:rPr>
                      <w:rFonts w:ascii="宋体" w:hAnsi="宋体" w:cs="宋体"/>
                      <w:spacing w:val="-9"/>
                      <w:sz w:val="23"/>
                      <w:szCs w:val="23"/>
                      <w:highlight w:val="none"/>
                    </w:rPr>
                    <w:t>0</w:t>
                  </w:r>
                  <w:r>
                    <w:rPr>
                      <w:rFonts w:ascii="宋体" w:hAnsi="宋体" w:cs="宋体"/>
                      <w:spacing w:val="-7"/>
                      <w:sz w:val="23"/>
                      <w:szCs w:val="23"/>
                      <w:highlight w:val="none"/>
                    </w:rPr>
                    <w:t xml:space="preserve"> 万元— 1000 万元 (含 1000 万元)</w:t>
                  </w:r>
                </w:p>
              </w:tc>
              <w:tc>
                <w:tcPr>
                  <w:tcW w:w="2551" w:type="dxa"/>
                </w:tcPr>
                <w:p>
                  <w:pPr>
                    <w:spacing w:before="210" w:line="232" w:lineRule="auto"/>
                    <w:ind w:left="1018"/>
                    <w:rPr>
                      <w:rFonts w:ascii="宋体" w:hAnsi="宋体" w:cs="宋体"/>
                      <w:sz w:val="24"/>
                      <w:highlight w:val="none"/>
                    </w:rPr>
                  </w:pPr>
                  <w:r>
                    <w:rPr>
                      <w:rFonts w:ascii="宋体" w:hAnsi="宋体" w:cs="宋体"/>
                      <w:spacing w:val="4"/>
                      <w:sz w:val="23"/>
                      <w:szCs w:val="23"/>
                      <w:highlight w:val="none"/>
                    </w:rPr>
                    <w:t>0</w:t>
                  </w:r>
                  <w:r>
                    <w:rPr>
                      <w:rFonts w:ascii="宋体" w:hAnsi="宋体" w:cs="宋体"/>
                      <w:spacing w:val="3"/>
                      <w:sz w:val="23"/>
                      <w:szCs w:val="23"/>
                      <w:highlight w:val="none"/>
                    </w:rPr>
                    <w:t>.</w:t>
                  </w:r>
                  <w:r>
                    <w:rPr>
                      <w:rFonts w:ascii="宋体" w:hAnsi="宋体" w:cs="宋体"/>
                      <w:spacing w:val="2"/>
                      <w:sz w:val="23"/>
                      <w:szCs w:val="23"/>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3" w:type="dxa"/>
                </w:tcPr>
                <w:p>
                  <w:pPr>
                    <w:spacing w:before="210" w:line="227" w:lineRule="auto"/>
                    <w:ind w:left="131"/>
                    <w:rPr>
                      <w:rFonts w:ascii="宋体" w:hAnsi="宋体" w:cs="宋体"/>
                      <w:sz w:val="24"/>
                      <w:highlight w:val="none"/>
                    </w:rPr>
                  </w:pPr>
                  <w:r>
                    <w:rPr>
                      <w:rFonts w:ascii="宋体" w:hAnsi="宋体" w:cs="宋体"/>
                      <w:spacing w:val="-6"/>
                      <w:sz w:val="23"/>
                      <w:szCs w:val="23"/>
                      <w:highlight w:val="none"/>
                    </w:rPr>
                    <w:t xml:space="preserve">1000 </w:t>
                  </w:r>
                  <w:r>
                    <w:rPr>
                      <w:rFonts w:ascii="宋体" w:hAnsi="宋体" w:cs="宋体"/>
                      <w:spacing w:val="-5"/>
                      <w:sz w:val="23"/>
                      <w:szCs w:val="23"/>
                      <w:highlight w:val="none"/>
                    </w:rPr>
                    <w:t>万</w:t>
                  </w:r>
                  <w:r>
                    <w:rPr>
                      <w:rFonts w:ascii="宋体" w:hAnsi="宋体" w:cs="宋体"/>
                      <w:spacing w:val="-3"/>
                      <w:sz w:val="23"/>
                      <w:szCs w:val="23"/>
                      <w:highlight w:val="none"/>
                    </w:rPr>
                    <w:t>元—3000 万元 (含 3000 万元)</w:t>
                  </w:r>
                </w:p>
              </w:tc>
              <w:tc>
                <w:tcPr>
                  <w:tcW w:w="2551" w:type="dxa"/>
                </w:tcPr>
                <w:p>
                  <w:pPr>
                    <w:spacing w:before="210" w:line="232" w:lineRule="auto"/>
                    <w:ind w:left="1018"/>
                    <w:rPr>
                      <w:rFonts w:ascii="宋体" w:hAnsi="宋体" w:cs="宋体"/>
                      <w:sz w:val="24"/>
                      <w:highlight w:val="none"/>
                    </w:rPr>
                  </w:pPr>
                  <w:r>
                    <w:rPr>
                      <w:rFonts w:ascii="宋体" w:hAnsi="宋体" w:cs="宋体"/>
                      <w:spacing w:val="4"/>
                      <w:sz w:val="23"/>
                      <w:szCs w:val="23"/>
                      <w:highlight w:val="none"/>
                    </w:rPr>
                    <w:t>0</w:t>
                  </w:r>
                  <w:r>
                    <w:rPr>
                      <w:rFonts w:ascii="宋体" w:hAnsi="宋体" w:cs="宋体"/>
                      <w:spacing w:val="3"/>
                      <w:sz w:val="23"/>
                      <w:szCs w:val="23"/>
                      <w:highlight w:val="none"/>
                    </w:rPr>
                    <w:t>.</w:t>
                  </w:r>
                  <w:r>
                    <w:rPr>
                      <w:rFonts w:ascii="宋体" w:hAnsi="宋体" w:cs="宋体"/>
                      <w:spacing w:val="2"/>
                      <w:sz w:val="23"/>
                      <w:szCs w:val="23"/>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3" w:type="dxa"/>
                </w:tcPr>
                <w:p>
                  <w:pPr>
                    <w:spacing w:before="212" w:line="227" w:lineRule="auto"/>
                    <w:ind w:left="118"/>
                    <w:rPr>
                      <w:rFonts w:ascii="宋体" w:hAnsi="宋体" w:cs="宋体"/>
                      <w:sz w:val="24"/>
                      <w:highlight w:val="none"/>
                    </w:rPr>
                  </w:pPr>
                  <w:r>
                    <w:rPr>
                      <w:rFonts w:ascii="宋体" w:hAnsi="宋体" w:cs="宋体"/>
                      <w:spacing w:val="-3"/>
                      <w:sz w:val="23"/>
                      <w:szCs w:val="23"/>
                      <w:highlight w:val="none"/>
                    </w:rPr>
                    <w:t>3000 万元—5000 万元  (含 5000 万</w:t>
                  </w:r>
                  <w:r>
                    <w:rPr>
                      <w:rFonts w:ascii="宋体" w:hAnsi="宋体" w:cs="宋体"/>
                      <w:spacing w:val="-2"/>
                      <w:sz w:val="23"/>
                      <w:szCs w:val="23"/>
                      <w:highlight w:val="none"/>
                    </w:rPr>
                    <w:t>元</w:t>
                  </w:r>
                  <w:r>
                    <w:rPr>
                      <w:rFonts w:ascii="宋体" w:hAnsi="宋体" w:cs="宋体"/>
                      <w:sz w:val="23"/>
                      <w:szCs w:val="23"/>
                      <w:highlight w:val="none"/>
                    </w:rPr>
                    <w:t>)</w:t>
                  </w:r>
                </w:p>
              </w:tc>
              <w:tc>
                <w:tcPr>
                  <w:tcW w:w="2551" w:type="dxa"/>
                </w:tcPr>
                <w:p>
                  <w:pPr>
                    <w:spacing w:before="212" w:line="231" w:lineRule="auto"/>
                    <w:ind w:left="1018"/>
                    <w:rPr>
                      <w:rFonts w:ascii="宋体" w:hAnsi="宋体" w:cs="宋体"/>
                      <w:sz w:val="24"/>
                      <w:highlight w:val="none"/>
                    </w:rPr>
                  </w:pPr>
                  <w:r>
                    <w:rPr>
                      <w:rFonts w:ascii="宋体" w:hAnsi="宋体" w:cs="宋体"/>
                      <w:spacing w:val="4"/>
                      <w:sz w:val="23"/>
                      <w:szCs w:val="23"/>
                      <w:highlight w:val="none"/>
                    </w:rPr>
                    <w:t>0</w:t>
                  </w:r>
                  <w:r>
                    <w:rPr>
                      <w:rFonts w:ascii="宋体" w:hAnsi="宋体" w:cs="宋体"/>
                      <w:spacing w:val="3"/>
                      <w:sz w:val="23"/>
                      <w:szCs w:val="23"/>
                      <w:highlight w:val="none"/>
                    </w:rPr>
                    <w:t>.</w:t>
                  </w:r>
                  <w:r>
                    <w:rPr>
                      <w:rFonts w:ascii="宋体" w:hAnsi="宋体" w:cs="宋体"/>
                      <w:spacing w:val="2"/>
                      <w:sz w:val="23"/>
                      <w:szCs w:val="23"/>
                      <w:highlight w:val="none"/>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3" w:type="dxa"/>
                </w:tcPr>
                <w:p>
                  <w:pPr>
                    <w:spacing w:before="211" w:line="227" w:lineRule="auto"/>
                    <w:ind w:left="118"/>
                    <w:rPr>
                      <w:rFonts w:ascii="宋体" w:hAnsi="宋体" w:cs="宋体"/>
                      <w:sz w:val="24"/>
                      <w:highlight w:val="none"/>
                    </w:rPr>
                  </w:pPr>
                  <w:r>
                    <w:rPr>
                      <w:rFonts w:ascii="宋体" w:hAnsi="宋体" w:cs="宋体"/>
                      <w:spacing w:val="-10"/>
                      <w:sz w:val="23"/>
                      <w:szCs w:val="23"/>
                      <w:highlight w:val="none"/>
                    </w:rPr>
                    <w:t>500</w:t>
                  </w:r>
                  <w:r>
                    <w:rPr>
                      <w:rFonts w:ascii="宋体" w:hAnsi="宋体" w:cs="宋体"/>
                      <w:spacing w:val="-5"/>
                      <w:sz w:val="23"/>
                      <w:szCs w:val="23"/>
                      <w:highlight w:val="none"/>
                    </w:rPr>
                    <w:t>0 万元-1 亿元 (含 1 亿元)</w:t>
                  </w:r>
                </w:p>
              </w:tc>
              <w:tc>
                <w:tcPr>
                  <w:tcW w:w="2551" w:type="dxa"/>
                </w:tcPr>
                <w:p>
                  <w:pPr>
                    <w:spacing w:before="210" w:line="242" w:lineRule="auto"/>
                    <w:ind w:left="1018"/>
                    <w:rPr>
                      <w:rFonts w:ascii="宋体" w:hAnsi="宋体" w:cs="宋体"/>
                      <w:sz w:val="24"/>
                      <w:highlight w:val="none"/>
                    </w:rPr>
                  </w:pPr>
                  <w:r>
                    <w:rPr>
                      <w:rFonts w:ascii="宋体" w:hAnsi="宋体" w:cs="宋体"/>
                      <w:spacing w:val="4"/>
                      <w:sz w:val="23"/>
                      <w:szCs w:val="23"/>
                      <w:highlight w:val="none"/>
                    </w:rPr>
                    <w:t>0</w:t>
                  </w:r>
                  <w:r>
                    <w:rPr>
                      <w:rFonts w:ascii="宋体" w:hAnsi="宋体" w:cs="宋体"/>
                      <w:spacing w:val="3"/>
                      <w:sz w:val="23"/>
                      <w:szCs w:val="23"/>
                      <w:highlight w:val="none"/>
                    </w:rPr>
                    <w:t>.</w:t>
                  </w:r>
                  <w:r>
                    <w:rPr>
                      <w:rFonts w:ascii="宋体" w:hAnsi="宋体" w:cs="宋体"/>
                      <w:spacing w:val="2"/>
                      <w:sz w:val="23"/>
                      <w:szCs w:val="23"/>
                      <w:highlight w:val="none"/>
                    </w:rPr>
                    <w:t>05%</w:t>
                  </w:r>
                </w:p>
              </w:tc>
            </w:tr>
          </w:tbl>
          <w:p>
            <w:pPr>
              <w:pStyle w:val="49"/>
              <w:spacing w:line="340" w:lineRule="atLeast"/>
              <w:jc w:val="left"/>
              <w:rPr>
                <w:b/>
                <w:bCs/>
                <w:sz w:val="24"/>
                <w:highlight w:val="none"/>
              </w:rPr>
            </w:pPr>
            <w:r>
              <w:rPr>
                <w:rFonts w:hint="eastAsia"/>
                <w:b/>
                <w:bCs/>
                <w:sz w:val="24"/>
                <w:highlight w:val="none"/>
              </w:rPr>
              <w:t>备注：</w:t>
            </w:r>
          </w:p>
          <w:p>
            <w:pPr>
              <w:pStyle w:val="49"/>
              <w:spacing w:line="340" w:lineRule="atLeast"/>
              <w:jc w:val="left"/>
              <w:rPr>
                <w:sz w:val="24"/>
                <w:highlight w:val="none"/>
              </w:rPr>
            </w:pPr>
            <w:r>
              <w:rPr>
                <w:rFonts w:hint="eastAsia"/>
                <w:sz w:val="24"/>
                <w:highlight w:val="none"/>
              </w:rPr>
              <w:t>1 、单项最低收费 1000 元。</w:t>
            </w:r>
          </w:p>
          <w:p>
            <w:pPr>
              <w:pStyle w:val="49"/>
              <w:spacing w:line="340" w:lineRule="atLeast"/>
              <w:jc w:val="left"/>
              <w:rPr>
                <w:sz w:val="24"/>
                <w:highlight w:val="none"/>
              </w:rPr>
            </w:pPr>
            <w:r>
              <w:rPr>
                <w:rFonts w:hint="eastAsia"/>
                <w:sz w:val="24"/>
                <w:highlight w:val="none"/>
              </w:rPr>
              <w:t>2 、货物与服务类项目中标金额/成交金额超出3000万元 (不含3000 万元) 部分不再收取菏泽市公共资源 (国有产权) 电子平台使用费。</w:t>
            </w:r>
          </w:p>
          <w:p>
            <w:pPr>
              <w:pStyle w:val="49"/>
              <w:spacing w:line="340" w:lineRule="atLeast"/>
              <w:jc w:val="left"/>
              <w:rPr>
                <w:sz w:val="24"/>
                <w:highlight w:val="none"/>
                <w:lang w:val="en-US"/>
              </w:rPr>
            </w:pPr>
            <w:r>
              <w:rPr>
                <w:rFonts w:hint="eastAsia"/>
                <w:sz w:val="24"/>
                <w:highlight w:val="none"/>
              </w:rPr>
              <w:t>3 、工程类项目中标金额/成交金额超出1亿元(不含1亿元)部分不再收取菏泽市公共资源 (国有产权) 电子平台使用费。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noWrap/>
            <w:vAlign w:val="center"/>
          </w:tcPr>
          <w:p>
            <w:pPr>
              <w:spacing w:line="340" w:lineRule="atLeast"/>
              <w:jc w:val="center"/>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val="en-US" w:eastAsia="zh-CN"/>
              </w:rPr>
              <w:t>7</w:t>
            </w:r>
          </w:p>
        </w:tc>
        <w:tc>
          <w:tcPr>
            <w:tcW w:w="1746" w:type="dxa"/>
            <w:noWrap/>
          </w:tcPr>
          <w:p>
            <w:pPr>
              <w:pStyle w:val="49"/>
              <w:spacing w:before="174" w:line="340" w:lineRule="atLeast"/>
              <w:jc w:val="center"/>
              <w:rPr>
                <w:sz w:val="24"/>
              </w:rPr>
            </w:pPr>
          </w:p>
          <w:p>
            <w:pPr>
              <w:pStyle w:val="49"/>
              <w:spacing w:before="174" w:line="340" w:lineRule="atLeast"/>
              <w:jc w:val="center"/>
              <w:rPr>
                <w:sz w:val="24"/>
              </w:rPr>
            </w:pPr>
          </w:p>
          <w:p>
            <w:pPr>
              <w:pStyle w:val="49"/>
              <w:spacing w:before="174" w:line="340" w:lineRule="atLeast"/>
              <w:jc w:val="center"/>
              <w:rPr>
                <w:sz w:val="24"/>
              </w:rPr>
            </w:pPr>
          </w:p>
          <w:p>
            <w:pPr>
              <w:pStyle w:val="49"/>
              <w:spacing w:before="174" w:line="340" w:lineRule="atLeast"/>
              <w:jc w:val="center"/>
              <w:rPr>
                <w:sz w:val="24"/>
              </w:rPr>
            </w:pPr>
          </w:p>
          <w:p>
            <w:pPr>
              <w:pStyle w:val="49"/>
              <w:spacing w:before="174" w:line="340" w:lineRule="atLeast"/>
              <w:jc w:val="center"/>
              <w:rPr>
                <w:sz w:val="24"/>
              </w:rPr>
            </w:pPr>
          </w:p>
          <w:p>
            <w:pPr>
              <w:pStyle w:val="49"/>
              <w:spacing w:before="174" w:line="340" w:lineRule="atLeast"/>
              <w:jc w:val="center"/>
              <w:rPr>
                <w:sz w:val="24"/>
              </w:rPr>
            </w:pPr>
          </w:p>
          <w:p>
            <w:pPr>
              <w:pStyle w:val="49"/>
              <w:spacing w:before="174" w:line="340" w:lineRule="atLeast"/>
              <w:jc w:val="center"/>
              <w:rPr>
                <w:sz w:val="24"/>
              </w:rPr>
            </w:pPr>
          </w:p>
          <w:p>
            <w:pPr>
              <w:pStyle w:val="49"/>
              <w:spacing w:before="174" w:line="340" w:lineRule="atLeast"/>
              <w:jc w:val="center"/>
              <w:rPr>
                <w:sz w:val="24"/>
              </w:rPr>
            </w:pPr>
          </w:p>
          <w:p>
            <w:pPr>
              <w:pStyle w:val="49"/>
              <w:spacing w:before="174" w:line="340" w:lineRule="atLeast"/>
              <w:jc w:val="center"/>
              <w:rPr>
                <w:sz w:val="24"/>
              </w:rPr>
            </w:pPr>
          </w:p>
          <w:p>
            <w:pPr>
              <w:pStyle w:val="49"/>
              <w:spacing w:before="174" w:line="340" w:lineRule="atLeast"/>
              <w:jc w:val="center"/>
              <w:rPr>
                <w:sz w:val="24"/>
              </w:rPr>
            </w:pPr>
          </w:p>
          <w:p>
            <w:pPr>
              <w:pStyle w:val="49"/>
              <w:spacing w:before="174" w:line="340" w:lineRule="atLeast"/>
              <w:jc w:val="center"/>
              <w:rPr>
                <w:sz w:val="24"/>
              </w:rPr>
            </w:pPr>
          </w:p>
          <w:p>
            <w:pPr>
              <w:pStyle w:val="49"/>
              <w:spacing w:before="174" w:line="340" w:lineRule="atLeast"/>
              <w:jc w:val="center"/>
              <w:rPr>
                <w:sz w:val="24"/>
              </w:rPr>
            </w:pPr>
          </w:p>
          <w:p>
            <w:pPr>
              <w:pStyle w:val="49"/>
              <w:spacing w:before="174" w:line="340" w:lineRule="atLeast"/>
              <w:jc w:val="center"/>
              <w:rPr>
                <w:sz w:val="24"/>
              </w:rPr>
            </w:pPr>
          </w:p>
          <w:p>
            <w:pPr>
              <w:pStyle w:val="49"/>
              <w:spacing w:before="174" w:line="340" w:lineRule="atLeast"/>
              <w:jc w:val="center"/>
              <w:rPr>
                <w:sz w:val="24"/>
                <w:lang w:val="en-US" w:bidi="ar-SA"/>
              </w:rPr>
            </w:pPr>
            <w:r>
              <w:rPr>
                <w:sz w:val="24"/>
              </w:rPr>
              <w:t>电子招投标须知</w:t>
            </w:r>
          </w:p>
        </w:tc>
        <w:tc>
          <w:tcPr>
            <w:tcW w:w="7570" w:type="dxa"/>
            <w:noWrap/>
          </w:tcPr>
          <w:p>
            <w:pPr>
              <w:pStyle w:val="49"/>
              <w:spacing w:before="81" w:line="340" w:lineRule="atLeast"/>
              <w:rPr>
                <w:sz w:val="24"/>
              </w:rPr>
            </w:pPr>
            <w:r>
              <w:rPr>
                <w:rFonts w:hint="eastAsia"/>
                <w:sz w:val="24"/>
              </w:rPr>
              <w:t>响应文件中其他章节与供应商须知有不一致的内容，以供应商须知内容为准。</w:t>
            </w:r>
          </w:p>
          <w:p>
            <w:pPr>
              <w:pStyle w:val="49"/>
              <w:spacing w:before="81" w:line="340" w:lineRule="atLeast"/>
              <w:rPr>
                <w:sz w:val="24"/>
              </w:rPr>
            </w:pPr>
            <w:r>
              <w:rPr>
                <w:rFonts w:hint="eastAsia"/>
                <w:b/>
                <w:bCs/>
                <w:sz w:val="24"/>
              </w:rPr>
              <w:t>1.本次招标活动为电子化招投标，采用远程异地评审模式。</w:t>
            </w:r>
            <w:r>
              <w:rPr>
                <w:rFonts w:hint="eastAsia"/>
                <w:sz w:val="24"/>
              </w:rPr>
              <w:t>供应商应通过赢标电子招标采购交易平台(菏泽专区)http://hz.fzbidding.com/上传经 CA 加密的电子响应文件。</w:t>
            </w:r>
          </w:p>
          <w:p>
            <w:pPr>
              <w:pStyle w:val="49"/>
              <w:spacing w:before="81" w:line="340" w:lineRule="atLeast"/>
              <w:rPr>
                <w:sz w:val="24"/>
              </w:rPr>
            </w:pPr>
            <w:r>
              <w:rPr>
                <w:rFonts w:hint="eastAsia"/>
                <w:sz w:val="24"/>
              </w:rPr>
              <w:t xml:space="preserve">2.在线递交电子响应文件前，供应商应当使用投标客户端及CA为响应文件加密，加密时所有响应文件均只能使用同一把企业CA证书进行加密，否则引起的解密失败的责任由供应商自行承担。加密后请使用投标客户端软件验证解密，以确保电子响应文件未在加密过程中损坏。供应商未按规定加密的响应文件，赢标电子招标采购交易平台(菏泽专区)http://hz.fzbidding.com/将拒绝接收。                     </w:t>
            </w:r>
          </w:p>
          <w:p>
            <w:pPr>
              <w:pStyle w:val="49"/>
              <w:spacing w:before="81" w:line="340" w:lineRule="atLeast"/>
              <w:jc w:val="left"/>
              <w:rPr>
                <w:sz w:val="24"/>
              </w:rPr>
            </w:pPr>
            <w:r>
              <w:rPr>
                <w:rFonts w:hint="eastAsia"/>
                <w:sz w:val="24"/>
              </w:rPr>
              <w:t xml:space="preserve">3.供应商须在投标截止时间前，通过投标客户端生成的加密文件，并在磋商文件规 定 的 开 标 截 止 时 间 前 登 录 赢 标 电 子 招 标 采 购 交 易 平 台 ( 菏 泽 专 区)http://hz.fzbidding.com/递交电子响应文件。 </w:t>
            </w:r>
          </w:p>
          <w:p>
            <w:pPr>
              <w:pStyle w:val="49"/>
              <w:spacing w:before="81" w:line="340" w:lineRule="atLeast"/>
              <w:rPr>
                <w:sz w:val="24"/>
              </w:rPr>
            </w:pPr>
            <w:r>
              <w:rPr>
                <w:rFonts w:hint="eastAsia"/>
                <w:sz w:val="24"/>
              </w:rPr>
              <w:t>4.供应商在递交响应文件之后、在规定的截止时间之前，可随时登录赢标电子招标采购交易平台(菏泽专区)http://hz.fzbidding.com/撤回响应文件。需要补充或修改响应文件时，必须先撤回电子响应文件，修改后重新递交。重新递交的响应文件应按磋商文件的规定编制、加密和CA 签名。在开标截止时间后，不能修改或撤回响应文件。</w:t>
            </w:r>
          </w:p>
          <w:p>
            <w:pPr>
              <w:pStyle w:val="49"/>
              <w:spacing w:before="81" w:line="340" w:lineRule="atLeast"/>
              <w:rPr>
                <w:sz w:val="24"/>
              </w:rPr>
            </w:pPr>
            <w:r>
              <w:rPr>
                <w:rFonts w:hint="eastAsia"/>
                <w:sz w:val="24"/>
              </w:rPr>
              <w:t>5.供应商按磋商文件中规定的时间和地点公开报价，供应商须自备笔记本电脑、CA准时在线参加报价,供应商需使用CA在规定的时间内自行完成解密，解密结束后对开标记录进行电子签章。若供应商在解密规定时间内未完成电子标解密操作，视为放弃该项目投标资格。电子交易过程出现故障时，按相关部门的规定处理。《操作手册》可在 http://hz.fzbidding.com/“下载中心”栏目进行下载。供应商在使用电子招投标平台时，如有任何疑问，请拨打客服电话 15898683755。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noWrap/>
            <w:vAlign w:val="center"/>
          </w:tcPr>
          <w:p>
            <w:pPr>
              <w:spacing w:line="340" w:lineRule="atLeast"/>
              <w:jc w:val="center"/>
              <w:rPr>
                <w:rFonts w:hint="default" w:ascii="宋体" w:hAnsi="宋体" w:eastAsia="宋体" w:cs="宋体"/>
                <w:sz w:val="24"/>
                <w:lang w:val="en-US" w:eastAsia="zh-CN"/>
              </w:rPr>
            </w:pPr>
            <w:r>
              <w:rPr>
                <w:rFonts w:hint="eastAsia" w:ascii="宋体" w:hAnsi="宋体" w:cs="宋体"/>
                <w:sz w:val="24"/>
                <w:lang w:val="en-US" w:eastAsia="zh-CN"/>
              </w:rPr>
              <w:t>38</w:t>
            </w:r>
          </w:p>
        </w:tc>
        <w:tc>
          <w:tcPr>
            <w:tcW w:w="1746" w:type="dxa"/>
            <w:noWrap/>
          </w:tcPr>
          <w:p>
            <w:pPr>
              <w:pStyle w:val="49"/>
              <w:spacing w:before="174" w:line="340" w:lineRule="atLeast"/>
              <w:rPr>
                <w:sz w:val="24"/>
              </w:rPr>
            </w:pPr>
            <w:r>
              <w:rPr>
                <w:rFonts w:hint="eastAsia"/>
                <w:sz w:val="24"/>
              </w:rPr>
              <w:t>信用评价板块</w:t>
            </w:r>
          </w:p>
        </w:tc>
        <w:tc>
          <w:tcPr>
            <w:tcW w:w="7570" w:type="dxa"/>
            <w:noWrap/>
          </w:tcPr>
          <w:p>
            <w:pPr>
              <w:pStyle w:val="49"/>
              <w:spacing w:before="81" w:line="340" w:lineRule="atLeast"/>
              <w:jc w:val="left"/>
              <w:rPr>
                <w:sz w:val="24"/>
              </w:rPr>
            </w:pPr>
            <w:r>
              <w:rPr>
                <w:rFonts w:hint="eastAsia"/>
                <w:sz w:val="24"/>
              </w:rPr>
              <w:t>“ 供 应 商 须 在 项 目 开 标 前 ，进 入 菏 泽 市 政 府 采 购 公 共 服 务 平 台 (http://ggzypz.heze.gov.cn/) ，在服务平台点击【菏泽市政采信用管理系统】进入信用系统完成账号注册 (已有账号的无需重复注册) ，登录系统截取当前的信用星级和分数，作为供应商信用情况的参考。在项目评标结束后，供应商需登录菏泽政采信用管理系统，对本次项目的各阶段参与主体完成信用评价并于系统内提交评价结果”。信用系统具体操作步骤详见【 菏泽市政采信用管理系统】用户操作手册 (http://47.104.12.130:10000/user/login) 。</w:t>
            </w:r>
          </w:p>
          <w:p>
            <w:pPr>
              <w:pStyle w:val="49"/>
              <w:spacing w:before="81" w:line="340" w:lineRule="atLeast"/>
              <w:rPr>
                <w:b/>
                <w:bCs/>
                <w:sz w:val="24"/>
              </w:rPr>
            </w:pPr>
            <w:r>
              <w:rPr>
                <w:rFonts w:hint="eastAsia"/>
                <w:b/>
                <w:bCs/>
                <w:sz w:val="24"/>
              </w:rPr>
              <w:t>技术咨询董工 15053027821，  技术咨询陈工 18253063200。</w:t>
            </w:r>
          </w:p>
          <w:p>
            <w:pPr>
              <w:pStyle w:val="49"/>
              <w:spacing w:before="81" w:line="340" w:lineRule="atLeast"/>
              <w:rPr>
                <w:sz w:val="24"/>
              </w:rPr>
            </w:pPr>
            <w:r>
              <w:rPr>
                <w:rFonts w:hint="eastAsia"/>
                <w:b/>
                <w:bCs/>
                <w:sz w:val="24"/>
              </w:rPr>
              <w:t>重要提示：此项要求不作为供应商参与评审的资格项和评分项，不以此项做废标处理。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50" w:type="dxa"/>
            <w:gridSpan w:val="3"/>
            <w:noWrap/>
            <w:vAlign w:val="center"/>
          </w:tcPr>
          <w:p>
            <w:pPr>
              <w:pStyle w:val="49"/>
              <w:spacing w:before="81" w:line="340" w:lineRule="atLeast"/>
              <w:jc w:val="left"/>
              <w:rPr>
                <w:sz w:val="24"/>
                <w:lang w:val="en-US"/>
              </w:rPr>
            </w:pPr>
            <w:r>
              <w:rPr>
                <w:rFonts w:hint="eastAsia"/>
                <w:sz w:val="24"/>
                <w:lang w:val="en-US"/>
              </w:rPr>
              <w:t>注：因本项目实行网上投标。如项目发布澄清、补充、修改信息，将在《中国山东政府采购网》、《菏泽市政府采购公共服务平台》、《赢标平台菏泽专区》进行公告。公告自发布之日起即视为通知到潜在供应商。</w:t>
            </w:r>
          </w:p>
          <w:p>
            <w:pPr>
              <w:pStyle w:val="49"/>
              <w:spacing w:line="340" w:lineRule="atLeast"/>
              <w:rPr>
                <w:rFonts w:ascii="Times New Roman" w:hAnsi="Times New Roman" w:cs="Times New Roman"/>
                <w:sz w:val="24"/>
                <w:lang w:val="en-US" w:bidi="ar-SA"/>
              </w:rPr>
            </w:pPr>
          </w:p>
        </w:tc>
      </w:tr>
    </w:tbl>
    <w:p/>
    <w:p>
      <w:pPr>
        <w:pStyle w:val="2"/>
      </w:pPr>
    </w:p>
    <w:p>
      <w:pPr>
        <w:pStyle w:val="24"/>
        <w:sectPr>
          <w:footerReference r:id="rId10" w:type="default"/>
          <w:pgSz w:w="11910" w:h="16840"/>
          <w:pgMar w:top="1531" w:right="1531" w:bottom="1531" w:left="1531" w:header="587" w:footer="1050" w:gutter="0"/>
          <w:pgNumType w:fmt="decimal" w:start="1"/>
          <w:cols w:space="720" w:num="1"/>
        </w:sectPr>
      </w:pPr>
    </w:p>
    <w:p>
      <w:pPr>
        <w:pStyle w:val="6"/>
        <w:spacing w:line="800" w:lineRule="exact"/>
        <w:rPr>
          <w:rFonts w:cs="宋体"/>
          <w:sz w:val="30"/>
          <w:szCs w:val="30"/>
        </w:rPr>
      </w:pPr>
      <w:r>
        <w:rPr>
          <w:rFonts w:hint="eastAsia" w:cs="宋体"/>
          <w:sz w:val="30"/>
          <w:szCs w:val="30"/>
        </w:rPr>
        <w:t>1、总则</w:t>
      </w:r>
    </w:p>
    <w:p>
      <w:pPr>
        <w:spacing w:line="600" w:lineRule="exact"/>
        <w:rPr>
          <w:rFonts w:ascii="宋体" w:hAnsi="宋体" w:cs="宋体"/>
          <w:b/>
          <w:sz w:val="28"/>
          <w:szCs w:val="28"/>
        </w:rPr>
      </w:pPr>
      <w:r>
        <w:rPr>
          <w:rFonts w:hint="eastAsia" w:ascii="宋体" w:hAnsi="宋体" w:cs="宋体"/>
          <w:b/>
          <w:sz w:val="28"/>
          <w:szCs w:val="28"/>
        </w:rPr>
        <w:t>1.1 项目概况</w:t>
      </w:r>
    </w:p>
    <w:p>
      <w:pPr>
        <w:spacing w:line="500" w:lineRule="exact"/>
        <w:ind w:firstLine="410" w:firstLineChars="171"/>
        <w:rPr>
          <w:rFonts w:ascii="宋体" w:hAnsi="宋体" w:cs="宋体"/>
          <w:sz w:val="24"/>
        </w:rPr>
      </w:pPr>
      <w:r>
        <w:rPr>
          <w:rFonts w:hint="eastAsia" w:ascii="宋体" w:hAnsi="宋体" w:cs="宋体"/>
          <w:sz w:val="24"/>
        </w:rPr>
        <w:t>1.1.1 根据《中华人民共和国政府采购法》、《政府采购竞争性磋商采购方式管理暂行办法》等有关法律、法规和规章的规定，本项目已具备招标条件，现采用竞争性磋商的方式对本项目组织采购。</w:t>
      </w:r>
    </w:p>
    <w:p>
      <w:pPr>
        <w:spacing w:line="500" w:lineRule="exact"/>
        <w:ind w:firstLine="410" w:firstLineChars="171"/>
        <w:rPr>
          <w:rFonts w:ascii="宋体" w:hAnsi="宋体" w:cs="宋体"/>
          <w:sz w:val="24"/>
        </w:rPr>
      </w:pPr>
      <w:r>
        <w:rPr>
          <w:rFonts w:hint="eastAsia" w:ascii="宋体" w:hAnsi="宋体" w:cs="宋体"/>
          <w:sz w:val="24"/>
        </w:rPr>
        <w:t>1.1.2 本项目采购人：见供应商须知前附表。</w:t>
      </w:r>
    </w:p>
    <w:p>
      <w:pPr>
        <w:spacing w:line="500" w:lineRule="exact"/>
        <w:ind w:firstLine="410" w:firstLineChars="171"/>
        <w:rPr>
          <w:rFonts w:ascii="宋体" w:hAnsi="宋体" w:cs="宋体"/>
          <w:sz w:val="24"/>
        </w:rPr>
      </w:pPr>
      <w:r>
        <w:rPr>
          <w:rFonts w:hint="eastAsia" w:ascii="宋体" w:hAnsi="宋体" w:cs="宋体"/>
          <w:sz w:val="24"/>
        </w:rPr>
        <w:t>1.1.3 本项目采购代理机构：见供应商须知前附表。</w:t>
      </w:r>
    </w:p>
    <w:p>
      <w:pPr>
        <w:spacing w:line="500" w:lineRule="exact"/>
        <w:ind w:firstLine="410" w:firstLineChars="171"/>
        <w:rPr>
          <w:rFonts w:ascii="宋体" w:hAnsi="宋体" w:cs="宋体"/>
          <w:sz w:val="24"/>
        </w:rPr>
      </w:pPr>
      <w:r>
        <w:rPr>
          <w:rFonts w:hint="eastAsia" w:ascii="宋体" w:hAnsi="宋体" w:cs="宋体"/>
          <w:sz w:val="24"/>
        </w:rPr>
        <w:t>1.1.4 本项目名称：见供应商须知前附表。</w:t>
      </w:r>
    </w:p>
    <w:p>
      <w:pPr>
        <w:spacing w:line="500" w:lineRule="exact"/>
        <w:ind w:firstLine="410" w:firstLineChars="171"/>
        <w:rPr>
          <w:rFonts w:ascii="宋体" w:hAnsi="宋体" w:cs="宋体"/>
          <w:sz w:val="24"/>
        </w:rPr>
      </w:pPr>
      <w:r>
        <w:rPr>
          <w:rFonts w:hint="eastAsia" w:ascii="宋体" w:hAnsi="宋体" w:cs="宋体"/>
          <w:sz w:val="24"/>
        </w:rPr>
        <w:t>1.1.5 本项目服务地点：见供应商须知前附表。</w:t>
      </w:r>
    </w:p>
    <w:p>
      <w:pPr>
        <w:spacing w:line="500" w:lineRule="exact"/>
        <w:ind w:firstLine="410" w:firstLineChars="171"/>
        <w:rPr>
          <w:rFonts w:ascii="宋体" w:hAnsi="宋体" w:cs="宋体"/>
          <w:sz w:val="24"/>
        </w:rPr>
      </w:pPr>
      <w:r>
        <w:rPr>
          <w:rFonts w:hint="eastAsia" w:ascii="宋体" w:hAnsi="宋体" w:cs="宋体"/>
          <w:sz w:val="24"/>
        </w:rPr>
        <w:t>1.1.6 本次采购内容：磋商文件所包括的所有内容。</w:t>
      </w:r>
    </w:p>
    <w:p>
      <w:pPr>
        <w:spacing w:line="600" w:lineRule="exact"/>
        <w:rPr>
          <w:rFonts w:ascii="宋体" w:hAnsi="宋体" w:cs="宋体"/>
          <w:b/>
          <w:sz w:val="28"/>
          <w:szCs w:val="28"/>
        </w:rPr>
      </w:pPr>
      <w:r>
        <w:rPr>
          <w:rFonts w:hint="eastAsia" w:ascii="宋体" w:hAnsi="宋体" w:cs="宋体"/>
          <w:b/>
          <w:sz w:val="28"/>
          <w:szCs w:val="28"/>
        </w:rPr>
        <w:t>1.2 资金来源</w:t>
      </w:r>
    </w:p>
    <w:p>
      <w:pPr>
        <w:spacing w:line="500" w:lineRule="exact"/>
        <w:ind w:firstLine="410" w:firstLineChars="171"/>
        <w:rPr>
          <w:rFonts w:ascii="宋体" w:hAnsi="宋体" w:cs="宋体"/>
          <w:sz w:val="24"/>
        </w:rPr>
      </w:pPr>
      <w:r>
        <w:rPr>
          <w:rFonts w:hint="eastAsia" w:ascii="宋体" w:hAnsi="宋体" w:cs="宋体"/>
          <w:sz w:val="24"/>
        </w:rPr>
        <w:t>1.2.1 本项目的资金来源：见供应商须知前附表。</w:t>
      </w:r>
    </w:p>
    <w:p>
      <w:pPr>
        <w:spacing w:line="600" w:lineRule="exact"/>
        <w:rPr>
          <w:rFonts w:ascii="宋体" w:hAnsi="宋体" w:cs="宋体"/>
          <w:b/>
          <w:sz w:val="28"/>
          <w:szCs w:val="28"/>
        </w:rPr>
      </w:pPr>
      <w:r>
        <w:rPr>
          <w:rFonts w:hint="eastAsia" w:ascii="宋体" w:hAnsi="宋体" w:cs="宋体"/>
          <w:b/>
          <w:sz w:val="28"/>
          <w:szCs w:val="28"/>
        </w:rPr>
        <w:t>1.3 采购范围、供货及安装期和质量要求</w:t>
      </w:r>
    </w:p>
    <w:p>
      <w:pPr>
        <w:spacing w:line="500" w:lineRule="exact"/>
        <w:ind w:firstLine="410" w:firstLineChars="171"/>
        <w:rPr>
          <w:rFonts w:ascii="宋体" w:hAnsi="宋体" w:cs="宋体"/>
          <w:sz w:val="24"/>
        </w:rPr>
      </w:pPr>
      <w:r>
        <w:rPr>
          <w:rFonts w:hint="eastAsia" w:ascii="宋体" w:hAnsi="宋体" w:cs="宋体"/>
          <w:sz w:val="24"/>
        </w:rPr>
        <w:t>1.3.1 本次服务内容：见供应商须知前附表。</w:t>
      </w:r>
    </w:p>
    <w:p>
      <w:pPr>
        <w:spacing w:line="500" w:lineRule="exact"/>
        <w:ind w:firstLine="410" w:firstLineChars="171"/>
        <w:rPr>
          <w:rFonts w:ascii="宋体" w:hAnsi="宋体" w:cs="宋体"/>
          <w:sz w:val="24"/>
        </w:rPr>
      </w:pPr>
      <w:r>
        <w:rPr>
          <w:rFonts w:hint="eastAsia" w:ascii="宋体" w:hAnsi="宋体" w:cs="宋体"/>
          <w:sz w:val="24"/>
        </w:rPr>
        <w:t>1.3.2 本项目的服务地点：见供应商须知前附表。</w:t>
      </w:r>
    </w:p>
    <w:p>
      <w:pPr>
        <w:spacing w:line="500" w:lineRule="exact"/>
        <w:ind w:firstLine="410" w:firstLineChars="171"/>
        <w:rPr>
          <w:rFonts w:ascii="宋体" w:hAnsi="宋体" w:cs="宋体"/>
          <w:sz w:val="24"/>
        </w:rPr>
      </w:pPr>
      <w:r>
        <w:rPr>
          <w:rFonts w:hint="eastAsia" w:ascii="宋体" w:hAnsi="宋体" w:cs="宋体"/>
          <w:sz w:val="24"/>
        </w:rPr>
        <w:t>1.3.3 本项目的质量要求：见供应商须知前附表。</w:t>
      </w:r>
    </w:p>
    <w:p>
      <w:pPr>
        <w:spacing w:line="500" w:lineRule="exact"/>
        <w:ind w:firstLine="410" w:firstLineChars="171"/>
      </w:pPr>
      <w:r>
        <w:rPr>
          <w:rFonts w:hint="eastAsia" w:ascii="宋体" w:hAnsi="宋体" w:cs="宋体"/>
          <w:sz w:val="24"/>
        </w:rPr>
        <w:t>1.3.4 本项目的服务期限：见供应商须知前附表。</w:t>
      </w:r>
    </w:p>
    <w:p>
      <w:pPr>
        <w:spacing w:line="600" w:lineRule="exact"/>
        <w:rPr>
          <w:rFonts w:ascii="宋体" w:hAnsi="宋体" w:cs="宋体"/>
          <w:b/>
          <w:sz w:val="28"/>
          <w:szCs w:val="28"/>
        </w:rPr>
      </w:pPr>
      <w:r>
        <w:rPr>
          <w:rFonts w:hint="eastAsia" w:ascii="宋体" w:hAnsi="宋体" w:cs="宋体"/>
          <w:b/>
          <w:sz w:val="28"/>
          <w:szCs w:val="28"/>
        </w:rPr>
        <w:t>1.4 供应商资格要求：</w:t>
      </w:r>
    </w:p>
    <w:p>
      <w:pPr>
        <w:spacing w:line="500" w:lineRule="exact"/>
        <w:ind w:firstLine="410" w:firstLineChars="171"/>
        <w:rPr>
          <w:rFonts w:ascii="宋体" w:hAnsi="宋体" w:cs="宋体"/>
          <w:sz w:val="24"/>
        </w:rPr>
      </w:pPr>
      <w:r>
        <w:rPr>
          <w:rFonts w:hint="eastAsia" w:ascii="宋体" w:hAnsi="宋体" w:cs="宋体"/>
          <w:sz w:val="24"/>
        </w:rPr>
        <w:t>1.4.1资格要求：见供应商须知前附表。</w:t>
      </w:r>
    </w:p>
    <w:p>
      <w:pPr>
        <w:spacing w:line="500" w:lineRule="exact"/>
        <w:ind w:firstLine="410" w:firstLineChars="171"/>
        <w:rPr>
          <w:rFonts w:ascii="宋体" w:hAnsi="宋体" w:cs="宋体"/>
          <w:sz w:val="24"/>
        </w:rPr>
      </w:pPr>
      <w:r>
        <w:rPr>
          <w:rFonts w:hint="eastAsia" w:ascii="宋体" w:hAnsi="宋体" w:cs="宋体"/>
          <w:sz w:val="24"/>
        </w:rPr>
        <w:t>1.4.2 供应商不得存在下列情形之一：</w:t>
      </w:r>
    </w:p>
    <w:p>
      <w:pPr>
        <w:spacing w:line="500" w:lineRule="exact"/>
        <w:ind w:firstLine="410" w:firstLineChars="171"/>
        <w:rPr>
          <w:rFonts w:ascii="宋体" w:hAnsi="宋体" w:cs="宋体"/>
          <w:sz w:val="24"/>
        </w:rPr>
      </w:pPr>
      <w:r>
        <w:rPr>
          <w:rFonts w:hint="eastAsia" w:ascii="宋体" w:hAnsi="宋体" w:cs="宋体"/>
          <w:sz w:val="24"/>
        </w:rPr>
        <w:t>（1）为采购人不具有独立法人资格的附属机构（单位）；</w:t>
      </w:r>
    </w:p>
    <w:p>
      <w:pPr>
        <w:spacing w:line="500" w:lineRule="exact"/>
        <w:ind w:firstLine="410" w:firstLineChars="171"/>
        <w:rPr>
          <w:rFonts w:ascii="宋体" w:hAnsi="宋体" w:cs="宋体"/>
          <w:sz w:val="24"/>
        </w:rPr>
      </w:pPr>
      <w:r>
        <w:rPr>
          <w:rFonts w:hint="eastAsia" w:ascii="宋体" w:hAnsi="宋体" w:cs="宋体"/>
          <w:sz w:val="24"/>
        </w:rPr>
        <w:t>（2）为本项目的采购人；</w:t>
      </w:r>
    </w:p>
    <w:p>
      <w:pPr>
        <w:spacing w:line="500" w:lineRule="exact"/>
        <w:ind w:firstLine="410" w:firstLineChars="171"/>
        <w:rPr>
          <w:rFonts w:ascii="宋体" w:hAnsi="宋体" w:cs="宋体"/>
          <w:sz w:val="24"/>
        </w:rPr>
      </w:pPr>
      <w:r>
        <w:rPr>
          <w:rFonts w:hint="eastAsia" w:ascii="宋体" w:hAnsi="宋体" w:cs="宋体"/>
          <w:sz w:val="24"/>
        </w:rPr>
        <w:t>（3）为本项目的代建人；</w:t>
      </w:r>
    </w:p>
    <w:p>
      <w:pPr>
        <w:spacing w:line="500" w:lineRule="exact"/>
        <w:ind w:firstLine="410" w:firstLineChars="171"/>
        <w:rPr>
          <w:rFonts w:ascii="宋体" w:hAnsi="宋体" w:cs="宋体"/>
          <w:sz w:val="24"/>
        </w:rPr>
      </w:pPr>
      <w:r>
        <w:rPr>
          <w:rFonts w:hint="eastAsia" w:ascii="宋体" w:hAnsi="宋体" w:cs="宋体"/>
          <w:sz w:val="24"/>
        </w:rPr>
        <w:t>（4）为本项目提供招标代理服务的；</w:t>
      </w:r>
    </w:p>
    <w:p>
      <w:pPr>
        <w:spacing w:line="500" w:lineRule="exact"/>
        <w:ind w:firstLine="410" w:firstLineChars="171"/>
        <w:rPr>
          <w:rFonts w:ascii="宋体" w:hAnsi="宋体" w:cs="宋体"/>
          <w:sz w:val="24"/>
        </w:rPr>
      </w:pPr>
      <w:r>
        <w:rPr>
          <w:rFonts w:hint="eastAsia" w:ascii="宋体" w:hAnsi="宋体" w:cs="宋体"/>
          <w:sz w:val="24"/>
        </w:rPr>
        <w:t>（5）与本项目的采购人或代建人或采购代理机构同为一个法定代表人的；</w:t>
      </w:r>
    </w:p>
    <w:p>
      <w:pPr>
        <w:spacing w:line="500" w:lineRule="exact"/>
        <w:ind w:firstLine="410" w:firstLineChars="171"/>
        <w:rPr>
          <w:rFonts w:ascii="宋体" w:hAnsi="宋体" w:cs="宋体"/>
          <w:sz w:val="24"/>
        </w:rPr>
      </w:pPr>
      <w:r>
        <w:rPr>
          <w:rFonts w:hint="eastAsia" w:ascii="宋体" w:hAnsi="宋体" w:cs="宋体"/>
          <w:sz w:val="24"/>
        </w:rPr>
        <w:t>（6）与本项目的采购人或代建人或采购代理机构相互控股或参股的；</w:t>
      </w:r>
    </w:p>
    <w:p>
      <w:pPr>
        <w:spacing w:line="500" w:lineRule="exact"/>
        <w:ind w:firstLine="410" w:firstLineChars="171"/>
        <w:rPr>
          <w:rFonts w:ascii="宋体" w:hAnsi="宋体" w:cs="宋体"/>
          <w:sz w:val="24"/>
        </w:rPr>
      </w:pPr>
      <w:r>
        <w:rPr>
          <w:rFonts w:hint="eastAsia" w:ascii="宋体" w:hAnsi="宋体" w:cs="宋体"/>
          <w:sz w:val="24"/>
        </w:rPr>
        <w:t>（7）与本项目的采购人或代建人或采购代理机构相互任职或工作的；</w:t>
      </w:r>
    </w:p>
    <w:p>
      <w:pPr>
        <w:spacing w:line="500" w:lineRule="exact"/>
        <w:ind w:firstLine="410" w:firstLineChars="171"/>
        <w:rPr>
          <w:rFonts w:ascii="宋体" w:hAnsi="宋体" w:cs="宋体"/>
          <w:sz w:val="24"/>
        </w:rPr>
      </w:pPr>
      <w:r>
        <w:rPr>
          <w:rFonts w:hint="eastAsia" w:ascii="宋体" w:hAnsi="宋体" w:cs="宋体"/>
          <w:sz w:val="24"/>
        </w:rPr>
        <w:t>（8）被责令停业的；</w:t>
      </w:r>
    </w:p>
    <w:p>
      <w:pPr>
        <w:spacing w:line="500" w:lineRule="exact"/>
        <w:ind w:firstLine="410" w:firstLineChars="171"/>
        <w:rPr>
          <w:rFonts w:ascii="宋体" w:hAnsi="宋体" w:cs="宋体"/>
          <w:sz w:val="24"/>
        </w:rPr>
      </w:pPr>
      <w:r>
        <w:rPr>
          <w:rFonts w:hint="eastAsia" w:ascii="宋体" w:hAnsi="宋体" w:cs="宋体"/>
          <w:sz w:val="24"/>
        </w:rPr>
        <w:t>（9）被暂停或取消资格的；</w:t>
      </w:r>
    </w:p>
    <w:p>
      <w:pPr>
        <w:spacing w:line="500" w:lineRule="exact"/>
        <w:ind w:firstLine="410" w:firstLineChars="171"/>
        <w:rPr>
          <w:rFonts w:ascii="宋体" w:hAnsi="宋体" w:cs="宋体"/>
          <w:sz w:val="24"/>
        </w:rPr>
      </w:pPr>
      <w:r>
        <w:rPr>
          <w:rFonts w:hint="eastAsia" w:ascii="宋体" w:hAnsi="宋体" w:cs="宋体"/>
          <w:sz w:val="24"/>
        </w:rPr>
        <w:t>（10）财产被接管或冻结的；</w:t>
      </w:r>
    </w:p>
    <w:p>
      <w:pPr>
        <w:spacing w:line="500" w:lineRule="exact"/>
        <w:ind w:firstLine="410" w:firstLineChars="171"/>
        <w:rPr>
          <w:rFonts w:ascii="宋体" w:hAnsi="宋体" w:cs="宋体"/>
          <w:sz w:val="24"/>
        </w:rPr>
      </w:pPr>
      <w:r>
        <w:rPr>
          <w:rFonts w:hint="eastAsia" w:ascii="宋体" w:hAnsi="宋体" w:cs="宋体"/>
          <w:sz w:val="24"/>
        </w:rPr>
        <w:t>（11）参加招标活动前三年内，在经营活动中有重大违法记录、严重违约或重大项目质量问题的。</w:t>
      </w:r>
    </w:p>
    <w:p>
      <w:pPr>
        <w:rPr>
          <w:rFonts w:ascii="宋体" w:hAnsi="宋体" w:cs="宋体"/>
          <w:sz w:val="24"/>
        </w:rPr>
      </w:pPr>
      <w:r>
        <w:rPr>
          <w:rFonts w:hint="eastAsia" w:ascii="宋体" w:hAnsi="宋体" w:cs="宋体"/>
          <w:b/>
          <w:sz w:val="28"/>
          <w:szCs w:val="28"/>
        </w:rPr>
        <w:t>1.5 相关费用</w:t>
      </w:r>
    </w:p>
    <w:p>
      <w:pPr>
        <w:spacing w:line="600" w:lineRule="exact"/>
        <w:rPr>
          <w:rFonts w:ascii="宋体" w:hAnsi="宋体" w:cs="宋体"/>
          <w:bCs/>
          <w:sz w:val="24"/>
        </w:rPr>
      </w:pPr>
      <w:r>
        <w:rPr>
          <w:rFonts w:hint="eastAsia" w:ascii="宋体" w:hAnsi="宋体" w:cs="宋体"/>
          <w:bCs/>
          <w:sz w:val="24"/>
        </w:rPr>
        <w:t>1.5.1 详见供应商须知前附表。</w:t>
      </w:r>
    </w:p>
    <w:p>
      <w:pPr>
        <w:spacing w:line="600" w:lineRule="exact"/>
        <w:rPr>
          <w:rFonts w:ascii="宋体" w:hAnsi="宋体" w:cs="宋体"/>
          <w:bCs/>
          <w:sz w:val="24"/>
        </w:rPr>
      </w:pPr>
      <w:r>
        <w:rPr>
          <w:rFonts w:hint="eastAsia" w:ascii="宋体" w:hAnsi="宋体" w:cs="宋体"/>
          <w:bCs/>
          <w:sz w:val="24"/>
        </w:rPr>
        <w:t>1.5.2 供应商应承担其编制响应文件与递交响应文件所涉及的一切费用。不论投标 结果如何，采购人和代理机构在任何情况下无义务也无责任承担这些费用。</w:t>
      </w:r>
    </w:p>
    <w:p>
      <w:pPr>
        <w:spacing w:line="600" w:lineRule="exact"/>
        <w:rPr>
          <w:rFonts w:ascii="宋体" w:hAnsi="宋体" w:cs="宋体"/>
          <w:b/>
          <w:sz w:val="28"/>
          <w:szCs w:val="28"/>
        </w:rPr>
      </w:pPr>
      <w:r>
        <w:rPr>
          <w:rFonts w:hint="eastAsia" w:ascii="宋体" w:hAnsi="宋体" w:cs="宋体"/>
          <w:b/>
          <w:sz w:val="28"/>
          <w:szCs w:val="28"/>
        </w:rPr>
        <w:t>1.6 保密</w:t>
      </w:r>
    </w:p>
    <w:p>
      <w:pPr>
        <w:spacing w:line="500" w:lineRule="exact"/>
        <w:ind w:left="2" w:leftChars="1" w:firstLine="480" w:firstLineChars="200"/>
        <w:rPr>
          <w:rFonts w:ascii="宋体" w:hAnsi="宋体" w:cs="宋体"/>
          <w:sz w:val="24"/>
        </w:rPr>
      </w:pPr>
      <w:r>
        <w:rPr>
          <w:rFonts w:hint="eastAsia" w:ascii="宋体" w:hAnsi="宋体" w:cs="宋体"/>
          <w:sz w:val="24"/>
        </w:rPr>
        <w:t>参与招标活动的各方应对磋商文件和响应文件中的商业和技术等秘密保密，违者应对由此造成的后果承担法律责任。</w:t>
      </w:r>
    </w:p>
    <w:p>
      <w:pPr>
        <w:spacing w:line="600" w:lineRule="exact"/>
        <w:rPr>
          <w:rFonts w:ascii="宋体" w:hAnsi="宋体" w:cs="宋体"/>
          <w:b/>
          <w:sz w:val="28"/>
          <w:szCs w:val="28"/>
        </w:rPr>
      </w:pPr>
      <w:r>
        <w:rPr>
          <w:rFonts w:hint="eastAsia" w:ascii="宋体" w:hAnsi="宋体" w:cs="宋体"/>
          <w:b/>
          <w:sz w:val="28"/>
          <w:szCs w:val="28"/>
        </w:rPr>
        <w:t>1.7 语言文字</w:t>
      </w:r>
    </w:p>
    <w:p>
      <w:pPr>
        <w:spacing w:line="500" w:lineRule="exact"/>
        <w:ind w:left="2" w:leftChars="1" w:firstLine="480" w:firstLineChars="200"/>
        <w:rPr>
          <w:rFonts w:ascii="宋体" w:hAnsi="宋体" w:cs="宋体"/>
          <w:sz w:val="24"/>
        </w:rPr>
      </w:pPr>
      <w:r>
        <w:rPr>
          <w:rFonts w:hint="eastAsia" w:ascii="宋体" w:hAnsi="宋体" w:cs="宋体"/>
          <w:sz w:val="24"/>
        </w:rPr>
        <w:t>除专用术语外，与本次投标报价有关的语言均使用中文。必要时专用术语应附有中文注释。</w:t>
      </w:r>
    </w:p>
    <w:p>
      <w:pPr>
        <w:spacing w:line="600" w:lineRule="exact"/>
        <w:rPr>
          <w:rFonts w:ascii="宋体" w:hAnsi="宋体" w:cs="宋体"/>
          <w:b/>
          <w:sz w:val="28"/>
          <w:szCs w:val="28"/>
        </w:rPr>
      </w:pPr>
      <w:r>
        <w:rPr>
          <w:rFonts w:hint="eastAsia" w:ascii="宋体" w:hAnsi="宋体" w:cs="宋体"/>
          <w:b/>
          <w:sz w:val="28"/>
          <w:szCs w:val="28"/>
        </w:rPr>
        <w:t>1.8 计量单位</w:t>
      </w:r>
    </w:p>
    <w:p>
      <w:pPr>
        <w:spacing w:line="500" w:lineRule="exact"/>
        <w:ind w:left="2" w:leftChars="1" w:firstLine="480" w:firstLineChars="200"/>
        <w:rPr>
          <w:rFonts w:ascii="宋体" w:hAnsi="宋体" w:cs="宋体"/>
          <w:sz w:val="24"/>
        </w:rPr>
      </w:pPr>
      <w:r>
        <w:rPr>
          <w:rFonts w:hint="eastAsia" w:ascii="宋体" w:hAnsi="宋体" w:cs="宋体"/>
          <w:sz w:val="24"/>
        </w:rPr>
        <w:t>所有计量均采用中华人民共和国法定计量单位。</w:t>
      </w:r>
    </w:p>
    <w:p>
      <w:pPr>
        <w:spacing w:line="600" w:lineRule="exact"/>
        <w:rPr>
          <w:rFonts w:ascii="宋体" w:hAnsi="宋体" w:cs="宋体"/>
          <w:b/>
          <w:sz w:val="28"/>
          <w:szCs w:val="28"/>
        </w:rPr>
      </w:pPr>
      <w:r>
        <w:rPr>
          <w:rFonts w:hint="eastAsia" w:ascii="宋体" w:hAnsi="宋体" w:cs="宋体"/>
          <w:b/>
          <w:sz w:val="28"/>
          <w:szCs w:val="28"/>
        </w:rPr>
        <w:t>1.9 踏勘现场</w:t>
      </w:r>
    </w:p>
    <w:p>
      <w:pPr>
        <w:spacing w:line="500" w:lineRule="exact"/>
        <w:ind w:firstLine="410" w:firstLineChars="171"/>
        <w:rPr>
          <w:rFonts w:ascii="宋体" w:hAnsi="宋体" w:cs="宋体"/>
          <w:sz w:val="24"/>
        </w:rPr>
      </w:pPr>
      <w:r>
        <w:rPr>
          <w:rFonts w:hint="eastAsia" w:ascii="宋体" w:hAnsi="宋体" w:cs="宋体"/>
          <w:sz w:val="24"/>
        </w:rPr>
        <w:t>1.9.1 采购人不统一组织供应商踏勘项目现场，各供应商自行踏勘现场，因供应商未踏勘现场引起的风险后果由报价供应商自行承担。</w:t>
      </w:r>
    </w:p>
    <w:p>
      <w:pPr>
        <w:spacing w:line="500" w:lineRule="exact"/>
        <w:ind w:firstLine="410" w:firstLineChars="171"/>
        <w:rPr>
          <w:rFonts w:ascii="宋体" w:hAnsi="宋体" w:cs="宋体"/>
          <w:sz w:val="24"/>
        </w:rPr>
      </w:pPr>
      <w:r>
        <w:rPr>
          <w:rFonts w:hint="eastAsia" w:ascii="宋体" w:hAnsi="宋体" w:cs="宋体"/>
          <w:sz w:val="24"/>
        </w:rPr>
        <w:t>1.9.2 供应商踏勘现场发生的费用自理。</w:t>
      </w:r>
    </w:p>
    <w:p>
      <w:pPr>
        <w:spacing w:line="500" w:lineRule="exact"/>
        <w:ind w:firstLine="410" w:firstLineChars="171"/>
        <w:rPr>
          <w:rFonts w:ascii="宋体" w:hAnsi="宋体" w:cs="宋体"/>
          <w:sz w:val="24"/>
        </w:rPr>
      </w:pPr>
      <w:r>
        <w:rPr>
          <w:rFonts w:hint="eastAsia" w:ascii="宋体" w:hAnsi="宋体" w:cs="宋体"/>
          <w:sz w:val="24"/>
        </w:rPr>
        <w:t>1.9.3 供应商自行负责在踏勘现场中所发生的人员伤亡和财产损失。</w:t>
      </w:r>
    </w:p>
    <w:p>
      <w:pPr>
        <w:spacing w:line="500" w:lineRule="exact"/>
        <w:ind w:firstLine="410" w:firstLineChars="171"/>
        <w:rPr>
          <w:rFonts w:ascii="宋体" w:hAnsi="宋体" w:cs="宋体"/>
          <w:sz w:val="24"/>
        </w:rPr>
      </w:pPr>
      <w:r>
        <w:rPr>
          <w:rFonts w:hint="eastAsia" w:ascii="宋体" w:hAnsi="宋体" w:cs="宋体"/>
          <w:sz w:val="24"/>
        </w:rPr>
        <w:t>1.9.4 供应商无论是否勘察现场，都将被认为已了解项目的现场情况，掌握了编制响应文件时的有关条件。</w:t>
      </w:r>
    </w:p>
    <w:p>
      <w:pPr>
        <w:spacing w:line="600" w:lineRule="exact"/>
        <w:rPr>
          <w:rFonts w:ascii="宋体" w:hAnsi="宋体" w:cs="宋体"/>
          <w:b/>
          <w:sz w:val="28"/>
          <w:szCs w:val="28"/>
        </w:rPr>
      </w:pPr>
      <w:r>
        <w:rPr>
          <w:rFonts w:hint="eastAsia" w:ascii="宋体" w:hAnsi="宋体" w:cs="宋体"/>
          <w:b/>
          <w:sz w:val="28"/>
          <w:szCs w:val="28"/>
        </w:rPr>
        <w:t>1.10预备会</w:t>
      </w:r>
    </w:p>
    <w:p>
      <w:pPr>
        <w:spacing w:line="500" w:lineRule="exact"/>
        <w:ind w:firstLine="410" w:firstLineChars="171"/>
        <w:rPr>
          <w:rFonts w:ascii="宋体" w:hAnsi="宋体" w:cs="宋体"/>
          <w:sz w:val="24"/>
        </w:rPr>
      </w:pPr>
      <w:r>
        <w:rPr>
          <w:rFonts w:hint="eastAsia" w:ascii="宋体" w:hAnsi="宋体" w:cs="宋体"/>
          <w:sz w:val="24"/>
        </w:rPr>
        <w:t>本项目不召开预备会。</w:t>
      </w:r>
    </w:p>
    <w:p>
      <w:pPr>
        <w:spacing w:line="600" w:lineRule="exact"/>
        <w:rPr>
          <w:rFonts w:ascii="宋体" w:hAnsi="宋体" w:cs="宋体"/>
          <w:b/>
          <w:sz w:val="28"/>
          <w:szCs w:val="28"/>
        </w:rPr>
      </w:pPr>
      <w:r>
        <w:rPr>
          <w:rFonts w:hint="eastAsia" w:ascii="宋体" w:hAnsi="宋体" w:cs="宋体"/>
          <w:b/>
          <w:sz w:val="28"/>
          <w:szCs w:val="28"/>
        </w:rPr>
        <w:t>1.11转包、分包</w:t>
      </w:r>
    </w:p>
    <w:p>
      <w:pPr>
        <w:spacing w:line="500" w:lineRule="exact"/>
        <w:ind w:firstLine="410" w:firstLineChars="171"/>
        <w:rPr>
          <w:rFonts w:ascii="宋体" w:hAnsi="宋体" w:cs="宋体"/>
          <w:b/>
          <w:bCs/>
          <w:sz w:val="24"/>
        </w:rPr>
      </w:pPr>
      <w:r>
        <w:rPr>
          <w:rFonts w:hint="eastAsia" w:ascii="宋体" w:hAnsi="宋体" w:cs="宋体"/>
          <w:sz w:val="24"/>
        </w:rPr>
        <w:t>禁止项目转包和分包。项目实施过程中发现存在项目转包分包情况，采购人有权立即终止合同，由此造成的损失由供应商自行承担。</w:t>
      </w:r>
      <w:bookmarkStart w:id="34" w:name="_Toc414539104"/>
      <w:r>
        <w:rPr>
          <w:rFonts w:hint="eastAsia" w:ascii="宋体" w:hAnsi="宋体" w:cs="宋体"/>
          <w:b/>
          <w:bCs/>
          <w:sz w:val="24"/>
        </w:rPr>
        <w:t> </w:t>
      </w:r>
    </w:p>
    <w:p>
      <w:pPr>
        <w:spacing w:line="600" w:lineRule="exact"/>
        <w:rPr>
          <w:rFonts w:ascii="宋体" w:hAnsi="宋体" w:cs="宋体"/>
          <w:b/>
          <w:sz w:val="28"/>
          <w:szCs w:val="28"/>
        </w:rPr>
      </w:pPr>
      <w:r>
        <w:rPr>
          <w:rFonts w:hint="eastAsia" w:ascii="宋体" w:hAnsi="宋体" w:cs="宋体"/>
          <w:b/>
          <w:sz w:val="28"/>
          <w:szCs w:val="28"/>
        </w:rPr>
        <w:t>1.12 偏离</w:t>
      </w:r>
    </w:p>
    <w:p>
      <w:pPr>
        <w:spacing w:line="500" w:lineRule="exact"/>
        <w:ind w:firstLine="410" w:firstLineChars="171"/>
        <w:rPr>
          <w:rFonts w:ascii="宋体" w:hAnsi="宋体" w:cs="宋体"/>
          <w:sz w:val="24"/>
        </w:rPr>
      </w:pPr>
      <w:r>
        <w:rPr>
          <w:rFonts w:hint="eastAsia" w:ascii="宋体" w:hAnsi="宋体" w:cs="宋体"/>
          <w:sz w:val="24"/>
        </w:rPr>
        <w:t>1.12.1响应文件应符合竞争性磋商文件的实质性要求，不得有重大偏离。</w:t>
      </w:r>
    </w:p>
    <w:p>
      <w:pPr>
        <w:spacing w:line="500" w:lineRule="exact"/>
        <w:ind w:firstLine="410" w:firstLineChars="171"/>
        <w:rPr>
          <w:rFonts w:ascii="宋体" w:hAnsi="宋体" w:cs="宋体"/>
          <w:sz w:val="24"/>
        </w:rPr>
      </w:pPr>
      <w:r>
        <w:rPr>
          <w:rFonts w:hint="eastAsia" w:ascii="宋体" w:hAnsi="宋体" w:cs="宋体"/>
          <w:sz w:val="24"/>
        </w:rPr>
        <w:t>1.12.2评审过程中，若发现响应文件出现重大偏离，将作无效投标处理。</w:t>
      </w:r>
    </w:p>
    <w:p>
      <w:pPr>
        <w:spacing w:line="500" w:lineRule="exact"/>
        <w:ind w:firstLine="410" w:firstLineChars="171"/>
        <w:rPr>
          <w:rFonts w:ascii="宋体" w:hAnsi="宋体" w:cs="宋体"/>
          <w:sz w:val="24"/>
        </w:rPr>
      </w:pPr>
      <w:r>
        <w:rPr>
          <w:rFonts w:hint="eastAsia" w:ascii="宋体" w:hAnsi="宋体" w:cs="宋体"/>
          <w:sz w:val="24"/>
        </w:rPr>
        <w:t>1.12.3重大偏离主要包括以下内容：</w:t>
      </w:r>
    </w:p>
    <w:p>
      <w:pPr>
        <w:spacing w:line="500" w:lineRule="exact"/>
        <w:ind w:firstLine="410" w:firstLineChars="171"/>
        <w:rPr>
          <w:rFonts w:ascii="宋体" w:hAnsi="宋体" w:cs="宋体"/>
          <w:sz w:val="24"/>
        </w:rPr>
      </w:pPr>
      <w:r>
        <w:rPr>
          <w:rFonts w:hint="eastAsia" w:ascii="宋体" w:hAnsi="宋体" w:cs="宋体"/>
          <w:sz w:val="24"/>
        </w:rPr>
        <w:t>(1)未按竞争性磋商文件提供的格式由供应商法人或其授权委托人签字、盖章并加盖单位公章；</w:t>
      </w:r>
    </w:p>
    <w:p>
      <w:pPr>
        <w:spacing w:line="500" w:lineRule="exact"/>
        <w:ind w:firstLine="410" w:firstLineChars="171"/>
        <w:rPr>
          <w:rFonts w:ascii="宋体" w:hAnsi="宋体" w:cs="宋体"/>
          <w:sz w:val="24"/>
        </w:rPr>
      </w:pPr>
      <w:r>
        <w:rPr>
          <w:rFonts w:hint="eastAsia" w:ascii="宋体" w:hAnsi="宋体" w:cs="宋体"/>
          <w:sz w:val="24"/>
        </w:rPr>
        <w:t>(2)响应文件载明的服务期限超过本磋商文件规定的期限；</w:t>
      </w:r>
    </w:p>
    <w:p>
      <w:pPr>
        <w:spacing w:line="500" w:lineRule="exact"/>
        <w:ind w:firstLine="410" w:firstLineChars="171"/>
        <w:rPr>
          <w:rFonts w:ascii="宋体" w:hAnsi="宋体" w:cs="宋体"/>
          <w:sz w:val="24"/>
        </w:rPr>
      </w:pPr>
      <w:r>
        <w:rPr>
          <w:rFonts w:hint="eastAsia" w:ascii="宋体" w:hAnsi="宋体" w:cs="宋体"/>
          <w:sz w:val="24"/>
        </w:rPr>
        <w:t>(3)响应文件附有采购人不能接受的条件；</w:t>
      </w:r>
    </w:p>
    <w:p>
      <w:pPr>
        <w:spacing w:line="500" w:lineRule="exact"/>
        <w:ind w:firstLine="410" w:firstLineChars="171"/>
        <w:rPr>
          <w:rFonts w:ascii="宋体" w:hAnsi="宋体" w:cs="宋体"/>
          <w:sz w:val="24"/>
        </w:rPr>
      </w:pPr>
      <w:r>
        <w:rPr>
          <w:rFonts w:hint="eastAsia" w:ascii="宋体" w:hAnsi="宋体" w:cs="宋体"/>
          <w:sz w:val="24"/>
        </w:rPr>
        <w:t>1.12.4签订合同、项目实施和结算期间，若发现响应文件出现重大偏离，采购人应认为供应商的响应文件是严格按照本项目竞争性磋商文件及补充资料进行投标报价，价格不予变更。</w:t>
      </w:r>
    </w:p>
    <w:p>
      <w:pPr>
        <w:spacing w:line="500" w:lineRule="exact"/>
        <w:ind w:firstLine="410" w:firstLineChars="171"/>
        <w:rPr>
          <w:rFonts w:ascii="宋体" w:hAnsi="宋体" w:cs="宋体"/>
          <w:sz w:val="24"/>
        </w:rPr>
      </w:pPr>
      <w:r>
        <w:rPr>
          <w:rFonts w:hint="eastAsia" w:ascii="宋体" w:hAnsi="宋体" w:cs="宋体"/>
          <w:sz w:val="24"/>
        </w:rPr>
        <w:t>1.12.5项目实施期间，发现成交供应商的响应文件出现重大偏差的，采购人有权解除合同，由此造成的损失，由成交供应商承担。</w:t>
      </w:r>
    </w:p>
    <w:p>
      <w:pPr>
        <w:pStyle w:val="6"/>
        <w:spacing w:line="800" w:lineRule="exact"/>
        <w:rPr>
          <w:rFonts w:cs="宋体"/>
          <w:sz w:val="30"/>
          <w:szCs w:val="30"/>
        </w:rPr>
      </w:pPr>
      <w:bookmarkStart w:id="35" w:name="_Toc494053890"/>
      <w:r>
        <w:rPr>
          <w:rFonts w:hint="eastAsia" w:cs="宋体"/>
          <w:sz w:val="30"/>
          <w:szCs w:val="30"/>
        </w:rPr>
        <w:t>2、</w:t>
      </w:r>
      <w:bookmarkEnd w:id="34"/>
      <w:bookmarkEnd w:id="35"/>
      <w:r>
        <w:rPr>
          <w:rFonts w:hint="eastAsia" w:cs="宋体"/>
          <w:sz w:val="30"/>
          <w:szCs w:val="30"/>
        </w:rPr>
        <w:t>竞争性磋商文件</w:t>
      </w:r>
    </w:p>
    <w:p>
      <w:pPr>
        <w:spacing w:line="600" w:lineRule="exact"/>
        <w:rPr>
          <w:rFonts w:ascii="宋体" w:hAnsi="宋体" w:cs="宋体"/>
          <w:b/>
          <w:sz w:val="28"/>
          <w:szCs w:val="28"/>
        </w:rPr>
      </w:pPr>
      <w:r>
        <w:rPr>
          <w:rFonts w:hint="eastAsia" w:ascii="宋体" w:hAnsi="宋体" w:cs="宋体"/>
          <w:b/>
          <w:sz w:val="28"/>
          <w:szCs w:val="28"/>
        </w:rPr>
        <w:t>2.1 竞争性磋商文件的组成</w:t>
      </w:r>
    </w:p>
    <w:p>
      <w:pPr>
        <w:spacing w:line="500" w:lineRule="exact"/>
        <w:ind w:firstLine="410" w:firstLineChars="171"/>
        <w:rPr>
          <w:rFonts w:ascii="宋体" w:hAnsi="宋体" w:cs="宋体"/>
          <w:sz w:val="24"/>
        </w:rPr>
      </w:pPr>
      <w:r>
        <w:rPr>
          <w:rFonts w:hint="eastAsia" w:ascii="宋体" w:hAnsi="宋体" w:cs="宋体"/>
          <w:sz w:val="24"/>
        </w:rPr>
        <w:t>（1）</w:t>
      </w:r>
      <w:r>
        <w:rPr>
          <w:rStyle w:val="36"/>
          <w:rFonts w:hint="eastAsia" w:ascii="宋体" w:hAnsi="宋体" w:cs="宋体"/>
          <w:color w:val="auto"/>
          <w:sz w:val="24"/>
          <w:u w:val="none"/>
          <w:lang w:val="zh-CN"/>
        </w:rPr>
        <w:t>竞争性磋商公告</w:t>
      </w:r>
      <w:r>
        <w:rPr>
          <w:rFonts w:hint="eastAsia" w:ascii="宋体" w:hAnsi="宋体" w:cs="宋体"/>
          <w:sz w:val="24"/>
        </w:rPr>
        <w:t>；</w:t>
      </w:r>
    </w:p>
    <w:p>
      <w:pPr>
        <w:spacing w:line="500" w:lineRule="exact"/>
        <w:ind w:firstLine="410" w:firstLineChars="171"/>
        <w:rPr>
          <w:rFonts w:ascii="宋体" w:hAnsi="宋体" w:cs="宋体"/>
          <w:sz w:val="24"/>
        </w:rPr>
      </w:pPr>
      <w:r>
        <w:rPr>
          <w:rFonts w:hint="eastAsia" w:ascii="宋体" w:hAnsi="宋体" w:cs="宋体"/>
          <w:sz w:val="24"/>
        </w:rPr>
        <w:t>（2）供应商须知；</w:t>
      </w:r>
    </w:p>
    <w:p>
      <w:pPr>
        <w:spacing w:line="500" w:lineRule="exact"/>
        <w:ind w:firstLine="410" w:firstLineChars="171"/>
        <w:rPr>
          <w:rFonts w:ascii="宋体" w:hAnsi="宋体" w:cs="宋体"/>
          <w:sz w:val="24"/>
        </w:rPr>
      </w:pPr>
      <w:r>
        <w:rPr>
          <w:rFonts w:hint="eastAsia" w:ascii="宋体" w:hAnsi="宋体" w:cs="宋体"/>
          <w:sz w:val="24"/>
        </w:rPr>
        <w:t>（3）竞争性磋商办法；</w:t>
      </w:r>
    </w:p>
    <w:p>
      <w:pPr>
        <w:spacing w:line="500" w:lineRule="exact"/>
        <w:ind w:firstLine="410" w:firstLineChars="171"/>
        <w:rPr>
          <w:rFonts w:ascii="宋体" w:hAnsi="宋体" w:cs="宋体"/>
          <w:sz w:val="24"/>
        </w:rPr>
      </w:pPr>
      <w:r>
        <w:rPr>
          <w:rFonts w:hint="eastAsia" w:ascii="宋体" w:hAnsi="宋体" w:cs="宋体"/>
          <w:sz w:val="24"/>
        </w:rPr>
        <w:t>（4）合同条款及格式；</w:t>
      </w:r>
    </w:p>
    <w:p>
      <w:pPr>
        <w:spacing w:line="500" w:lineRule="exact"/>
        <w:ind w:firstLine="410" w:firstLineChars="171"/>
        <w:rPr>
          <w:rFonts w:ascii="宋体" w:hAnsi="宋体" w:cs="宋体"/>
          <w:sz w:val="24"/>
        </w:rPr>
      </w:pPr>
      <w:r>
        <w:rPr>
          <w:rFonts w:hint="eastAsia" w:ascii="宋体" w:hAnsi="宋体" w:cs="宋体"/>
          <w:sz w:val="24"/>
        </w:rPr>
        <w:t>（5）项目说明及要求；</w:t>
      </w:r>
    </w:p>
    <w:p>
      <w:pPr>
        <w:spacing w:line="500" w:lineRule="exact"/>
        <w:ind w:firstLine="410" w:firstLineChars="171"/>
        <w:rPr>
          <w:rFonts w:ascii="宋体" w:hAnsi="宋体" w:cs="宋体"/>
          <w:sz w:val="24"/>
        </w:rPr>
      </w:pPr>
      <w:r>
        <w:rPr>
          <w:rFonts w:hint="eastAsia" w:ascii="宋体" w:hAnsi="宋体" w:cs="宋体"/>
          <w:sz w:val="24"/>
        </w:rPr>
        <w:t>（6）响应文件格式。</w:t>
      </w:r>
    </w:p>
    <w:p>
      <w:pPr>
        <w:spacing w:line="500" w:lineRule="exact"/>
        <w:ind w:firstLine="480" w:firstLineChars="200"/>
        <w:rPr>
          <w:rFonts w:ascii="宋体" w:hAnsi="宋体" w:cs="宋体"/>
          <w:sz w:val="24"/>
        </w:rPr>
      </w:pPr>
      <w:r>
        <w:rPr>
          <w:rFonts w:hint="eastAsia" w:ascii="宋体" w:hAnsi="宋体" w:cs="宋体"/>
          <w:sz w:val="24"/>
        </w:rPr>
        <w:t>根据本章第2.2 款和第2.3 款对磋商文件所作的澄清、补充和修改，构成磋商文件的组成部分。</w:t>
      </w:r>
    </w:p>
    <w:p>
      <w:pPr>
        <w:spacing w:line="600" w:lineRule="exact"/>
        <w:rPr>
          <w:rFonts w:ascii="宋体" w:hAnsi="宋体" w:cs="宋体"/>
          <w:b/>
          <w:sz w:val="28"/>
          <w:szCs w:val="28"/>
        </w:rPr>
      </w:pPr>
      <w:r>
        <w:rPr>
          <w:rFonts w:hint="eastAsia" w:ascii="宋体" w:hAnsi="宋体" w:cs="宋体"/>
          <w:b/>
          <w:sz w:val="28"/>
          <w:szCs w:val="28"/>
        </w:rPr>
        <w:t>2.2 磋商文件的澄清</w:t>
      </w:r>
    </w:p>
    <w:p>
      <w:pPr>
        <w:spacing w:line="500" w:lineRule="exact"/>
        <w:ind w:firstLine="480" w:firstLineChars="200"/>
        <w:rPr>
          <w:rFonts w:ascii="宋体" w:hAnsi="宋体" w:cs="宋体"/>
          <w:sz w:val="24"/>
        </w:rPr>
      </w:pPr>
      <w:bookmarkStart w:id="36" w:name="_Toc494053891"/>
      <w:r>
        <w:rPr>
          <w:rFonts w:hint="eastAsia" w:ascii="宋体" w:hAnsi="宋体" w:cs="宋体"/>
          <w:sz w:val="24"/>
        </w:rPr>
        <w:t>2.2.1 供应商应仔细阅读和检查磋商文件的全部内容。如发现缺页或附件不全，应及时向采购人提出，以便补齐。如有疑问，应在供应商须知前附表规定的时间、形式，要求采购人对磋商文件予以澄清。供应商如不提出疑问，采购人及代理机构将视为完全认同磋商文件。</w:t>
      </w:r>
    </w:p>
    <w:p>
      <w:pPr>
        <w:spacing w:line="500" w:lineRule="exact"/>
        <w:ind w:firstLine="480" w:firstLineChars="200"/>
        <w:rPr>
          <w:rFonts w:ascii="宋体" w:hAnsi="宋体" w:cs="宋体"/>
          <w:sz w:val="24"/>
        </w:rPr>
      </w:pPr>
      <w:r>
        <w:rPr>
          <w:rFonts w:hint="eastAsia" w:ascii="宋体" w:hAnsi="宋体" w:cs="宋体"/>
          <w:sz w:val="24"/>
        </w:rPr>
        <w:t>2.2.2采购人或代理机构对疑问提交截止前收到的任何澄清要求将按照供应商须知前附表规定的时间作出答复，对供应商质疑的答复是磋商文件的组成部分。</w:t>
      </w:r>
    </w:p>
    <w:p>
      <w:pPr>
        <w:spacing w:line="500" w:lineRule="exact"/>
        <w:ind w:firstLine="480" w:firstLineChars="200"/>
        <w:rPr>
          <w:rFonts w:ascii="宋体" w:hAnsi="宋体" w:cs="宋体"/>
          <w:sz w:val="24"/>
        </w:rPr>
      </w:pPr>
      <w:r>
        <w:rPr>
          <w:rFonts w:hint="eastAsia" w:ascii="宋体" w:hAnsi="宋体" w:cs="宋体"/>
          <w:sz w:val="24"/>
        </w:rPr>
        <w:t>2.2.3提交首次响应文件截止之日前，采购人、代理机构可以对已发出的磋商文件进行必要的澄清或者修改，澄清或者修改的内容作为磋商文件的组成部分。澄清或者修改的内容可能影响响应文件编制的，采购人、代理机构应当在首次提交响应文件截止时间至少5日前，以书面形式通知所有获取磋商文件的供应商；不足5日的，采购人、采购代理机构应当顺延提交响应文件截止时间。</w:t>
      </w:r>
    </w:p>
    <w:p>
      <w:pPr>
        <w:spacing w:line="600" w:lineRule="exact"/>
        <w:rPr>
          <w:rFonts w:ascii="宋体" w:hAnsi="宋体" w:cs="宋体"/>
          <w:b/>
          <w:sz w:val="28"/>
          <w:szCs w:val="28"/>
        </w:rPr>
      </w:pPr>
      <w:r>
        <w:rPr>
          <w:rFonts w:hint="eastAsia" w:ascii="宋体" w:hAnsi="宋体" w:cs="宋体"/>
          <w:b/>
          <w:sz w:val="28"/>
          <w:szCs w:val="28"/>
        </w:rPr>
        <w:t>2.3 磋商文件的修改</w:t>
      </w:r>
    </w:p>
    <w:p>
      <w:pPr>
        <w:spacing w:line="500" w:lineRule="exact"/>
        <w:ind w:firstLine="410" w:firstLineChars="171"/>
        <w:rPr>
          <w:rFonts w:ascii="宋体" w:hAnsi="宋体" w:cs="宋体"/>
          <w:sz w:val="24"/>
        </w:rPr>
      </w:pPr>
      <w:bookmarkStart w:id="37" w:name="_Toc414539105"/>
      <w:r>
        <w:rPr>
          <w:rFonts w:hint="eastAsia" w:ascii="宋体" w:hAnsi="宋体" w:cs="宋体"/>
          <w:sz w:val="24"/>
        </w:rPr>
        <w:t xml:space="preserve"> 2.3.1 在投标截止时间5日前，采购人可以书面形式修改磋商文件，并通知所有已购买磋商文件的供应商。</w:t>
      </w:r>
    </w:p>
    <w:p>
      <w:pPr>
        <w:spacing w:line="500" w:lineRule="exact"/>
        <w:ind w:firstLine="410" w:firstLineChars="171"/>
        <w:rPr>
          <w:rFonts w:ascii="宋体" w:hAnsi="宋体" w:cs="宋体"/>
          <w:sz w:val="24"/>
        </w:rPr>
      </w:pPr>
      <w:r>
        <w:rPr>
          <w:rFonts w:hint="eastAsia" w:ascii="宋体" w:hAnsi="宋体" w:cs="宋体"/>
          <w:sz w:val="24"/>
        </w:rPr>
        <w:t xml:space="preserve"> 2.3.2 供应商收到修改内容后，应在供应商须知前附表规定的时间内以书面形式通知采购人，确认已收到该修改。</w:t>
      </w:r>
    </w:p>
    <w:bookmarkEnd w:id="37"/>
    <w:p>
      <w:pPr>
        <w:pStyle w:val="6"/>
        <w:spacing w:line="800" w:lineRule="exact"/>
        <w:rPr>
          <w:rFonts w:cs="宋体"/>
          <w:sz w:val="30"/>
          <w:szCs w:val="30"/>
        </w:rPr>
      </w:pPr>
      <w:r>
        <w:rPr>
          <w:rFonts w:hint="eastAsia" w:cs="宋体"/>
          <w:sz w:val="30"/>
          <w:szCs w:val="30"/>
        </w:rPr>
        <w:t>3、</w:t>
      </w:r>
      <w:bookmarkEnd w:id="36"/>
      <w:r>
        <w:rPr>
          <w:rFonts w:hint="eastAsia" w:cs="宋体"/>
          <w:sz w:val="30"/>
          <w:szCs w:val="30"/>
        </w:rPr>
        <w:t>响应文件</w:t>
      </w:r>
    </w:p>
    <w:p>
      <w:pPr>
        <w:spacing w:line="600" w:lineRule="exact"/>
        <w:rPr>
          <w:rFonts w:ascii="宋体" w:hAnsi="宋体" w:cs="宋体"/>
          <w:b/>
          <w:sz w:val="28"/>
          <w:szCs w:val="28"/>
        </w:rPr>
      </w:pPr>
      <w:r>
        <w:rPr>
          <w:rFonts w:hint="eastAsia" w:ascii="宋体" w:hAnsi="宋体" w:cs="宋体"/>
          <w:b/>
          <w:sz w:val="28"/>
          <w:szCs w:val="28"/>
        </w:rPr>
        <w:t>3.1 响应文件的组成</w:t>
      </w:r>
    </w:p>
    <w:p>
      <w:pPr>
        <w:spacing w:line="600" w:lineRule="exact"/>
        <w:ind w:firstLine="240" w:firstLineChars="100"/>
        <w:rPr>
          <w:rFonts w:ascii="宋体" w:hAnsi="宋体" w:cs="宋体"/>
          <w:bCs/>
          <w:sz w:val="24"/>
        </w:rPr>
      </w:pPr>
      <w:r>
        <w:rPr>
          <w:rFonts w:hint="eastAsia" w:ascii="宋体" w:hAnsi="宋体" w:cs="宋体"/>
          <w:bCs/>
          <w:sz w:val="24"/>
        </w:rPr>
        <w:t>（1）报价函部分</w:t>
      </w:r>
    </w:p>
    <w:p>
      <w:pPr>
        <w:spacing w:line="600" w:lineRule="exact"/>
        <w:ind w:firstLine="240" w:firstLineChars="100"/>
        <w:rPr>
          <w:rFonts w:ascii="宋体" w:hAnsi="宋体" w:cs="宋体"/>
          <w:bCs/>
          <w:sz w:val="24"/>
        </w:rPr>
      </w:pPr>
      <w:r>
        <w:rPr>
          <w:rFonts w:hint="eastAsia" w:ascii="宋体" w:hAnsi="宋体" w:cs="宋体"/>
          <w:bCs/>
          <w:sz w:val="24"/>
        </w:rPr>
        <w:t>（2）报价一览表</w:t>
      </w:r>
    </w:p>
    <w:p>
      <w:pPr>
        <w:spacing w:line="600" w:lineRule="exact"/>
        <w:ind w:firstLine="240" w:firstLineChars="100"/>
        <w:rPr>
          <w:rFonts w:ascii="宋体" w:hAnsi="宋体" w:cs="宋体"/>
          <w:bCs/>
          <w:sz w:val="24"/>
        </w:rPr>
      </w:pPr>
      <w:r>
        <w:rPr>
          <w:rFonts w:hint="eastAsia" w:ascii="宋体" w:hAnsi="宋体" w:cs="宋体"/>
          <w:bCs/>
          <w:sz w:val="24"/>
        </w:rPr>
        <w:t>（3）法定代表人身份证明及授权委托书</w:t>
      </w:r>
    </w:p>
    <w:p>
      <w:pPr>
        <w:spacing w:line="600" w:lineRule="exact"/>
        <w:ind w:firstLine="240" w:firstLineChars="100"/>
        <w:rPr>
          <w:rFonts w:ascii="宋体" w:hAnsi="宋体" w:cs="宋体"/>
          <w:bCs/>
          <w:sz w:val="24"/>
        </w:rPr>
      </w:pPr>
      <w:r>
        <w:rPr>
          <w:rFonts w:hint="eastAsia" w:ascii="宋体" w:hAnsi="宋体" w:cs="宋体"/>
          <w:bCs/>
          <w:sz w:val="24"/>
        </w:rPr>
        <w:t>（4）服务报价清单</w:t>
      </w:r>
    </w:p>
    <w:p>
      <w:pPr>
        <w:spacing w:line="600" w:lineRule="exact"/>
        <w:ind w:firstLine="240" w:firstLineChars="100"/>
        <w:rPr>
          <w:rFonts w:ascii="宋体" w:hAnsi="宋体" w:cs="宋体"/>
          <w:bCs/>
          <w:sz w:val="24"/>
        </w:rPr>
      </w:pPr>
      <w:r>
        <w:rPr>
          <w:rFonts w:hint="eastAsia" w:ascii="宋体" w:hAnsi="宋体" w:cs="宋体"/>
          <w:bCs/>
          <w:sz w:val="24"/>
        </w:rPr>
        <w:t>（5）服务方案</w:t>
      </w:r>
    </w:p>
    <w:p>
      <w:pPr>
        <w:spacing w:line="600" w:lineRule="exact"/>
        <w:ind w:firstLine="240" w:firstLineChars="100"/>
        <w:rPr>
          <w:rFonts w:ascii="宋体" w:hAnsi="宋体" w:cs="宋体"/>
          <w:bCs/>
          <w:sz w:val="24"/>
        </w:rPr>
      </w:pPr>
      <w:r>
        <w:rPr>
          <w:rFonts w:hint="eastAsia" w:ascii="宋体" w:hAnsi="宋体" w:cs="宋体"/>
          <w:bCs/>
          <w:sz w:val="24"/>
        </w:rPr>
        <w:t>（6）资格审查资料</w:t>
      </w:r>
    </w:p>
    <w:p>
      <w:pPr>
        <w:spacing w:line="600" w:lineRule="exact"/>
        <w:ind w:firstLine="240" w:firstLineChars="100"/>
        <w:rPr>
          <w:rFonts w:ascii="宋体" w:hAnsi="宋体" w:cs="宋体"/>
          <w:bCs/>
          <w:sz w:val="24"/>
        </w:rPr>
      </w:pPr>
      <w:r>
        <w:rPr>
          <w:rFonts w:hint="eastAsia" w:ascii="宋体" w:hAnsi="宋体" w:cs="宋体"/>
          <w:bCs/>
          <w:sz w:val="24"/>
        </w:rPr>
        <w:t>（7）供应商认为需要提供的其他资料</w:t>
      </w:r>
    </w:p>
    <w:p>
      <w:pPr>
        <w:spacing w:line="600" w:lineRule="exact"/>
        <w:rPr>
          <w:rFonts w:ascii="宋体" w:hAnsi="宋体" w:cs="宋体"/>
          <w:b/>
          <w:sz w:val="28"/>
          <w:szCs w:val="28"/>
        </w:rPr>
      </w:pPr>
      <w:r>
        <w:rPr>
          <w:rFonts w:hint="eastAsia" w:ascii="宋体" w:hAnsi="宋体" w:cs="宋体"/>
          <w:b/>
          <w:sz w:val="28"/>
          <w:szCs w:val="28"/>
        </w:rPr>
        <w:t>3.2 构成响应文件的其他材料</w:t>
      </w:r>
    </w:p>
    <w:p>
      <w:pPr>
        <w:spacing w:line="500" w:lineRule="exact"/>
        <w:ind w:firstLine="480" w:firstLineChars="200"/>
        <w:rPr>
          <w:rFonts w:ascii="宋体" w:hAnsi="宋体" w:cs="宋体"/>
          <w:sz w:val="24"/>
        </w:rPr>
      </w:pPr>
      <w:r>
        <w:rPr>
          <w:rFonts w:hint="eastAsia" w:ascii="宋体" w:hAnsi="宋体" w:cs="宋体"/>
          <w:sz w:val="24"/>
        </w:rPr>
        <w:t>3.2.1 按照磋商小组要求递交的澄清、补充、修改及说明。</w:t>
      </w:r>
    </w:p>
    <w:p>
      <w:pPr>
        <w:spacing w:line="600" w:lineRule="exact"/>
        <w:rPr>
          <w:rFonts w:ascii="宋体" w:hAnsi="宋体" w:cs="宋体"/>
          <w:b/>
          <w:sz w:val="28"/>
          <w:szCs w:val="28"/>
        </w:rPr>
      </w:pPr>
      <w:r>
        <w:rPr>
          <w:rFonts w:hint="eastAsia" w:ascii="宋体" w:hAnsi="宋体" w:cs="宋体"/>
          <w:b/>
          <w:sz w:val="28"/>
          <w:szCs w:val="28"/>
        </w:rPr>
        <w:t>3.3 响应文件报价要求</w:t>
      </w:r>
    </w:p>
    <w:p>
      <w:pPr>
        <w:spacing w:line="500" w:lineRule="exact"/>
        <w:ind w:firstLine="480" w:firstLineChars="200"/>
        <w:rPr>
          <w:rFonts w:ascii="宋体" w:hAnsi="宋体" w:cs="宋体"/>
          <w:sz w:val="24"/>
        </w:rPr>
      </w:pPr>
      <w:r>
        <w:rPr>
          <w:rFonts w:hint="eastAsia" w:ascii="宋体" w:hAnsi="宋体" w:cs="宋体"/>
          <w:sz w:val="24"/>
        </w:rPr>
        <w:t>3.3.1供应商应当按照磋商文件的要求编制响应文件，并对其提交的响应文件的真实性、合法性承担法律责任。</w:t>
      </w:r>
    </w:p>
    <w:p>
      <w:pPr>
        <w:spacing w:line="500" w:lineRule="exact"/>
        <w:ind w:firstLine="480" w:firstLineChars="200"/>
        <w:rPr>
          <w:rFonts w:ascii="宋体" w:hAnsi="宋体" w:cs="宋体"/>
          <w:sz w:val="24"/>
        </w:rPr>
      </w:pPr>
      <w:r>
        <w:rPr>
          <w:rFonts w:hint="eastAsia" w:ascii="宋体" w:hAnsi="宋体" w:cs="宋体"/>
          <w:sz w:val="24"/>
        </w:rPr>
        <w:t xml:space="preserve">3.3.2供应商应对磋商文件内所要招标的全部内容进行报价，只投其中部分内容者，则响应文件无效。 </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3.3.3供应商的报价应包括货物费、保证产品正常运行所需配置的相关辅件、组件、耗材、设计、安装调试、保险、税费（进口部分还要包括关税、商检、手续费等）、相关手续费、安装施工、管理、检验、运杂、装卸车、安装调试后服务、招标代理费及后期验收费等全部费用。供应商应充分考虑本项目合同实施期间可能发生的一切费用，并承担由此而带来的风险。并考虑在合同实施期间不因市场、政策的变化而变动。合同履约期间不再调整。如果供应商响应文件内有缺报、漏报的费用，应视为已经分摊在其他费用中，不再支付任何费用。 成交价格一旦确定，合同价款采用固定单价合同，据实结算。</w:t>
      </w:r>
    </w:p>
    <w:p>
      <w:pPr>
        <w:spacing w:line="500" w:lineRule="exact"/>
        <w:ind w:firstLine="480" w:firstLineChars="200"/>
        <w:rPr>
          <w:rFonts w:ascii="宋体" w:hAnsi="宋体" w:cs="宋体"/>
          <w:sz w:val="24"/>
        </w:rPr>
      </w:pPr>
      <w:r>
        <w:rPr>
          <w:rFonts w:hint="eastAsia" w:ascii="宋体" w:hAnsi="宋体" w:cs="宋体"/>
          <w:sz w:val="24"/>
        </w:rPr>
        <w:t>3.3.4报价内容只允许填一个报价，采购人不接受任何有选择性的报价。</w:t>
      </w:r>
    </w:p>
    <w:p>
      <w:pPr>
        <w:spacing w:line="500" w:lineRule="exact"/>
        <w:ind w:firstLine="480" w:firstLineChars="200"/>
        <w:rPr>
          <w:rFonts w:ascii="宋体" w:hAnsi="宋体" w:cs="宋体"/>
          <w:sz w:val="24"/>
        </w:rPr>
      </w:pPr>
      <w:r>
        <w:rPr>
          <w:rFonts w:hint="eastAsia" w:ascii="宋体" w:hAnsi="宋体" w:cs="宋体"/>
          <w:sz w:val="24"/>
        </w:rPr>
        <w:t>3.3.5响应文件中的报价全部采用人民币表示，除非合同的特殊条款另有规定。</w:t>
      </w:r>
    </w:p>
    <w:p>
      <w:pPr>
        <w:spacing w:line="500" w:lineRule="exact"/>
        <w:ind w:firstLine="480" w:firstLineChars="200"/>
        <w:rPr>
          <w:rFonts w:ascii="宋体" w:hAnsi="宋体" w:cs="宋体"/>
          <w:sz w:val="24"/>
        </w:rPr>
      </w:pPr>
      <w:r>
        <w:rPr>
          <w:rFonts w:hint="eastAsia" w:ascii="宋体" w:hAnsi="宋体" w:cs="宋体"/>
          <w:sz w:val="24"/>
        </w:rPr>
        <w:t>3.3.6采购代理费详见供应商须知前附表规定，由成交人在领取成交通知书时一次性支付，上述费用供应商要综合考虑分摊到报价中。</w:t>
      </w:r>
    </w:p>
    <w:p>
      <w:pPr>
        <w:spacing w:line="600" w:lineRule="exact"/>
        <w:rPr>
          <w:rFonts w:ascii="宋体" w:hAnsi="宋体" w:cs="宋体"/>
          <w:b/>
          <w:sz w:val="28"/>
          <w:szCs w:val="28"/>
        </w:rPr>
      </w:pPr>
      <w:r>
        <w:rPr>
          <w:rFonts w:hint="eastAsia" w:ascii="宋体" w:hAnsi="宋体" w:cs="宋体"/>
          <w:b/>
          <w:sz w:val="28"/>
          <w:szCs w:val="28"/>
        </w:rPr>
        <w:t>3.4响应文件有效期</w:t>
      </w:r>
    </w:p>
    <w:p>
      <w:pPr>
        <w:spacing w:line="500" w:lineRule="exact"/>
        <w:ind w:firstLine="480" w:firstLineChars="200"/>
        <w:rPr>
          <w:rFonts w:ascii="宋体" w:hAnsi="宋体" w:cs="宋体"/>
          <w:sz w:val="24"/>
        </w:rPr>
      </w:pPr>
      <w:r>
        <w:rPr>
          <w:rFonts w:hint="eastAsia" w:ascii="宋体" w:hAnsi="宋体" w:cs="宋体"/>
          <w:sz w:val="24"/>
        </w:rPr>
        <w:t>3.4.1 在供应商须知前附表规定的响应文件有效期内，供应商不得要求撤销或修改其响应文件。</w:t>
      </w:r>
    </w:p>
    <w:p>
      <w:pPr>
        <w:spacing w:line="500" w:lineRule="exact"/>
        <w:ind w:firstLine="480" w:firstLineChars="200"/>
        <w:rPr>
          <w:rFonts w:ascii="宋体" w:hAnsi="宋体" w:cs="宋体"/>
          <w:sz w:val="24"/>
        </w:rPr>
      </w:pPr>
      <w:r>
        <w:rPr>
          <w:rFonts w:hint="eastAsia" w:ascii="宋体" w:hAnsi="宋体" w:cs="宋体"/>
          <w:sz w:val="24"/>
        </w:rPr>
        <w:t>3.4.2 出现特殊情况需要延长响应文件有效期的，采购人以书面形式通知所有供应商延长有效期。供应商同意延长的，不得要求或被允许修改或撤销其响应文件；供应商拒绝延长的，其响应文件失效。</w:t>
      </w:r>
    </w:p>
    <w:p>
      <w:pPr>
        <w:spacing w:line="600" w:lineRule="exact"/>
        <w:rPr>
          <w:rFonts w:ascii="宋体" w:hAnsi="宋体" w:cs="宋体"/>
          <w:b/>
          <w:sz w:val="28"/>
          <w:szCs w:val="28"/>
        </w:rPr>
      </w:pPr>
      <w:r>
        <w:rPr>
          <w:rFonts w:hint="eastAsia" w:ascii="宋体" w:hAnsi="宋体" w:cs="宋体"/>
          <w:b/>
          <w:sz w:val="28"/>
          <w:szCs w:val="28"/>
        </w:rPr>
        <w:t>3.5 资格审查资料</w:t>
      </w:r>
    </w:p>
    <w:p>
      <w:pPr>
        <w:spacing w:line="500" w:lineRule="exact"/>
        <w:ind w:firstLine="410" w:firstLineChars="171"/>
        <w:rPr>
          <w:rFonts w:ascii="宋体" w:hAnsi="宋体" w:cs="宋体"/>
          <w:sz w:val="24"/>
        </w:rPr>
      </w:pPr>
      <w:r>
        <w:rPr>
          <w:rFonts w:hint="eastAsia" w:ascii="宋体" w:hAnsi="宋体" w:cs="宋体"/>
          <w:sz w:val="24"/>
        </w:rPr>
        <w:t>供应商在编制响应文件时，应按照本项目磋商文件的要求提交资格审查资料，以证明供应商具备完成本项目的能力和信誉。在采购过程中，供应商名称发生变更的，必须提供企业所在地工商行政管理部门出具的相关证明，否则其响应文件将被拒绝；更换供应商的，其响应文件将被拒绝。</w:t>
      </w:r>
    </w:p>
    <w:p>
      <w:pPr>
        <w:spacing w:line="600" w:lineRule="exact"/>
        <w:rPr>
          <w:rFonts w:ascii="宋体" w:hAnsi="宋体" w:cs="宋体"/>
          <w:b/>
          <w:sz w:val="28"/>
          <w:szCs w:val="28"/>
        </w:rPr>
      </w:pPr>
      <w:r>
        <w:rPr>
          <w:rFonts w:hint="eastAsia" w:ascii="宋体" w:hAnsi="宋体" w:cs="宋体"/>
          <w:b/>
          <w:sz w:val="28"/>
          <w:szCs w:val="28"/>
        </w:rPr>
        <w:t>3.6响应文件的编制</w:t>
      </w:r>
    </w:p>
    <w:p>
      <w:pPr>
        <w:spacing w:before="217" w:line="401" w:lineRule="auto"/>
        <w:ind w:left="3" w:firstLine="414"/>
        <w:rPr>
          <w:rFonts w:ascii="宋体" w:hAnsi="宋体" w:cs="宋体"/>
          <w:sz w:val="24"/>
        </w:rPr>
      </w:pPr>
      <w:bookmarkStart w:id="38" w:name="_Toc494053892"/>
      <w:bookmarkStart w:id="39" w:name="_Toc414539106"/>
      <w:r>
        <w:rPr>
          <w:rFonts w:ascii="宋体" w:hAnsi="宋体" w:cs="宋体"/>
          <w:spacing w:val="4"/>
          <w:sz w:val="24"/>
        </w:rPr>
        <w:t>3.6.1 响应文件应按第六章“响应文件格式”进行编写，如有必要，可以增加附</w:t>
      </w:r>
      <w:r>
        <w:rPr>
          <w:rFonts w:ascii="宋体" w:hAnsi="宋体" w:cs="宋体"/>
          <w:spacing w:val="3"/>
          <w:sz w:val="24"/>
        </w:rPr>
        <w:t>页</w:t>
      </w:r>
      <w:r>
        <w:rPr>
          <w:rFonts w:ascii="宋体" w:hAnsi="宋体" w:cs="宋体"/>
          <w:sz w:val="24"/>
        </w:rPr>
        <w:t xml:space="preserve">， </w:t>
      </w:r>
      <w:r>
        <w:rPr>
          <w:rFonts w:ascii="宋体" w:hAnsi="宋体" w:cs="宋体"/>
          <w:spacing w:val="11"/>
          <w:sz w:val="24"/>
        </w:rPr>
        <w:t>作</w:t>
      </w:r>
      <w:r>
        <w:rPr>
          <w:rFonts w:ascii="宋体" w:hAnsi="宋体" w:cs="宋体"/>
          <w:spacing w:val="8"/>
          <w:sz w:val="24"/>
        </w:rPr>
        <w:t>为响应文件的组成部分。</w:t>
      </w:r>
    </w:p>
    <w:p>
      <w:pPr>
        <w:spacing w:before="2" w:line="394" w:lineRule="auto"/>
        <w:ind w:left="31" w:right="59" w:firstLine="386"/>
        <w:rPr>
          <w:rFonts w:ascii="宋体" w:hAnsi="宋体" w:cs="宋体"/>
          <w:sz w:val="24"/>
        </w:rPr>
      </w:pPr>
      <w:r>
        <w:rPr>
          <w:rFonts w:ascii="宋体" w:hAnsi="宋体" w:cs="宋体"/>
          <w:spacing w:val="16"/>
          <w:sz w:val="24"/>
        </w:rPr>
        <w:t>3</w:t>
      </w:r>
      <w:r>
        <w:rPr>
          <w:rFonts w:ascii="宋体" w:hAnsi="宋体" w:cs="宋体"/>
          <w:spacing w:val="14"/>
          <w:sz w:val="24"/>
        </w:rPr>
        <w:t>.</w:t>
      </w:r>
      <w:r>
        <w:rPr>
          <w:rFonts w:ascii="宋体" w:hAnsi="宋体" w:cs="宋体"/>
          <w:spacing w:val="8"/>
          <w:sz w:val="24"/>
        </w:rPr>
        <w:t>6.2 响应文件应当对竞争性磋商文件有关</w:t>
      </w:r>
      <w:r>
        <w:rPr>
          <w:rFonts w:hint="eastAsia" w:ascii="宋体" w:hAnsi="宋体" w:cs="宋体"/>
          <w:spacing w:val="8"/>
          <w:sz w:val="24"/>
        </w:rPr>
        <w:t>服务</w:t>
      </w:r>
      <w:r>
        <w:rPr>
          <w:rFonts w:ascii="宋体" w:hAnsi="宋体" w:cs="宋体"/>
          <w:spacing w:val="8"/>
          <w:sz w:val="24"/>
        </w:rPr>
        <w:t>期、质量要求、</w:t>
      </w:r>
      <w:r>
        <w:rPr>
          <w:rFonts w:hint="eastAsia" w:ascii="宋体" w:hAnsi="宋体" w:cs="宋体"/>
          <w:spacing w:val="8"/>
          <w:sz w:val="24"/>
        </w:rPr>
        <w:t>服务</w:t>
      </w:r>
      <w:r>
        <w:rPr>
          <w:rFonts w:ascii="宋体" w:hAnsi="宋体" w:cs="宋体"/>
          <w:spacing w:val="8"/>
          <w:sz w:val="24"/>
        </w:rPr>
        <w:t>内容等实质性</w:t>
      </w:r>
      <w:r>
        <w:rPr>
          <w:rFonts w:ascii="宋体" w:hAnsi="宋体" w:cs="宋体"/>
          <w:spacing w:val="3"/>
          <w:sz w:val="24"/>
        </w:rPr>
        <w:t>内容作出响应。</w:t>
      </w:r>
    </w:p>
    <w:p>
      <w:pPr>
        <w:spacing w:line="385" w:lineRule="auto"/>
        <w:ind w:left="2" w:right="61" w:firstLine="484"/>
        <w:rPr>
          <w:rFonts w:ascii="宋体" w:hAnsi="宋体" w:cs="宋体"/>
          <w:sz w:val="24"/>
        </w:rPr>
      </w:pPr>
      <w:r>
        <w:rPr>
          <w:rFonts w:ascii="宋体" w:hAnsi="宋体" w:cs="宋体"/>
          <w:spacing w:val="18"/>
          <w:sz w:val="24"/>
        </w:rPr>
        <w:t>3.</w:t>
      </w:r>
      <w:r>
        <w:rPr>
          <w:rFonts w:ascii="宋体" w:hAnsi="宋体" w:cs="宋体"/>
          <w:spacing w:val="9"/>
          <w:sz w:val="24"/>
        </w:rPr>
        <w:t>6.3 响应文件应由供应商的法定代表人或其委托代理人签字或盖单位公章(电子</w:t>
      </w:r>
      <w:r>
        <w:rPr>
          <w:rFonts w:ascii="宋体" w:hAnsi="宋体" w:cs="宋体"/>
          <w:sz w:val="24"/>
        </w:rPr>
        <w:t xml:space="preserve"> </w:t>
      </w:r>
      <w:r>
        <w:rPr>
          <w:rFonts w:ascii="宋体" w:hAnsi="宋体" w:cs="宋体"/>
          <w:spacing w:val="9"/>
          <w:sz w:val="24"/>
        </w:rPr>
        <w:t>签章) ，签字或盖章的具体要求见供应商须知前附表</w:t>
      </w:r>
      <w:r>
        <w:rPr>
          <w:rFonts w:ascii="宋体" w:hAnsi="宋体" w:cs="宋体"/>
          <w:spacing w:val="4"/>
          <w:sz w:val="24"/>
        </w:rPr>
        <w:t>。</w:t>
      </w:r>
    </w:p>
    <w:p>
      <w:pPr>
        <w:spacing w:before="1" w:line="385" w:lineRule="auto"/>
        <w:ind w:left="3" w:right="61" w:firstLine="483"/>
        <w:rPr>
          <w:rFonts w:ascii="宋体" w:hAnsi="宋体" w:cs="宋体"/>
          <w:sz w:val="24"/>
        </w:rPr>
      </w:pPr>
      <w:r>
        <w:rPr>
          <w:rFonts w:ascii="宋体" w:hAnsi="宋体" w:cs="宋体"/>
          <w:spacing w:val="12"/>
          <w:sz w:val="24"/>
        </w:rPr>
        <w:t>3.6</w:t>
      </w:r>
      <w:r>
        <w:rPr>
          <w:rFonts w:ascii="宋体" w:hAnsi="宋体" w:cs="宋体"/>
          <w:spacing w:val="8"/>
          <w:sz w:val="24"/>
        </w:rPr>
        <w:t>.</w:t>
      </w:r>
      <w:r>
        <w:rPr>
          <w:rFonts w:ascii="宋体" w:hAnsi="宋体" w:cs="宋体"/>
          <w:spacing w:val="6"/>
          <w:sz w:val="24"/>
        </w:rPr>
        <w:t>4 电子响应文件应按照统一的“电子响应文件制作工具”以及磋商文件要求进</w:t>
      </w:r>
      <w:r>
        <w:rPr>
          <w:rFonts w:ascii="宋体" w:hAnsi="宋体" w:cs="宋体"/>
          <w:sz w:val="24"/>
        </w:rPr>
        <w:t xml:space="preserve"> </w:t>
      </w:r>
      <w:r>
        <w:rPr>
          <w:rFonts w:ascii="宋体" w:hAnsi="宋体" w:cs="宋体"/>
          <w:spacing w:val="12"/>
          <w:sz w:val="24"/>
        </w:rPr>
        <w:t>行</w:t>
      </w:r>
      <w:r>
        <w:rPr>
          <w:rFonts w:ascii="宋体" w:hAnsi="宋体" w:cs="宋体"/>
          <w:spacing w:val="7"/>
          <w:sz w:val="24"/>
        </w:rPr>
        <w:t>制作编制。响应文件制作时，应按照磋商文件中明确的响应文件目录和格式进行编</w:t>
      </w:r>
      <w:r>
        <w:rPr>
          <w:rFonts w:ascii="宋体" w:hAnsi="宋体" w:cs="宋体"/>
          <w:spacing w:val="14"/>
          <w:sz w:val="24"/>
        </w:rPr>
        <w:t>制</w:t>
      </w:r>
      <w:r>
        <w:rPr>
          <w:rFonts w:ascii="宋体" w:hAnsi="宋体" w:cs="宋体"/>
          <w:spacing w:val="9"/>
          <w:sz w:val="24"/>
        </w:rPr>
        <w:t>，保证目录清晰、内容完整，不同内容按标签提示导入。</w:t>
      </w:r>
    </w:p>
    <w:p>
      <w:pPr>
        <w:spacing w:before="3" w:line="388" w:lineRule="auto"/>
        <w:ind w:left="1" w:firstLine="485"/>
        <w:rPr>
          <w:rFonts w:ascii="宋体" w:hAnsi="宋体" w:cs="宋体"/>
          <w:sz w:val="24"/>
        </w:rPr>
      </w:pPr>
      <w:r>
        <w:rPr>
          <w:rFonts w:ascii="宋体" w:hAnsi="宋体" w:cs="宋体"/>
          <w:spacing w:val="12"/>
          <w:sz w:val="24"/>
        </w:rPr>
        <w:t>3.6</w:t>
      </w:r>
      <w:r>
        <w:rPr>
          <w:rFonts w:ascii="宋体" w:hAnsi="宋体" w:cs="宋体"/>
          <w:spacing w:val="8"/>
          <w:sz w:val="24"/>
        </w:rPr>
        <w:t>.</w:t>
      </w:r>
      <w:r>
        <w:rPr>
          <w:rFonts w:ascii="宋体" w:hAnsi="宋体" w:cs="宋体"/>
          <w:spacing w:val="6"/>
          <w:sz w:val="24"/>
        </w:rPr>
        <w:t>5 电子磋商文件、电子响应文件具有法律效力，与其他形式的磋商文件、响应</w:t>
      </w:r>
      <w:r>
        <w:rPr>
          <w:rFonts w:ascii="宋体" w:hAnsi="宋体" w:cs="宋体"/>
          <w:spacing w:val="3"/>
          <w:sz w:val="24"/>
        </w:rPr>
        <w:t>文件在内容和格式上等同，若响应文件与磋商文件要求不一致，其内容影响中标结果</w:t>
      </w:r>
      <w:r>
        <w:rPr>
          <w:rFonts w:ascii="宋体" w:hAnsi="宋体" w:cs="宋体"/>
          <w:sz w:val="24"/>
        </w:rPr>
        <w:t>时，</w:t>
      </w:r>
      <w:r>
        <w:rPr>
          <w:rFonts w:ascii="宋体" w:hAnsi="宋体" w:cs="宋体"/>
          <w:spacing w:val="14"/>
          <w:sz w:val="24"/>
        </w:rPr>
        <w:t>责</w:t>
      </w:r>
      <w:r>
        <w:rPr>
          <w:rFonts w:ascii="宋体" w:hAnsi="宋体" w:cs="宋体"/>
          <w:spacing w:val="7"/>
          <w:sz w:val="24"/>
        </w:rPr>
        <w:t>任由供应商自行承担。 供应商递交的电子响应文件因供应商自身原因而导致无法导</w:t>
      </w:r>
      <w:r>
        <w:rPr>
          <w:rFonts w:ascii="宋体" w:hAnsi="宋体" w:cs="宋体"/>
          <w:sz w:val="24"/>
        </w:rPr>
        <w:t xml:space="preserve"> </w:t>
      </w:r>
      <w:r>
        <w:rPr>
          <w:rFonts w:ascii="宋体" w:hAnsi="宋体" w:cs="宋体"/>
          <w:spacing w:val="15"/>
          <w:sz w:val="24"/>
        </w:rPr>
        <w:t>入</w:t>
      </w:r>
      <w:r>
        <w:rPr>
          <w:rFonts w:ascii="宋体" w:hAnsi="宋体" w:cs="宋体"/>
          <w:spacing w:val="9"/>
          <w:sz w:val="24"/>
        </w:rPr>
        <w:t>电子辅助评标系统的，该响应文件视为无效响应文件。</w:t>
      </w:r>
    </w:p>
    <w:p>
      <w:pPr>
        <w:pStyle w:val="6"/>
        <w:spacing w:line="800" w:lineRule="exact"/>
        <w:rPr>
          <w:rFonts w:cs="宋体"/>
          <w:sz w:val="30"/>
          <w:szCs w:val="30"/>
        </w:rPr>
      </w:pPr>
      <w:r>
        <w:rPr>
          <w:rFonts w:hint="eastAsia" w:cs="宋体"/>
          <w:sz w:val="30"/>
          <w:szCs w:val="30"/>
        </w:rPr>
        <w:t>4、</w:t>
      </w:r>
      <w:bookmarkEnd w:id="38"/>
      <w:bookmarkEnd w:id="39"/>
      <w:r>
        <w:rPr>
          <w:rFonts w:hint="eastAsia" w:cs="宋体"/>
          <w:sz w:val="30"/>
          <w:szCs w:val="30"/>
        </w:rPr>
        <w:t>响应文件的递交</w:t>
      </w:r>
    </w:p>
    <w:p>
      <w:pPr>
        <w:spacing w:line="600" w:lineRule="exact"/>
        <w:rPr>
          <w:rFonts w:ascii="宋体" w:hAnsi="宋体" w:cs="宋体"/>
          <w:b/>
          <w:sz w:val="28"/>
          <w:szCs w:val="28"/>
        </w:rPr>
      </w:pPr>
      <w:r>
        <w:rPr>
          <w:rFonts w:hint="eastAsia" w:ascii="宋体" w:hAnsi="宋体" w:cs="宋体"/>
          <w:b/>
          <w:sz w:val="28"/>
          <w:szCs w:val="28"/>
        </w:rPr>
        <w:t>4.1响应文件的递交截止时间及地点</w:t>
      </w:r>
    </w:p>
    <w:p>
      <w:pPr>
        <w:spacing w:line="500" w:lineRule="exact"/>
        <w:ind w:firstLine="410" w:firstLineChars="171"/>
        <w:rPr>
          <w:rFonts w:ascii="宋体" w:hAnsi="宋体" w:cs="宋体"/>
          <w:sz w:val="24"/>
        </w:rPr>
      </w:pPr>
      <w:r>
        <w:rPr>
          <w:rFonts w:hint="eastAsia" w:ascii="宋体" w:hAnsi="宋体" w:cs="宋体"/>
          <w:sz w:val="24"/>
        </w:rPr>
        <w:t>4.1.1供应商递交响应文件的截止时间：见供应商须知前附表。</w:t>
      </w:r>
    </w:p>
    <w:p>
      <w:pPr>
        <w:spacing w:line="500" w:lineRule="exact"/>
        <w:ind w:firstLine="410" w:firstLineChars="171"/>
        <w:rPr>
          <w:rFonts w:ascii="宋体" w:hAnsi="宋体" w:cs="宋体"/>
          <w:sz w:val="24"/>
        </w:rPr>
      </w:pPr>
      <w:r>
        <w:rPr>
          <w:rFonts w:hint="eastAsia" w:ascii="宋体" w:hAnsi="宋体" w:cs="宋体"/>
          <w:sz w:val="24"/>
        </w:rPr>
        <w:t>4.1.2 供应商递交响应文件的地点：见供应商须知前附表。</w:t>
      </w:r>
    </w:p>
    <w:p>
      <w:pPr>
        <w:spacing w:line="600" w:lineRule="exact"/>
        <w:rPr>
          <w:rFonts w:ascii="宋体" w:hAnsi="宋体" w:cs="宋体"/>
          <w:b/>
          <w:sz w:val="28"/>
          <w:szCs w:val="28"/>
        </w:rPr>
      </w:pPr>
      <w:r>
        <w:rPr>
          <w:rFonts w:hint="eastAsia" w:ascii="宋体" w:hAnsi="宋体" w:cs="宋体"/>
          <w:b/>
          <w:sz w:val="28"/>
          <w:szCs w:val="28"/>
        </w:rPr>
        <w:t>4.2响应文件的修改与撤回</w:t>
      </w:r>
    </w:p>
    <w:p>
      <w:pPr>
        <w:spacing w:line="500" w:lineRule="exact"/>
        <w:rPr>
          <w:rFonts w:ascii="宋体" w:hAnsi="宋体" w:cs="宋体"/>
          <w:sz w:val="24"/>
        </w:rPr>
      </w:pPr>
      <w:r>
        <w:rPr>
          <w:rFonts w:hint="eastAsia" w:ascii="宋体" w:hAnsi="宋体" w:cs="宋体"/>
          <w:sz w:val="24"/>
        </w:rPr>
        <w:t>4.2响应文件的修改与撤回</w:t>
      </w:r>
    </w:p>
    <w:p>
      <w:pPr>
        <w:spacing w:before="216" w:line="227" w:lineRule="auto"/>
        <w:rPr>
          <w:rFonts w:ascii="宋体" w:hAnsi="宋体" w:cs="宋体"/>
          <w:sz w:val="24"/>
        </w:rPr>
      </w:pPr>
      <w:bookmarkStart w:id="40" w:name="_Toc3220"/>
      <w:r>
        <w:rPr>
          <w:rFonts w:ascii="宋体" w:hAnsi="宋体" w:cs="宋体"/>
          <w:spacing w:val="16"/>
          <w:sz w:val="24"/>
        </w:rPr>
        <w:t>4.</w:t>
      </w:r>
      <w:r>
        <w:rPr>
          <w:rFonts w:ascii="宋体" w:hAnsi="宋体" w:cs="宋体"/>
          <w:spacing w:val="10"/>
          <w:sz w:val="24"/>
        </w:rPr>
        <w:t>2</w:t>
      </w:r>
      <w:r>
        <w:rPr>
          <w:rFonts w:ascii="宋体" w:hAnsi="宋体" w:cs="宋体"/>
          <w:spacing w:val="8"/>
          <w:sz w:val="24"/>
        </w:rPr>
        <w:t>.1 在供应商须知前附表规定的投标截止时间前，供应商可以修改或撤回已递交</w:t>
      </w:r>
      <w:r>
        <w:rPr>
          <w:rFonts w:ascii="宋体" w:hAnsi="宋体" w:cs="宋体"/>
          <w:spacing w:val="5"/>
          <w:sz w:val="24"/>
        </w:rPr>
        <w:t>的</w:t>
      </w:r>
      <w:r>
        <w:rPr>
          <w:rFonts w:ascii="宋体" w:hAnsi="宋体" w:cs="宋体"/>
          <w:spacing w:val="3"/>
          <w:sz w:val="24"/>
        </w:rPr>
        <w:t>响应文件。</w:t>
      </w:r>
    </w:p>
    <w:p>
      <w:pPr>
        <w:spacing w:before="58" w:line="377" w:lineRule="auto"/>
        <w:ind w:right="82"/>
        <w:jc w:val="left"/>
        <w:rPr>
          <w:rFonts w:ascii="宋体" w:hAnsi="宋体" w:cs="宋体"/>
          <w:sz w:val="24"/>
        </w:rPr>
      </w:pPr>
      <w:r>
        <w:rPr>
          <w:rFonts w:ascii="宋体" w:hAnsi="宋体" w:cs="宋体"/>
          <w:spacing w:val="27"/>
          <w:sz w:val="24"/>
        </w:rPr>
        <w:t>4.2.2 响应文件的修改与撤回按照赢标电子招标采购交易平台(菏泽专区)</w:t>
      </w:r>
      <w:r>
        <w:rPr>
          <w:rFonts w:ascii="宋体" w:hAnsi="宋体" w:cs="宋体"/>
          <w:sz w:val="24"/>
        </w:rPr>
        <w:t xml:space="preserve"> </w:t>
      </w:r>
      <w:r>
        <w:fldChar w:fldCharType="begin"/>
      </w:r>
      <w:r>
        <w:instrText xml:space="preserve"> HYPERLINK "http://hz.fzbidding.com/" </w:instrText>
      </w:r>
      <w:r>
        <w:fldChar w:fldCharType="separate"/>
      </w:r>
      <w:r>
        <w:rPr>
          <w:rFonts w:ascii="宋体" w:hAnsi="宋体" w:cs="宋体"/>
          <w:sz w:val="24"/>
        </w:rPr>
        <w:t>http</w:t>
      </w:r>
      <w:r>
        <w:rPr>
          <w:rFonts w:ascii="宋体" w:hAnsi="宋体" w:cs="宋体"/>
          <w:spacing w:val="17"/>
          <w:sz w:val="24"/>
        </w:rPr>
        <w:t>:</w:t>
      </w:r>
      <w:r>
        <w:rPr>
          <w:rFonts w:ascii="宋体" w:hAnsi="宋体" w:cs="宋体"/>
          <w:spacing w:val="13"/>
          <w:sz w:val="24"/>
        </w:rPr>
        <w:t>//</w:t>
      </w:r>
      <w:r>
        <w:rPr>
          <w:rFonts w:ascii="宋体" w:hAnsi="宋体" w:cs="宋体"/>
          <w:sz w:val="24"/>
        </w:rPr>
        <w:t>hz</w:t>
      </w:r>
      <w:r>
        <w:rPr>
          <w:rFonts w:ascii="宋体" w:hAnsi="宋体" w:cs="宋体"/>
          <w:spacing w:val="13"/>
          <w:sz w:val="24"/>
        </w:rPr>
        <w:t>.</w:t>
      </w:r>
      <w:r>
        <w:rPr>
          <w:rFonts w:ascii="宋体" w:hAnsi="宋体" w:cs="宋体"/>
          <w:sz w:val="24"/>
        </w:rPr>
        <w:t>fzbidding</w:t>
      </w:r>
      <w:r>
        <w:rPr>
          <w:rFonts w:ascii="宋体" w:hAnsi="宋体" w:cs="宋体"/>
          <w:spacing w:val="13"/>
          <w:sz w:val="24"/>
        </w:rPr>
        <w:t>.</w:t>
      </w:r>
      <w:r>
        <w:rPr>
          <w:rFonts w:ascii="宋体" w:hAnsi="宋体" w:cs="宋体"/>
          <w:sz w:val="24"/>
        </w:rPr>
        <w:t>com</w:t>
      </w:r>
      <w:r>
        <w:rPr>
          <w:rFonts w:ascii="宋体" w:hAnsi="宋体" w:cs="宋体"/>
          <w:spacing w:val="13"/>
          <w:sz w:val="24"/>
        </w:rPr>
        <w:t>/</w:t>
      </w:r>
      <w:r>
        <w:rPr>
          <w:rFonts w:ascii="宋体" w:hAnsi="宋体" w:cs="宋体"/>
          <w:spacing w:val="13"/>
          <w:sz w:val="24"/>
        </w:rPr>
        <w:fldChar w:fldCharType="end"/>
      </w:r>
      <w:r>
        <w:rPr>
          <w:rFonts w:ascii="宋体" w:hAnsi="宋体" w:cs="宋体"/>
          <w:spacing w:val="13"/>
          <w:sz w:val="24"/>
        </w:rPr>
        <w:t>相关规定执行。</w:t>
      </w:r>
    </w:p>
    <w:p>
      <w:pPr>
        <w:pStyle w:val="6"/>
        <w:spacing w:line="800" w:lineRule="exact"/>
        <w:rPr>
          <w:rFonts w:ascii="宋体" w:hAnsi="宋体" w:eastAsia="宋体" w:cs="宋体"/>
          <w:spacing w:val="-2"/>
          <w:szCs w:val="28"/>
          <w14:textOutline w14:w="5105" w14:cap="sq" w14:cmpd="sng" w14:algn="ctr">
            <w14:solidFill>
              <w14:srgbClr w14:val="000000"/>
            </w14:solidFill>
            <w14:prstDash w14:val="solid"/>
            <w14:bevel/>
          </w14:textOutline>
        </w:rPr>
      </w:pPr>
      <w:r>
        <w:rPr>
          <w:rFonts w:hint="eastAsia" w:cs="宋体"/>
          <w:sz w:val="30"/>
          <w:szCs w:val="30"/>
        </w:rPr>
        <w:t>5.</w:t>
      </w:r>
      <w:bookmarkEnd w:id="40"/>
      <w:r>
        <w:rPr>
          <w:rFonts w:ascii="宋体" w:hAnsi="宋体" w:eastAsia="宋体" w:cs="宋体"/>
          <w:spacing w:val="-2"/>
          <w:szCs w:val="28"/>
          <w14:textOutline w14:w="5105" w14:cap="sq" w14:cmpd="sng" w14:algn="ctr">
            <w14:solidFill>
              <w14:srgbClr w14:val="000000"/>
            </w14:solidFill>
            <w14:prstDash w14:val="solid"/>
            <w14:bevel/>
          </w14:textOutline>
        </w:rPr>
        <w:t>评审办法</w:t>
      </w:r>
    </w:p>
    <w:p>
      <w:pPr>
        <w:ind w:firstLine="516" w:firstLineChars="200"/>
        <w:rPr>
          <w:rFonts w:ascii="宋体" w:hAnsi="宋体" w:cs="宋体"/>
          <w:spacing w:val="9"/>
          <w:sz w:val="24"/>
        </w:rPr>
      </w:pPr>
    </w:p>
    <w:p>
      <w:pPr>
        <w:ind w:firstLine="516" w:firstLineChars="200"/>
        <w:rPr>
          <w:sz w:val="24"/>
        </w:rPr>
      </w:pPr>
      <w:r>
        <w:rPr>
          <w:rFonts w:ascii="宋体" w:hAnsi="宋体" w:cs="宋体"/>
          <w:spacing w:val="9"/>
          <w:sz w:val="24"/>
        </w:rPr>
        <w:t>具体内容详见本文件第三</w:t>
      </w:r>
      <w:r>
        <w:rPr>
          <w:rFonts w:ascii="宋体" w:hAnsi="宋体" w:cs="宋体"/>
          <w:spacing w:val="6"/>
          <w:sz w:val="24"/>
        </w:rPr>
        <w:t>章</w:t>
      </w:r>
    </w:p>
    <w:p>
      <w:pPr>
        <w:pStyle w:val="6"/>
        <w:spacing w:line="800" w:lineRule="exact"/>
        <w:rPr>
          <w:rFonts w:cs="宋体"/>
          <w:sz w:val="30"/>
          <w:szCs w:val="30"/>
        </w:rPr>
      </w:pPr>
      <w:bookmarkStart w:id="41" w:name="_Toc494053894"/>
      <w:r>
        <w:rPr>
          <w:rFonts w:hint="eastAsia" w:cs="宋体"/>
          <w:sz w:val="30"/>
          <w:szCs w:val="30"/>
        </w:rPr>
        <w:t>6、</w:t>
      </w:r>
      <w:bookmarkEnd w:id="41"/>
      <w:r>
        <w:rPr>
          <w:rFonts w:hint="eastAsia" w:cs="宋体"/>
          <w:sz w:val="30"/>
          <w:szCs w:val="30"/>
        </w:rPr>
        <w:t>磋商</w:t>
      </w:r>
    </w:p>
    <w:p>
      <w:pPr>
        <w:spacing w:line="600" w:lineRule="exact"/>
        <w:rPr>
          <w:rFonts w:ascii="宋体" w:hAnsi="宋体" w:cs="宋体"/>
          <w:b/>
          <w:sz w:val="28"/>
          <w:szCs w:val="28"/>
        </w:rPr>
      </w:pPr>
      <w:r>
        <w:rPr>
          <w:rFonts w:hint="eastAsia" w:ascii="宋体" w:hAnsi="宋体" w:cs="宋体"/>
          <w:b/>
          <w:sz w:val="28"/>
          <w:szCs w:val="28"/>
        </w:rPr>
        <w:t>6.1 磋商小组</w:t>
      </w:r>
    </w:p>
    <w:p>
      <w:pPr>
        <w:spacing w:line="500" w:lineRule="exact"/>
        <w:ind w:firstLine="480" w:firstLineChars="200"/>
        <w:rPr>
          <w:rFonts w:ascii="宋体" w:hAnsi="宋体" w:cs="宋体"/>
          <w:sz w:val="24"/>
        </w:rPr>
      </w:pPr>
      <w:r>
        <w:rPr>
          <w:rFonts w:hint="eastAsia" w:ascii="宋体" w:hAnsi="宋体" w:cs="宋体"/>
          <w:sz w:val="24"/>
        </w:rPr>
        <w:t>6.1.1竞争性磋商小组人员3人。其中采购人代表1名，其余2名成员从山东省政府采购信息公开平台专家库中随机抽取。该磋商小组独立工作，负责评审所有响应文件并推荐成交候选供应商。</w:t>
      </w:r>
    </w:p>
    <w:p>
      <w:pPr>
        <w:spacing w:line="500" w:lineRule="exact"/>
        <w:ind w:firstLine="410" w:firstLineChars="171"/>
        <w:rPr>
          <w:rFonts w:ascii="宋体" w:hAnsi="宋体" w:cs="宋体"/>
          <w:sz w:val="24"/>
        </w:rPr>
      </w:pPr>
      <w:r>
        <w:rPr>
          <w:rFonts w:hint="eastAsia" w:ascii="宋体" w:hAnsi="宋体" w:cs="宋体"/>
          <w:sz w:val="24"/>
        </w:rPr>
        <w:t>6.1.2 磋商小组成员有下列情形之一的，应当回避：</w:t>
      </w:r>
    </w:p>
    <w:p>
      <w:pPr>
        <w:spacing w:line="500" w:lineRule="exact"/>
        <w:ind w:firstLine="410" w:firstLineChars="171"/>
        <w:rPr>
          <w:rFonts w:ascii="宋体" w:hAnsi="宋体" w:cs="宋体"/>
          <w:sz w:val="24"/>
        </w:rPr>
      </w:pPr>
      <w:r>
        <w:rPr>
          <w:rFonts w:hint="eastAsia" w:ascii="宋体" w:hAnsi="宋体" w:cs="宋体"/>
          <w:sz w:val="24"/>
        </w:rPr>
        <w:t>（1）采购人或供应商的主要负责人的近亲属；</w:t>
      </w:r>
    </w:p>
    <w:p>
      <w:pPr>
        <w:spacing w:line="500" w:lineRule="exact"/>
        <w:ind w:firstLine="410" w:firstLineChars="171"/>
        <w:rPr>
          <w:rFonts w:ascii="宋体" w:hAnsi="宋体" w:cs="宋体"/>
          <w:sz w:val="24"/>
        </w:rPr>
      </w:pPr>
      <w:r>
        <w:rPr>
          <w:rFonts w:hint="eastAsia" w:ascii="宋体" w:hAnsi="宋体" w:cs="宋体"/>
          <w:sz w:val="24"/>
        </w:rPr>
        <w:t>（2）与供应商有经济利益关系，可能影响公正招标的；</w:t>
      </w:r>
    </w:p>
    <w:p>
      <w:pPr>
        <w:spacing w:line="500" w:lineRule="exact"/>
        <w:ind w:firstLine="410" w:firstLineChars="171"/>
        <w:rPr>
          <w:rFonts w:ascii="宋体" w:hAnsi="宋体" w:cs="宋体"/>
          <w:sz w:val="24"/>
        </w:rPr>
      </w:pPr>
      <w:r>
        <w:rPr>
          <w:rFonts w:hint="eastAsia" w:ascii="宋体" w:hAnsi="宋体" w:cs="宋体"/>
          <w:sz w:val="24"/>
        </w:rPr>
        <w:t>（3）曾因在采购以及其他与采购有关活动中从事违法行为而受过行政处罚或刑事处罚的。</w:t>
      </w:r>
    </w:p>
    <w:p>
      <w:pPr>
        <w:spacing w:line="600" w:lineRule="exact"/>
        <w:rPr>
          <w:rFonts w:ascii="宋体" w:hAnsi="宋体" w:cs="宋体"/>
          <w:b/>
          <w:sz w:val="28"/>
          <w:szCs w:val="28"/>
        </w:rPr>
      </w:pPr>
      <w:r>
        <w:rPr>
          <w:rFonts w:hint="eastAsia" w:ascii="宋体" w:hAnsi="宋体" w:cs="宋体"/>
          <w:b/>
          <w:sz w:val="28"/>
          <w:szCs w:val="28"/>
        </w:rPr>
        <w:t>6.2 评审原则</w:t>
      </w:r>
    </w:p>
    <w:p>
      <w:pPr>
        <w:spacing w:line="500" w:lineRule="exact"/>
        <w:ind w:firstLine="410" w:firstLineChars="171"/>
        <w:rPr>
          <w:rFonts w:ascii="宋体" w:hAnsi="宋体" w:cs="宋体"/>
          <w:sz w:val="24"/>
        </w:rPr>
      </w:pPr>
      <w:r>
        <w:rPr>
          <w:rFonts w:hint="eastAsia" w:ascii="宋体" w:hAnsi="宋体" w:cs="宋体"/>
          <w:sz w:val="24"/>
        </w:rPr>
        <w:t>招标活动遵循公平、公正、科学和择优的原则。磋商小组按照这一原则的要求，平等地对待各供应商。同时，在评审过程中恪守以下原则：</w:t>
      </w:r>
    </w:p>
    <w:p>
      <w:pPr>
        <w:spacing w:line="500" w:lineRule="exact"/>
        <w:ind w:firstLine="410" w:firstLineChars="171"/>
        <w:rPr>
          <w:rFonts w:ascii="宋体" w:hAnsi="宋体" w:cs="宋体"/>
          <w:sz w:val="24"/>
        </w:rPr>
      </w:pPr>
      <w:r>
        <w:rPr>
          <w:rFonts w:hint="eastAsia" w:ascii="宋体" w:hAnsi="宋体" w:cs="宋体"/>
          <w:sz w:val="24"/>
        </w:rPr>
        <w:t>（1）客观性原则：磋商小组将严格按照磋商文件要求的内容，对参加评审的响应文件进行认真评审；磋商小组对响应文件的评审仅依靠响应文件本身，而不依靠其他的任何因素。</w:t>
      </w:r>
    </w:p>
    <w:p>
      <w:pPr>
        <w:spacing w:line="500" w:lineRule="exact"/>
        <w:ind w:firstLine="410" w:firstLineChars="171"/>
        <w:rPr>
          <w:rFonts w:ascii="宋体" w:hAnsi="宋体" w:cs="宋体"/>
          <w:sz w:val="24"/>
        </w:rPr>
      </w:pPr>
      <w:r>
        <w:rPr>
          <w:rFonts w:hint="eastAsia" w:ascii="宋体" w:hAnsi="宋体" w:cs="宋体"/>
          <w:sz w:val="24"/>
        </w:rPr>
        <w:t>（2）统一性原则：磋商小组将按照统一的招标原则和评审方法，对各参加评审的响应文件进行综合评审。</w:t>
      </w:r>
    </w:p>
    <w:p>
      <w:pPr>
        <w:spacing w:line="500" w:lineRule="exact"/>
        <w:ind w:firstLine="410" w:firstLineChars="171"/>
        <w:rPr>
          <w:rFonts w:ascii="宋体" w:hAnsi="宋体" w:cs="宋体"/>
          <w:sz w:val="24"/>
        </w:rPr>
      </w:pPr>
      <w:r>
        <w:rPr>
          <w:rFonts w:hint="eastAsia" w:ascii="宋体" w:hAnsi="宋体" w:cs="宋体"/>
          <w:sz w:val="24"/>
        </w:rPr>
        <w:t>（3）独立性原则：评审工作在磋商小组内部独立进行，不受外界任何因素的干扰和影响。磋商小组成员对出具的专家意见承担个人责任。</w:t>
      </w:r>
    </w:p>
    <w:p>
      <w:pPr>
        <w:spacing w:line="500" w:lineRule="exact"/>
        <w:ind w:firstLine="410" w:firstLineChars="171"/>
        <w:rPr>
          <w:rFonts w:ascii="宋体" w:hAnsi="宋体" w:cs="宋体"/>
          <w:sz w:val="24"/>
        </w:rPr>
      </w:pPr>
      <w:r>
        <w:rPr>
          <w:rFonts w:hint="eastAsia" w:ascii="宋体" w:hAnsi="宋体" w:cs="宋体"/>
          <w:sz w:val="24"/>
        </w:rPr>
        <w:t>（4）保密性原则：磋商小组成员及有关工作人员将保守参与评审供应商的商业秘密。</w:t>
      </w:r>
    </w:p>
    <w:p>
      <w:pPr>
        <w:spacing w:line="500" w:lineRule="exact"/>
        <w:ind w:firstLine="410" w:firstLineChars="171"/>
        <w:rPr>
          <w:rFonts w:ascii="宋体" w:hAnsi="宋体" w:cs="宋体"/>
          <w:sz w:val="24"/>
        </w:rPr>
      </w:pPr>
      <w:r>
        <w:rPr>
          <w:rFonts w:hint="eastAsia" w:ascii="宋体" w:hAnsi="宋体" w:cs="宋体"/>
          <w:sz w:val="24"/>
        </w:rPr>
        <w:t>（5）综合性原则：磋商小组将综合分析、评审参加供应商的各项指标，而不以单项指标的优劣评定成交供应商。</w:t>
      </w:r>
    </w:p>
    <w:p>
      <w:pPr>
        <w:spacing w:line="500" w:lineRule="exact"/>
        <w:ind w:firstLine="410" w:firstLineChars="171"/>
        <w:rPr>
          <w:rFonts w:ascii="宋体" w:hAnsi="宋体" w:cs="宋体"/>
          <w:sz w:val="24"/>
        </w:rPr>
      </w:pPr>
      <w:r>
        <w:rPr>
          <w:rFonts w:hint="eastAsia" w:ascii="宋体" w:hAnsi="宋体" w:cs="宋体"/>
          <w:sz w:val="24"/>
        </w:rPr>
        <w:t>（6）集体决定的原则：由磋商小组集体讨论确定成交供应商。</w:t>
      </w:r>
    </w:p>
    <w:p>
      <w:pPr>
        <w:spacing w:line="600" w:lineRule="exact"/>
        <w:rPr>
          <w:rFonts w:ascii="宋体" w:hAnsi="宋体" w:cs="宋体"/>
          <w:b/>
          <w:sz w:val="28"/>
          <w:szCs w:val="28"/>
        </w:rPr>
      </w:pPr>
      <w:bookmarkStart w:id="42" w:name="_Toc285809501"/>
      <w:r>
        <w:rPr>
          <w:rFonts w:hint="eastAsia" w:ascii="宋体" w:hAnsi="宋体" w:cs="宋体"/>
          <w:b/>
          <w:sz w:val="28"/>
          <w:szCs w:val="28"/>
        </w:rPr>
        <w:t>6.3 评标纪律</w:t>
      </w:r>
      <w:bookmarkEnd w:id="42"/>
      <w:r>
        <w:rPr>
          <w:rFonts w:hint="eastAsia" w:ascii="宋体" w:hAnsi="宋体" w:cs="宋体"/>
          <w:b/>
          <w:sz w:val="28"/>
          <w:szCs w:val="28"/>
        </w:rPr>
        <w:tab/>
      </w:r>
    </w:p>
    <w:p>
      <w:pPr>
        <w:spacing w:line="500" w:lineRule="exact"/>
        <w:ind w:firstLine="480"/>
        <w:rPr>
          <w:rFonts w:ascii="宋体" w:hAnsi="宋体" w:cs="宋体"/>
          <w:sz w:val="24"/>
        </w:rPr>
      </w:pPr>
      <w:r>
        <w:rPr>
          <w:rFonts w:hint="eastAsia" w:ascii="宋体" w:hAnsi="宋体" w:cs="宋体"/>
          <w:sz w:val="24"/>
        </w:rPr>
        <w:t>6.3.1 为了规范评标活动，保证评标的公平、公正，维护招标投标活动当事人的合法权益，依据《中华人民共和国政府采购法》、《政府采购竞争性磋商采购方式管理暂行办法》及国家有关法律、法规制定本规定。</w:t>
      </w:r>
    </w:p>
    <w:p>
      <w:pPr>
        <w:spacing w:line="500" w:lineRule="exact"/>
        <w:ind w:firstLine="480"/>
        <w:rPr>
          <w:rFonts w:ascii="宋体" w:hAnsi="宋体" w:cs="宋体"/>
          <w:sz w:val="24"/>
        </w:rPr>
      </w:pPr>
      <w:r>
        <w:rPr>
          <w:rFonts w:hint="eastAsia" w:ascii="宋体" w:hAnsi="宋体" w:cs="宋体"/>
          <w:sz w:val="24"/>
        </w:rPr>
        <w:t>6.3.2 评标活动遵循公平、公正、科学、择优的原则依法进行，任何单位和个人不得非法干预或影响评标过程和结果。</w:t>
      </w:r>
    </w:p>
    <w:p>
      <w:pPr>
        <w:spacing w:line="500" w:lineRule="exact"/>
        <w:ind w:firstLine="480"/>
        <w:rPr>
          <w:rFonts w:ascii="宋体" w:hAnsi="宋体" w:cs="宋体"/>
          <w:sz w:val="24"/>
        </w:rPr>
      </w:pPr>
      <w:r>
        <w:rPr>
          <w:rFonts w:hint="eastAsia" w:ascii="宋体" w:hAnsi="宋体" w:cs="宋体"/>
          <w:sz w:val="24"/>
        </w:rPr>
        <w:t>6.3.3 评标活动在严格保密的情况下进行，只有依法组建的磋商小组的成员、监督人员及经批准的采购人或者其委托的采购代理机构的有关工作人员参加。其他任何人员不得随意进入评标地点。</w:t>
      </w:r>
    </w:p>
    <w:p>
      <w:pPr>
        <w:spacing w:line="500" w:lineRule="exact"/>
        <w:ind w:firstLine="480"/>
        <w:rPr>
          <w:rFonts w:ascii="宋体" w:hAnsi="宋体" w:cs="宋体"/>
          <w:sz w:val="24"/>
        </w:rPr>
      </w:pPr>
      <w:r>
        <w:rPr>
          <w:rFonts w:hint="eastAsia" w:ascii="宋体" w:hAnsi="宋体" w:cs="宋体"/>
          <w:sz w:val="24"/>
        </w:rPr>
        <w:t xml:space="preserve">6.3.4 在评标过程中，只有磋商小组的成员享有评审发言权，其他人员不得随意发表评审意见。    </w:t>
      </w:r>
    </w:p>
    <w:p>
      <w:pPr>
        <w:spacing w:line="500" w:lineRule="exact"/>
        <w:ind w:firstLine="480"/>
        <w:rPr>
          <w:rFonts w:ascii="宋体" w:hAnsi="宋体" w:cs="宋体"/>
          <w:sz w:val="24"/>
        </w:rPr>
      </w:pPr>
      <w:r>
        <w:rPr>
          <w:rFonts w:hint="eastAsia" w:ascii="宋体" w:hAnsi="宋体" w:cs="宋体"/>
          <w:sz w:val="24"/>
        </w:rPr>
        <w:t>6.3.5 磋商小组成员应当客观、公正地履行职责，遵守职业道德，对所提出的评审意见承担个人责任。</w:t>
      </w:r>
    </w:p>
    <w:p>
      <w:pPr>
        <w:spacing w:line="500" w:lineRule="exact"/>
        <w:ind w:firstLine="480"/>
        <w:rPr>
          <w:rFonts w:ascii="宋体" w:hAnsi="宋体" w:cs="宋体"/>
          <w:sz w:val="24"/>
        </w:rPr>
      </w:pPr>
      <w:r>
        <w:rPr>
          <w:rFonts w:hint="eastAsia" w:ascii="宋体" w:hAnsi="宋体" w:cs="宋体"/>
          <w:sz w:val="24"/>
        </w:rPr>
        <w:t>6.3.6 磋商小组应当根据磋商文件规定的评标标准和方法，对响应文件进行系统地评审和比较。磋商文件中没有规定的标准和方法不得作为评标的依据。</w:t>
      </w:r>
    </w:p>
    <w:p>
      <w:pPr>
        <w:spacing w:line="500" w:lineRule="exact"/>
        <w:ind w:firstLine="480"/>
        <w:rPr>
          <w:rFonts w:ascii="宋体" w:hAnsi="宋体" w:cs="宋体"/>
          <w:sz w:val="24"/>
        </w:rPr>
      </w:pPr>
      <w:r>
        <w:rPr>
          <w:rFonts w:hint="eastAsia" w:ascii="宋体" w:hAnsi="宋体" w:cs="宋体"/>
          <w:sz w:val="24"/>
        </w:rPr>
        <w:t>6.3.7 磋商小组成员不得与任何供应商或者与招标结果有利害关系的人进行私下接触，不得收受供应商、中介人、其他利害关系人的财物或者其他好处。</w:t>
      </w:r>
    </w:p>
    <w:p>
      <w:pPr>
        <w:spacing w:line="500" w:lineRule="exact"/>
        <w:ind w:firstLine="480"/>
        <w:rPr>
          <w:rFonts w:ascii="宋体" w:hAnsi="宋体" w:cs="宋体"/>
          <w:sz w:val="24"/>
        </w:rPr>
      </w:pPr>
      <w:r>
        <w:rPr>
          <w:rFonts w:hint="eastAsia" w:ascii="宋体" w:hAnsi="宋体" w:cs="宋体"/>
          <w:sz w:val="24"/>
        </w:rPr>
        <w:t>6.3.8 评标期间，评标人员不得单独出入评标地点、与外界通讯、会客等。</w:t>
      </w:r>
    </w:p>
    <w:p>
      <w:pPr>
        <w:spacing w:line="500" w:lineRule="exact"/>
        <w:ind w:firstLine="480"/>
        <w:rPr>
          <w:rFonts w:ascii="宋体" w:hAnsi="宋体" w:cs="宋体"/>
          <w:sz w:val="24"/>
        </w:rPr>
      </w:pPr>
      <w:r>
        <w:rPr>
          <w:rFonts w:hint="eastAsia" w:ascii="宋体" w:hAnsi="宋体" w:cs="宋体"/>
          <w:sz w:val="24"/>
        </w:rPr>
        <w:t>6.3.9 磋商小组成员和与评标活动有关的工作人员不得透露对响应文件的评审和比较、成交候选人的推荐情况以及与评标有关的其他情况。</w:t>
      </w:r>
    </w:p>
    <w:p>
      <w:pPr>
        <w:spacing w:line="500" w:lineRule="exact"/>
        <w:ind w:firstLine="480"/>
        <w:rPr>
          <w:rFonts w:ascii="宋体" w:hAnsi="宋体" w:cs="宋体"/>
          <w:sz w:val="24"/>
        </w:rPr>
      </w:pPr>
      <w:r>
        <w:rPr>
          <w:rFonts w:hint="eastAsia" w:ascii="宋体" w:hAnsi="宋体" w:cs="宋体"/>
          <w:sz w:val="24"/>
        </w:rPr>
        <w:t>6.3.10 评标结束后，各评标人员应将全部资料整理上交采购人或者采购代理机构，严禁将评标过程中有关资料向供应商或者其他单位提供。</w:t>
      </w:r>
    </w:p>
    <w:p>
      <w:pPr>
        <w:spacing w:line="500" w:lineRule="exact"/>
        <w:ind w:firstLine="480"/>
        <w:rPr>
          <w:rFonts w:ascii="宋体" w:hAnsi="宋体" w:cs="宋体"/>
          <w:sz w:val="24"/>
        </w:rPr>
      </w:pPr>
      <w:r>
        <w:rPr>
          <w:rFonts w:hint="eastAsia" w:ascii="宋体" w:hAnsi="宋体" w:cs="宋体"/>
          <w:sz w:val="24"/>
        </w:rPr>
        <w:t>6.3.11 磋商小组成员在评标过程中擅离职守，影响评标程序正常进行或者在评标过程中不能客观公正地履行职责的，给予警告；情节严重的，取消担任磋商小组成员的资格，不得再参加依法必须进行招标项目的评标，并处一万元以下的罚款；构成犯罪的，依法追究刑事责任。</w:t>
      </w:r>
    </w:p>
    <w:p>
      <w:pPr>
        <w:spacing w:line="600" w:lineRule="exact"/>
        <w:rPr>
          <w:rFonts w:ascii="宋体" w:hAnsi="宋体" w:cs="宋体"/>
          <w:b/>
          <w:sz w:val="28"/>
          <w:szCs w:val="28"/>
        </w:rPr>
      </w:pPr>
      <w:r>
        <w:rPr>
          <w:rFonts w:hint="eastAsia" w:ascii="宋体" w:hAnsi="宋体" w:cs="宋体"/>
          <w:b/>
          <w:sz w:val="28"/>
          <w:szCs w:val="28"/>
        </w:rPr>
        <w:t>6.4 评审</w:t>
      </w:r>
    </w:p>
    <w:p>
      <w:pPr>
        <w:spacing w:before="218" w:line="405" w:lineRule="auto"/>
        <w:ind w:firstLine="413"/>
        <w:rPr>
          <w:rFonts w:ascii="宋体" w:hAnsi="宋体" w:cs="宋体"/>
          <w:spacing w:val="7"/>
          <w:sz w:val="24"/>
        </w:rPr>
      </w:pPr>
      <w:r>
        <w:rPr>
          <w:rFonts w:ascii="宋体" w:hAnsi="宋体" w:cs="宋体"/>
          <w:spacing w:val="16"/>
          <w:sz w:val="24"/>
        </w:rPr>
        <w:t>6</w:t>
      </w:r>
      <w:r>
        <w:rPr>
          <w:rFonts w:ascii="宋体" w:hAnsi="宋体" w:cs="宋体"/>
          <w:spacing w:val="15"/>
          <w:sz w:val="24"/>
        </w:rPr>
        <w:t>.</w:t>
      </w:r>
      <w:r>
        <w:rPr>
          <w:rFonts w:ascii="宋体" w:hAnsi="宋体" w:cs="宋体"/>
          <w:spacing w:val="8"/>
          <w:sz w:val="24"/>
        </w:rPr>
        <w:t>4.1 磋商小组按照第三章“竞争性磋商办法”规定的方法、评审因素、标准和程</w:t>
      </w:r>
      <w:r>
        <w:rPr>
          <w:rFonts w:ascii="宋体" w:hAnsi="宋体" w:cs="宋体"/>
          <w:sz w:val="24"/>
        </w:rPr>
        <w:t xml:space="preserve"> </w:t>
      </w:r>
      <w:r>
        <w:rPr>
          <w:rFonts w:ascii="宋体" w:hAnsi="宋体" w:cs="宋体"/>
          <w:spacing w:val="3"/>
          <w:sz w:val="24"/>
        </w:rPr>
        <w:t>序对响应文件进行评审。第三章“竞争性磋商办法”没有规定的方法、评审因素和标</w:t>
      </w:r>
      <w:r>
        <w:rPr>
          <w:rFonts w:ascii="宋体" w:hAnsi="宋体" w:cs="宋体"/>
          <w:sz w:val="24"/>
        </w:rPr>
        <w:t>准，</w:t>
      </w:r>
      <w:r>
        <w:rPr>
          <w:rFonts w:ascii="宋体" w:hAnsi="宋体" w:cs="宋体"/>
          <w:spacing w:val="12"/>
          <w:sz w:val="24"/>
        </w:rPr>
        <w:t>不</w:t>
      </w:r>
      <w:r>
        <w:rPr>
          <w:rFonts w:ascii="宋体" w:hAnsi="宋体" w:cs="宋体"/>
          <w:spacing w:val="7"/>
          <w:sz w:val="24"/>
        </w:rPr>
        <w:t>作为评审依据。</w:t>
      </w:r>
    </w:p>
    <w:p>
      <w:pPr>
        <w:spacing w:before="218" w:line="405" w:lineRule="auto"/>
        <w:ind w:firstLine="413"/>
        <w:rPr>
          <w:rFonts w:ascii="宋体" w:hAnsi="宋体" w:cs="宋体"/>
          <w:sz w:val="24"/>
        </w:rPr>
      </w:pPr>
      <w:r>
        <w:rPr>
          <w:rFonts w:ascii="宋体" w:hAnsi="宋体" w:cs="宋体"/>
          <w:spacing w:val="16"/>
          <w:sz w:val="24"/>
        </w:rPr>
        <w:t>6</w:t>
      </w:r>
      <w:r>
        <w:rPr>
          <w:rFonts w:ascii="宋体" w:hAnsi="宋体" w:cs="宋体"/>
          <w:spacing w:val="14"/>
          <w:sz w:val="24"/>
        </w:rPr>
        <w:t>.</w:t>
      </w:r>
      <w:r>
        <w:rPr>
          <w:rFonts w:ascii="宋体" w:hAnsi="宋体" w:cs="宋体"/>
          <w:spacing w:val="8"/>
          <w:sz w:val="24"/>
        </w:rPr>
        <w:t>4.2 为了有助于响应文件的检查和评审，磋商小组可以要求供应商澄清其提交的</w:t>
      </w:r>
      <w:r>
        <w:rPr>
          <w:rFonts w:ascii="宋体" w:hAnsi="宋体" w:cs="宋体"/>
          <w:sz w:val="24"/>
        </w:rPr>
        <w:t xml:space="preserve"> </w:t>
      </w:r>
      <w:r>
        <w:rPr>
          <w:rFonts w:ascii="宋体" w:hAnsi="宋体" w:cs="宋体"/>
          <w:spacing w:val="14"/>
          <w:sz w:val="24"/>
        </w:rPr>
        <w:t>响</w:t>
      </w:r>
      <w:r>
        <w:rPr>
          <w:rFonts w:ascii="宋体" w:hAnsi="宋体" w:cs="宋体"/>
          <w:spacing w:val="13"/>
          <w:sz w:val="24"/>
        </w:rPr>
        <w:t>应</w:t>
      </w:r>
      <w:r>
        <w:rPr>
          <w:rFonts w:ascii="宋体" w:hAnsi="宋体" w:cs="宋体"/>
          <w:spacing w:val="7"/>
          <w:sz w:val="24"/>
        </w:rPr>
        <w:t>文件。采购人的澄清要求和供应商的答复均应以书面形式为准，供应商不得修改响</w:t>
      </w:r>
      <w:r>
        <w:rPr>
          <w:rFonts w:ascii="宋体" w:hAnsi="宋体" w:cs="宋体"/>
          <w:sz w:val="24"/>
        </w:rPr>
        <w:t xml:space="preserve"> </w:t>
      </w:r>
      <w:r>
        <w:rPr>
          <w:rFonts w:ascii="宋体" w:hAnsi="宋体" w:cs="宋体"/>
          <w:spacing w:val="14"/>
          <w:sz w:val="24"/>
        </w:rPr>
        <w:t>应</w:t>
      </w:r>
      <w:r>
        <w:rPr>
          <w:rFonts w:ascii="宋体" w:hAnsi="宋体" w:cs="宋体"/>
          <w:spacing w:val="13"/>
          <w:sz w:val="24"/>
        </w:rPr>
        <w:t>文</w:t>
      </w:r>
      <w:r>
        <w:rPr>
          <w:rFonts w:ascii="宋体" w:hAnsi="宋体" w:cs="宋体"/>
          <w:spacing w:val="7"/>
          <w:sz w:val="24"/>
        </w:rPr>
        <w:t>件报价或响应文件中其它实质性内容，经澄清的问题需由供应商签字认可后作为响</w:t>
      </w:r>
      <w:r>
        <w:rPr>
          <w:rFonts w:ascii="宋体" w:hAnsi="宋体" w:cs="宋体"/>
          <w:sz w:val="24"/>
        </w:rPr>
        <w:t xml:space="preserve"> </w:t>
      </w:r>
      <w:r>
        <w:rPr>
          <w:rFonts w:ascii="宋体" w:hAnsi="宋体" w:cs="宋体"/>
          <w:spacing w:val="8"/>
          <w:sz w:val="24"/>
        </w:rPr>
        <w:t>应文件的组成部分</w:t>
      </w:r>
      <w:r>
        <w:rPr>
          <w:rFonts w:ascii="宋体" w:hAnsi="宋体" w:cs="宋体"/>
          <w:spacing w:val="6"/>
          <w:sz w:val="24"/>
        </w:rPr>
        <w:t>。</w:t>
      </w:r>
    </w:p>
    <w:p>
      <w:pPr>
        <w:pStyle w:val="6"/>
        <w:spacing w:line="800" w:lineRule="exact"/>
        <w:rPr>
          <w:rFonts w:cs="宋体"/>
          <w:sz w:val="30"/>
          <w:szCs w:val="30"/>
        </w:rPr>
      </w:pPr>
      <w:bookmarkStart w:id="43" w:name="_Toc494053895"/>
      <w:r>
        <w:rPr>
          <w:rFonts w:hint="eastAsia" w:cs="宋体"/>
          <w:sz w:val="30"/>
          <w:szCs w:val="30"/>
        </w:rPr>
        <w:t>7、 合同授予</w:t>
      </w:r>
      <w:bookmarkEnd w:id="43"/>
    </w:p>
    <w:p>
      <w:pPr>
        <w:spacing w:line="600" w:lineRule="exact"/>
        <w:rPr>
          <w:rFonts w:ascii="宋体" w:hAnsi="宋体" w:cs="宋体"/>
          <w:b/>
          <w:sz w:val="28"/>
          <w:szCs w:val="28"/>
        </w:rPr>
      </w:pPr>
      <w:bookmarkStart w:id="44" w:name="_Toc144974535"/>
      <w:bookmarkStart w:id="45" w:name="_Toc152045567"/>
      <w:bookmarkStart w:id="46" w:name="_Toc152042343"/>
      <w:bookmarkStart w:id="47" w:name="_Toc179632585"/>
      <w:bookmarkStart w:id="48" w:name="_Toc285809504"/>
      <w:r>
        <w:rPr>
          <w:rFonts w:hint="eastAsia" w:ascii="宋体" w:hAnsi="宋体" w:cs="宋体"/>
          <w:b/>
          <w:sz w:val="28"/>
          <w:szCs w:val="28"/>
        </w:rPr>
        <w:t>7.1 成交方式</w:t>
      </w:r>
      <w:bookmarkEnd w:id="44"/>
      <w:bookmarkEnd w:id="45"/>
      <w:bookmarkEnd w:id="46"/>
      <w:bookmarkEnd w:id="47"/>
      <w:bookmarkEnd w:id="48"/>
    </w:p>
    <w:p>
      <w:pPr>
        <w:spacing w:line="360" w:lineRule="auto"/>
        <w:ind w:firstLine="480" w:firstLineChars="200"/>
      </w:pPr>
      <w:r>
        <w:rPr>
          <w:rFonts w:hint="eastAsia" w:ascii="宋体" w:hAnsi="宋体" w:cs="宋体"/>
          <w:sz w:val="24"/>
        </w:rPr>
        <w:t>磋商小组应当根据综合评分情况，按照评审得分由高到低顺序推荐3名成交候选人。磋商小组根据磋商文件的评审方法及原则，对响应文件进行评审和比较，向采购人提出书面评审报告，并按综合得分高低排列顺序（即评审合格且得分最高的为第一成交候选人，依次类推），推荐3名合格的成交候选人。采购人根据提出的书面评审报告和推荐的成交候选人，确定排名第一的成交候选人为成交单位。排名第一的成交候选人放弃中标、因不可抗力提出不能履行合同或者因违反相关规定被依法取消其中标资格的，采购人可以确定排名第二的成交候选人为成交单位。排名第二的成交候选人因前款规定的同样原因不能签订合同的，采购人可以确定排名第三的成交候选人为成交单位。采购人有权根据项目情况重新组织招标。</w:t>
      </w:r>
    </w:p>
    <w:p>
      <w:pPr>
        <w:spacing w:line="600" w:lineRule="exact"/>
        <w:rPr>
          <w:rFonts w:ascii="宋体" w:hAnsi="宋体" w:cs="宋体"/>
          <w:b/>
          <w:sz w:val="28"/>
          <w:szCs w:val="28"/>
        </w:rPr>
      </w:pPr>
      <w:r>
        <w:rPr>
          <w:rFonts w:hint="eastAsia" w:ascii="宋体" w:hAnsi="宋体" w:cs="宋体"/>
          <w:b/>
          <w:sz w:val="28"/>
          <w:szCs w:val="28"/>
        </w:rPr>
        <w:t>7.2 成交通知</w:t>
      </w:r>
    </w:p>
    <w:p>
      <w:pPr>
        <w:spacing w:line="360" w:lineRule="auto"/>
        <w:ind w:firstLine="480" w:firstLineChars="200"/>
        <w:rPr>
          <w:rFonts w:ascii="宋体" w:hAnsi="宋体" w:cs="宋体"/>
          <w:sz w:val="24"/>
        </w:rPr>
      </w:pPr>
      <w:r>
        <w:rPr>
          <w:rFonts w:hint="eastAsia" w:ascii="宋体" w:hAnsi="宋体" w:cs="宋体"/>
          <w:sz w:val="24"/>
        </w:rPr>
        <w:t>在本章第3.4 款规定的响应文件有效期内，采购人以书面形式向成交供应商发出成交通知书。</w:t>
      </w:r>
    </w:p>
    <w:p>
      <w:pPr>
        <w:spacing w:line="600" w:lineRule="exact"/>
        <w:rPr>
          <w:rFonts w:ascii="宋体" w:hAnsi="宋体" w:cs="宋体"/>
          <w:b/>
          <w:sz w:val="28"/>
          <w:szCs w:val="28"/>
        </w:rPr>
      </w:pPr>
      <w:r>
        <w:rPr>
          <w:rFonts w:hint="eastAsia" w:ascii="宋体" w:hAnsi="宋体" w:cs="宋体"/>
          <w:b/>
          <w:sz w:val="28"/>
          <w:szCs w:val="28"/>
        </w:rPr>
        <w:t>7.3 签订合同</w:t>
      </w:r>
    </w:p>
    <w:p>
      <w:pPr>
        <w:spacing w:line="360" w:lineRule="auto"/>
        <w:ind w:firstLine="410" w:firstLineChars="171"/>
        <w:rPr>
          <w:rFonts w:ascii="宋体" w:hAnsi="宋体" w:cs="宋体"/>
          <w:sz w:val="24"/>
        </w:rPr>
      </w:pPr>
      <w:bookmarkStart w:id="49" w:name="_Toc494053896"/>
      <w:bookmarkStart w:id="50" w:name="_Toc179632589"/>
      <w:bookmarkStart w:id="51" w:name="_Toc285809508"/>
      <w:bookmarkStart w:id="52" w:name="_Toc144974539"/>
      <w:bookmarkStart w:id="53" w:name="_Toc152045571"/>
      <w:bookmarkStart w:id="54" w:name="_Toc480827636"/>
      <w:bookmarkStart w:id="55" w:name="_Toc152042347"/>
      <w:r>
        <w:rPr>
          <w:rFonts w:hint="eastAsia" w:ascii="宋体" w:hAnsi="宋体" w:cs="宋体"/>
          <w:sz w:val="24"/>
        </w:rPr>
        <w:t>7.3.1 采购人和成交供应商应当自成交通知书发出之日起10个工作日内，根据竞争性磋商文件和成交供应商的响应文件订立书面合同。成交供应商无正当理由拒签合同的，采购人取消其成交资格。</w:t>
      </w:r>
    </w:p>
    <w:p>
      <w:pPr>
        <w:spacing w:line="360" w:lineRule="auto"/>
        <w:ind w:firstLine="410" w:firstLineChars="171"/>
        <w:rPr>
          <w:rFonts w:ascii="宋体" w:hAnsi="宋体" w:cs="宋体"/>
          <w:sz w:val="24"/>
        </w:rPr>
      </w:pPr>
      <w:r>
        <w:rPr>
          <w:rFonts w:hint="eastAsia" w:ascii="宋体" w:hAnsi="宋体" w:cs="宋体"/>
          <w:sz w:val="24"/>
        </w:rPr>
        <w:t>7.3.2 发出成交通知书后，采购人无正当理由拒签合同的，给成交供应商造成损失的，还应当赔偿损失。</w:t>
      </w:r>
    </w:p>
    <w:bookmarkEnd w:id="49"/>
    <w:bookmarkEnd w:id="50"/>
    <w:bookmarkEnd w:id="51"/>
    <w:bookmarkEnd w:id="52"/>
    <w:bookmarkEnd w:id="53"/>
    <w:bookmarkEnd w:id="54"/>
    <w:bookmarkEnd w:id="55"/>
    <w:p>
      <w:pPr>
        <w:pStyle w:val="6"/>
        <w:spacing w:line="800" w:lineRule="exact"/>
        <w:rPr>
          <w:rFonts w:cs="宋体"/>
          <w:sz w:val="30"/>
          <w:szCs w:val="30"/>
        </w:rPr>
      </w:pPr>
      <w:bookmarkStart w:id="56" w:name="_Toc494053897"/>
      <w:r>
        <w:rPr>
          <w:rFonts w:hint="eastAsia" w:cs="宋体"/>
          <w:sz w:val="30"/>
          <w:szCs w:val="30"/>
        </w:rPr>
        <w:t>8、纪律和监督</w:t>
      </w:r>
      <w:bookmarkEnd w:id="56"/>
    </w:p>
    <w:p>
      <w:pPr>
        <w:spacing w:line="600" w:lineRule="exact"/>
        <w:rPr>
          <w:rFonts w:ascii="宋体" w:hAnsi="宋体" w:cs="宋体"/>
          <w:b/>
          <w:sz w:val="28"/>
          <w:szCs w:val="28"/>
        </w:rPr>
      </w:pPr>
      <w:r>
        <w:rPr>
          <w:rFonts w:hint="eastAsia" w:ascii="宋体" w:hAnsi="宋体" w:cs="宋体"/>
          <w:b/>
          <w:sz w:val="28"/>
          <w:szCs w:val="28"/>
        </w:rPr>
        <w:t>8.1 对采购人的纪律要求</w:t>
      </w:r>
    </w:p>
    <w:p>
      <w:pPr>
        <w:spacing w:line="500" w:lineRule="exact"/>
        <w:ind w:firstLine="480" w:firstLineChars="200"/>
        <w:rPr>
          <w:rFonts w:ascii="宋体" w:hAnsi="宋体" w:cs="宋体"/>
          <w:sz w:val="24"/>
        </w:rPr>
      </w:pPr>
      <w:r>
        <w:rPr>
          <w:rFonts w:hint="eastAsia" w:ascii="宋体" w:hAnsi="宋体" w:cs="宋体"/>
          <w:sz w:val="24"/>
        </w:rPr>
        <w:t>采购人不得泄漏招标活动中应当保密的情况和资料，不得与供应商串通损害国家利益、社会公共利益或者他人合法权益。</w:t>
      </w:r>
    </w:p>
    <w:p>
      <w:pPr>
        <w:spacing w:line="600" w:lineRule="exact"/>
        <w:rPr>
          <w:rFonts w:ascii="宋体" w:hAnsi="宋体" w:cs="宋体"/>
          <w:b/>
          <w:sz w:val="28"/>
          <w:szCs w:val="28"/>
        </w:rPr>
      </w:pPr>
      <w:r>
        <w:rPr>
          <w:rFonts w:hint="eastAsia" w:ascii="宋体" w:hAnsi="宋体" w:cs="宋体"/>
          <w:b/>
          <w:sz w:val="28"/>
          <w:szCs w:val="28"/>
        </w:rPr>
        <w:t>8.2 对供应商的纪律要求</w:t>
      </w:r>
    </w:p>
    <w:p>
      <w:pPr>
        <w:spacing w:line="500" w:lineRule="exact"/>
        <w:ind w:firstLine="480" w:firstLineChars="200"/>
        <w:rPr>
          <w:rFonts w:ascii="宋体" w:hAnsi="宋体" w:cs="宋体"/>
          <w:sz w:val="24"/>
        </w:rPr>
      </w:pPr>
      <w:bookmarkStart w:id="57" w:name="_Toc285809514"/>
      <w:bookmarkStart w:id="58" w:name="_Toc179632595"/>
      <w:bookmarkStart w:id="59" w:name="_Toc144974545"/>
      <w:bookmarkStart w:id="60" w:name="_Toc152042353"/>
      <w:bookmarkStart w:id="61" w:name="_Toc152045577"/>
      <w:r>
        <w:rPr>
          <w:rFonts w:hint="eastAsia" w:ascii="宋体" w:hAnsi="宋体" w:cs="宋体"/>
          <w:sz w:val="24"/>
        </w:rPr>
        <w:t>供应商不得相互串通或者与采购人串通，不得向采购人或者磋商小组成员行贿谋取成交资格，不得以他人名义或者以其他方式弄虚作假骗取成交资格；供应商不得以任何方式干扰、影响磋商工作。</w:t>
      </w:r>
    </w:p>
    <w:p>
      <w:pPr>
        <w:spacing w:line="600" w:lineRule="exact"/>
        <w:rPr>
          <w:rFonts w:ascii="宋体" w:hAnsi="宋体" w:cs="宋体"/>
          <w:b/>
          <w:sz w:val="28"/>
          <w:szCs w:val="28"/>
        </w:rPr>
      </w:pPr>
      <w:r>
        <w:rPr>
          <w:rFonts w:hint="eastAsia" w:ascii="宋体" w:hAnsi="宋体" w:cs="宋体"/>
          <w:b/>
          <w:sz w:val="28"/>
          <w:szCs w:val="28"/>
        </w:rPr>
        <w:t>8.3 对磋商小组成员的纪律要求</w:t>
      </w:r>
      <w:bookmarkEnd w:id="57"/>
      <w:bookmarkEnd w:id="58"/>
      <w:bookmarkEnd w:id="59"/>
      <w:bookmarkEnd w:id="60"/>
      <w:bookmarkEnd w:id="61"/>
    </w:p>
    <w:p>
      <w:pPr>
        <w:spacing w:line="480" w:lineRule="exact"/>
        <w:ind w:firstLine="480" w:firstLineChars="200"/>
        <w:rPr>
          <w:rFonts w:ascii="宋体" w:hAnsi="宋体" w:cs="宋体"/>
          <w:sz w:val="24"/>
        </w:rPr>
      </w:pPr>
      <w:r>
        <w:rPr>
          <w:rFonts w:hint="eastAsia" w:ascii="宋体" w:hAnsi="宋体" w:cs="宋体"/>
          <w:sz w:val="24"/>
        </w:rPr>
        <w:t>磋商小组成员不得收受他人的财物或者其他好处，不得向他人透漏对响应文件的评审和比较、成交供应商的确定情况以及磋商有关的其他情况。在磋商活动中，磋商小组成员不得擅离职守，影响磋商程序正常进行，不得使用第三章“竞争性磋商办法”没有规定的评审因素和标准进行磋商。</w:t>
      </w:r>
    </w:p>
    <w:p>
      <w:pPr>
        <w:spacing w:line="600" w:lineRule="exact"/>
        <w:rPr>
          <w:rFonts w:ascii="宋体" w:hAnsi="宋体" w:cs="宋体"/>
          <w:b/>
          <w:sz w:val="28"/>
          <w:szCs w:val="28"/>
        </w:rPr>
      </w:pPr>
      <w:bookmarkStart w:id="62" w:name="_Toc152042354"/>
      <w:bookmarkStart w:id="63" w:name="_Toc179632596"/>
      <w:bookmarkStart w:id="64" w:name="_Toc285809515"/>
      <w:bookmarkStart w:id="65" w:name="_Toc152045578"/>
      <w:r>
        <w:rPr>
          <w:rFonts w:hint="eastAsia" w:ascii="宋体" w:hAnsi="宋体" w:cs="宋体"/>
          <w:b/>
          <w:sz w:val="28"/>
          <w:szCs w:val="28"/>
        </w:rPr>
        <w:t>8.4 对与磋商活动有关的工作人员的纪律要求</w:t>
      </w:r>
      <w:bookmarkEnd w:id="62"/>
      <w:bookmarkEnd w:id="63"/>
      <w:bookmarkEnd w:id="64"/>
      <w:bookmarkEnd w:id="65"/>
    </w:p>
    <w:p>
      <w:pPr>
        <w:spacing w:line="480" w:lineRule="exact"/>
        <w:ind w:firstLine="480" w:firstLineChars="200"/>
        <w:rPr>
          <w:rFonts w:ascii="宋体" w:hAnsi="宋体" w:cs="宋体"/>
          <w:sz w:val="24"/>
        </w:rPr>
      </w:pPr>
      <w:bookmarkStart w:id="66" w:name="_Toc152042355"/>
      <w:r>
        <w:rPr>
          <w:rFonts w:hint="eastAsia" w:ascii="宋体" w:hAnsi="宋体" w:cs="宋体"/>
          <w:sz w:val="24"/>
        </w:rPr>
        <w:t>与磋商活动有关的工作人员不得收受他人的财物或者其他好处，不得向他人透漏对响应文件的评审和比较、成交供应商的确定情况以及磋商有关的其他情况。在磋商活动中，与磋商活动有关的工作人员不得擅离职守，影响磋商程序正常进行。</w:t>
      </w:r>
      <w:bookmarkEnd w:id="66"/>
    </w:p>
    <w:p>
      <w:pPr>
        <w:spacing w:line="600" w:lineRule="exact"/>
        <w:rPr>
          <w:rFonts w:ascii="宋体" w:hAnsi="宋体" w:cs="宋体"/>
          <w:b/>
          <w:sz w:val="28"/>
          <w:szCs w:val="28"/>
        </w:rPr>
      </w:pPr>
      <w:r>
        <w:rPr>
          <w:rFonts w:hint="eastAsia" w:ascii="宋体" w:hAnsi="宋体" w:cs="宋体"/>
          <w:b/>
          <w:sz w:val="28"/>
          <w:szCs w:val="28"/>
        </w:rPr>
        <w:t>8.5 投诉</w:t>
      </w:r>
    </w:p>
    <w:p>
      <w:pPr>
        <w:spacing w:line="500" w:lineRule="exact"/>
        <w:ind w:firstLine="480" w:firstLineChars="200"/>
        <w:rPr>
          <w:rFonts w:ascii="宋体" w:hAnsi="宋体" w:cs="宋体"/>
          <w:sz w:val="24"/>
        </w:rPr>
      </w:pPr>
      <w:r>
        <w:rPr>
          <w:rFonts w:hint="eastAsia" w:ascii="宋体" w:hAnsi="宋体" w:cs="宋体"/>
          <w:sz w:val="24"/>
        </w:rPr>
        <w:t>供应商和其他利害关系人认为本次招标活动违反法律、法规和规章规定的，有权向有关行政监督部门投诉。</w:t>
      </w:r>
    </w:p>
    <w:p>
      <w:pPr>
        <w:pStyle w:val="6"/>
        <w:spacing w:line="800" w:lineRule="exact"/>
        <w:rPr>
          <w:rFonts w:cs="宋体"/>
          <w:sz w:val="30"/>
          <w:szCs w:val="30"/>
        </w:rPr>
      </w:pPr>
      <w:bookmarkStart w:id="67" w:name="_Toc10217"/>
      <w:bookmarkStart w:id="68" w:name="_Toc494053898"/>
      <w:bookmarkStart w:id="69" w:name="_Toc402430909"/>
      <w:bookmarkStart w:id="70" w:name="_Toc428972283"/>
      <w:bookmarkStart w:id="71" w:name="_Toc480827638"/>
      <w:r>
        <w:rPr>
          <w:rFonts w:hint="eastAsia" w:cs="宋体"/>
          <w:sz w:val="30"/>
          <w:szCs w:val="30"/>
        </w:rPr>
        <w:t>9. 关于</w:t>
      </w:r>
      <w:bookmarkEnd w:id="67"/>
      <w:bookmarkEnd w:id="68"/>
      <w:bookmarkEnd w:id="69"/>
      <w:bookmarkEnd w:id="70"/>
      <w:bookmarkEnd w:id="71"/>
      <w:r>
        <w:rPr>
          <w:rFonts w:hint="eastAsia" w:cs="宋体"/>
          <w:sz w:val="30"/>
          <w:szCs w:val="30"/>
        </w:rPr>
        <w:t>无效投标</w:t>
      </w:r>
    </w:p>
    <w:p>
      <w:pPr>
        <w:spacing w:line="600" w:lineRule="exact"/>
        <w:rPr>
          <w:rFonts w:ascii="宋体" w:hAnsi="宋体" w:cs="宋体"/>
          <w:sz w:val="24"/>
        </w:rPr>
      </w:pPr>
      <w:r>
        <w:rPr>
          <w:rFonts w:hint="eastAsia" w:ascii="宋体" w:hAnsi="宋体" w:cs="宋体"/>
          <w:b/>
          <w:sz w:val="28"/>
          <w:szCs w:val="28"/>
        </w:rPr>
        <w:t>9.1供应商有下列情况之一，其投标视为无效投标：</w:t>
      </w:r>
    </w:p>
    <w:p>
      <w:pPr>
        <w:spacing w:line="360" w:lineRule="auto"/>
        <w:ind w:firstLine="480" w:firstLineChars="200"/>
        <w:rPr>
          <w:rFonts w:ascii="宋体" w:hAnsi="宋体" w:cs="宋体"/>
          <w:sz w:val="24"/>
        </w:rPr>
      </w:pPr>
      <w:r>
        <w:rPr>
          <w:rFonts w:hint="eastAsia" w:ascii="宋体" w:hAnsi="宋体" w:cs="宋体"/>
          <w:sz w:val="24"/>
        </w:rPr>
        <w:t>9.1.1</w:t>
      </w:r>
      <w:r>
        <w:rPr>
          <w:rFonts w:ascii="宋体" w:hAnsi="宋体" w:cs="宋体"/>
          <w:spacing w:val="6"/>
          <w:sz w:val="23"/>
          <w:szCs w:val="23"/>
        </w:rPr>
        <w:t>供应商提供的响应文件不完整；</w:t>
      </w:r>
    </w:p>
    <w:p>
      <w:pPr>
        <w:spacing w:line="360" w:lineRule="auto"/>
        <w:ind w:firstLine="480" w:firstLineChars="200"/>
        <w:rPr>
          <w:rFonts w:ascii="宋体" w:hAnsi="宋体" w:cs="宋体"/>
          <w:sz w:val="24"/>
        </w:rPr>
      </w:pPr>
      <w:r>
        <w:rPr>
          <w:rFonts w:hint="eastAsia" w:ascii="宋体" w:hAnsi="宋体" w:cs="宋体"/>
          <w:sz w:val="24"/>
        </w:rPr>
        <w:t xml:space="preserve">9.1.2 </w:t>
      </w:r>
      <w:r>
        <w:rPr>
          <w:rFonts w:ascii="宋体" w:hAnsi="宋体" w:cs="宋体"/>
          <w:spacing w:val="7"/>
          <w:sz w:val="23"/>
          <w:szCs w:val="23"/>
        </w:rPr>
        <w:t>响应文件未按竞争性磋商的规定签署、标记的；</w:t>
      </w:r>
    </w:p>
    <w:p>
      <w:pPr>
        <w:spacing w:line="360" w:lineRule="auto"/>
        <w:ind w:firstLine="480" w:firstLineChars="200"/>
        <w:rPr>
          <w:rFonts w:ascii="宋体" w:hAnsi="宋体" w:cs="宋体"/>
          <w:sz w:val="24"/>
        </w:rPr>
      </w:pPr>
      <w:r>
        <w:rPr>
          <w:rFonts w:hint="eastAsia" w:ascii="宋体" w:hAnsi="宋体" w:cs="宋体"/>
          <w:sz w:val="24"/>
        </w:rPr>
        <w:t>9.1.3</w:t>
      </w:r>
      <w:r>
        <w:rPr>
          <w:rFonts w:ascii="宋体" w:hAnsi="宋体" w:cs="宋体"/>
          <w:spacing w:val="5"/>
          <w:sz w:val="23"/>
          <w:szCs w:val="23"/>
        </w:rPr>
        <w:t>未按规定报价</w:t>
      </w:r>
      <w:r>
        <w:rPr>
          <w:rFonts w:ascii="宋体" w:hAnsi="宋体" w:cs="宋体"/>
          <w:spacing w:val="2"/>
          <w:sz w:val="23"/>
          <w:szCs w:val="23"/>
        </w:rPr>
        <w:t>；</w:t>
      </w:r>
    </w:p>
    <w:p>
      <w:pPr>
        <w:spacing w:line="360" w:lineRule="auto"/>
        <w:ind w:firstLine="480" w:firstLineChars="200"/>
        <w:rPr>
          <w:rFonts w:ascii="宋体" w:hAnsi="宋体" w:cs="宋体"/>
          <w:spacing w:val="7"/>
          <w:sz w:val="23"/>
          <w:szCs w:val="23"/>
        </w:rPr>
      </w:pPr>
      <w:r>
        <w:rPr>
          <w:rFonts w:hint="eastAsia" w:ascii="宋体" w:hAnsi="宋体" w:cs="宋体"/>
          <w:sz w:val="24"/>
        </w:rPr>
        <w:t>9.1.4</w:t>
      </w:r>
      <w:r>
        <w:rPr>
          <w:rFonts w:ascii="宋体" w:hAnsi="宋体" w:cs="宋体"/>
          <w:spacing w:val="7"/>
          <w:sz w:val="23"/>
          <w:szCs w:val="23"/>
        </w:rPr>
        <w:t>供应商对竞争性磋商的要求未做出实质性响应；</w:t>
      </w:r>
    </w:p>
    <w:p>
      <w:pPr>
        <w:spacing w:line="360" w:lineRule="auto"/>
        <w:ind w:firstLine="480" w:firstLineChars="200"/>
        <w:rPr>
          <w:rFonts w:ascii="宋体" w:hAnsi="宋体" w:cs="宋体"/>
          <w:spacing w:val="6"/>
          <w:sz w:val="23"/>
          <w:szCs w:val="23"/>
        </w:rPr>
      </w:pPr>
      <w:r>
        <w:rPr>
          <w:rFonts w:hint="eastAsia" w:ascii="宋体" w:hAnsi="宋体" w:cs="宋体"/>
          <w:sz w:val="24"/>
        </w:rPr>
        <w:t>9.1.5</w:t>
      </w:r>
      <w:r>
        <w:rPr>
          <w:rFonts w:ascii="宋体" w:hAnsi="宋体" w:cs="宋体"/>
          <w:spacing w:val="6"/>
          <w:sz w:val="23"/>
          <w:szCs w:val="23"/>
        </w:rPr>
        <w:t>法律、法规规定的其他情况。</w:t>
      </w:r>
    </w:p>
    <w:p>
      <w:pPr>
        <w:spacing w:line="360" w:lineRule="auto"/>
        <w:ind w:firstLine="480" w:firstLineChars="200"/>
        <w:rPr>
          <w:rFonts w:ascii="宋体" w:hAnsi="宋体" w:cs="宋体"/>
          <w:sz w:val="24"/>
        </w:rPr>
      </w:pPr>
      <w:r>
        <w:rPr>
          <w:rFonts w:hint="eastAsia" w:ascii="宋体" w:hAnsi="宋体" w:cs="宋体"/>
          <w:sz w:val="24"/>
        </w:rPr>
        <w:t>9.2 供应商有下列情况之一，其投标不但被视为无效投标，而且采购人将严格依照《中华人民共和国政府采购法》、《中华人民共和国财政部令第87号》及有关法律、法规及规章的规定行使其权利。供应商给代理机构造成损失的，代理机构有索赔的权利；给采购人造成损失的，应予以赔偿。</w:t>
      </w:r>
    </w:p>
    <w:p>
      <w:pPr>
        <w:spacing w:line="360" w:lineRule="auto"/>
        <w:ind w:firstLine="480" w:firstLineChars="200"/>
        <w:rPr>
          <w:rFonts w:ascii="宋体" w:hAnsi="宋体" w:cs="宋体"/>
          <w:sz w:val="24"/>
        </w:rPr>
      </w:pPr>
      <w:r>
        <w:rPr>
          <w:rFonts w:hint="eastAsia" w:ascii="宋体" w:hAnsi="宋体" w:cs="宋体"/>
          <w:sz w:val="24"/>
        </w:rPr>
        <w:t>9.2.1 供应商提供的有关资格、证明文件不真实，提供虚假投标材料；</w:t>
      </w:r>
    </w:p>
    <w:p>
      <w:pPr>
        <w:spacing w:line="360" w:lineRule="auto"/>
        <w:ind w:firstLine="480" w:firstLineChars="200"/>
        <w:rPr>
          <w:rFonts w:ascii="宋体" w:hAnsi="宋体" w:cs="宋体"/>
          <w:sz w:val="24"/>
        </w:rPr>
      </w:pPr>
      <w:r>
        <w:rPr>
          <w:rFonts w:hint="eastAsia" w:ascii="宋体" w:hAnsi="宋体" w:cs="宋体"/>
          <w:sz w:val="24"/>
        </w:rPr>
        <w:t>9.2.2供应商在投标有效期内撤回投标；</w:t>
      </w:r>
    </w:p>
    <w:p>
      <w:pPr>
        <w:spacing w:line="360" w:lineRule="auto"/>
        <w:ind w:firstLine="480" w:firstLineChars="200"/>
        <w:rPr>
          <w:rFonts w:ascii="宋体" w:hAnsi="宋体" w:cs="宋体"/>
          <w:sz w:val="24"/>
        </w:rPr>
      </w:pPr>
      <w:r>
        <w:rPr>
          <w:rFonts w:hint="eastAsia" w:ascii="宋体" w:hAnsi="宋体" w:cs="宋体"/>
          <w:sz w:val="24"/>
        </w:rPr>
        <w:t>9.2.3在整个评审过程中，供应商有企图影响成交结果的任何活动；</w:t>
      </w:r>
    </w:p>
    <w:p>
      <w:pPr>
        <w:spacing w:line="360" w:lineRule="auto"/>
        <w:ind w:firstLine="480" w:firstLineChars="200"/>
        <w:rPr>
          <w:rFonts w:ascii="宋体" w:hAnsi="宋体" w:cs="宋体"/>
          <w:sz w:val="24"/>
        </w:rPr>
      </w:pPr>
      <w:r>
        <w:rPr>
          <w:rFonts w:hint="eastAsia" w:ascii="宋体" w:hAnsi="宋体" w:cs="宋体"/>
          <w:sz w:val="24"/>
        </w:rPr>
        <w:t>9.2.4供应商串通投标；</w:t>
      </w:r>
    </w:p>
    <w:p>
      <w:pPr>
        <w:spacing w:line="360" w:lineRule="auto"/>
        <w:ind w:firstLine="480" w:firstLineChars="200"/>
        <w:rPr>
          <w:rFonts w:ascii="宋体" w:hAnsi="宋体" w:cs="宋体"/>
          <w:sz w:val="24"/>
        </w:rPr>
      </w:pPr>
      <w:r>
        <w:rPr>
          <w:rFonts w:hint="eastAsia" w:ascii="宋体" w:hAnsi="宋体" w:cs="宋体"/>
          <w:sz w:val="24"/>
        </w:rPr>
        <w:t>9.2.5供应商向采购人、代理机构提供不正当利益；</w:t>
      </w:r>
    </w:p>
    <w:p>
      <w:pPr>
        <w:spacing w:line="360" w:lineRule="auto"/>
        <w:ind w:firstLine="480" w:firstLineChars="200"/>
        <w:rPr>
          <w:rFonts w:ascii="宋体" w:hAnsi="宋体" w:cs="宋体"/>
          <w:sz w:val="24"/>
        </w:rPr>
      </w:pPr>
      <w:r>
        <w:rPr>
          <w:rFonts w:hint="eastAsia" w:ascii="宋体" w:hAnsi="宋体" w:cs="宋体"/>
          <w:sz w:val="24"/>
        </w:rPr>
        <w:t>9.2.6成交供应商不按规定的要求签订合同；</w:t>
      </w:r>
    </w:p>
    <w:p>
      <w:pPr>
        <w:spacing w:line="360" w:lineRule="auto"/>
        <w:ind w:firstLine="480" w:firstLineChars="200"/>
        <w:rPr>
          <w:rFonts w:ascii="宋体" w:hAnsi="宋体" w:cs="宋体"/>
          <w:sz w:val="24"/>
        </w:rPr>
      </w:pPr>
      <w:r>
        <w:rPr>
          <w:rFonts w:hint="eastAsia" w:ascii="宋体" w:hAnsi="宋体" w:cs="宋体"/>
          <w:sz w:val="24"/>
        </w:rPr>
        <w:t>9.2.7法律、法规规定的其他情况。</w:t>
      </w:r>
    </w:p>
    <w:p>
      <w:pPr>
        <w:spacing w:line="600" w:lineRule="exact"/>
        <w:rPr>
          <w:rFonts w:ascii="宋体" w:hAnsi="宋体" w:cs="宋体"/>
          <w:b/>
          <w:sz w:val="28"/>
          <w:szCs w:val="28"/>
        </w:rPr>
      </w:pPr>
      <w:bookmarkStart w:id="72" w:name="_Toc285809517"/>
      <w:bookmarkStart w:id="73" w:name="_Toc480827639"/>
      <w:bookmarkStart w:id="74" w:name="_Toc152045580"/>
      <w:bookmarkStart w:id="75" w:name="_Toc152042357"/>
      <w:bookmarkStart w:id="76" w:name="_Toc179632598"/>
      <w:bookmarkStart w:id="77" w:name="_Toc144974547"/>
      <w:bookmarkStart w:id="78" w:name="_Toc494053899"/>
      <w:r>
        <w:rPr>
          <w:rFonts w:hint="eastAsia" w:ascii="宋体" w:hAnsi="宋体" w:cs="宋体"/>
          <w:b/>
          <w:sz w:val="28"/>
          <w:szCs w:val="28"/>
        </w:rPr>
        <w:t>10、需要补充的其他内容</w:t>
      </w:r>
      <w:bookmarkEnd w:id="72"/>
      <w:bookmarkEnd w:id="73"/>
      <w:bookmarkEnd w:id="74"/>
      <w:bookmarkEnd w:id="75"/>
      <w:bookmarkEnd w:id="76"/>
      <w:bookmarkEnd w:id="77"/>
      <w:bookmarkEnd w:id="78"/>
    </w:p>
    <w:p>
      <w:pPr>
        <w:spacing w:line="360" w:lineRule="auto"/>
        <w:rPr>
          <w:rFonts w:ascii="宋体" w:hAnsi="宋体"/>
          <w:b/>
          <w:bCs/>
          <w:sz w:val="24"/>
        </w:rPr>
      </w:pPr>
      <w:r>
        <w:rPr>
          <w:rFonts w:hint="eastAsia" w:ascii="宋体" w:hAnsi="宋体"/>
          <w:b/>
          <w:bCs/>
          <w:sz w:val="24"/>
        </w:rPr>
        <w:t>10.1、节能环保产品给予最终价格折扣（6%）：</w:t>
      </w:r>
    </w:p>
    <w:p>
      <w:pPr>
        <w:spacing w:line="360" w:lineRule="auto"/>
        <w:ind w:firstLine="480" w:firstLineChars="200"/>
        <w:rPr>
          <w:rFonts w:ascii="宋体" w:hAnsi="宋体"/>
          <w:sz w:val="24"/>
        </w:rPr>
      </w:pPr>
      <w:r>
        <w:rPr>
          <w:rFonts w:hint="eastAsia" w:ascii="宋体" w:hAnsi="宋体"/>
          <w:sz w:val="24"/>
        </w:rPr>
        <w:t>供应商所报产品列入财政部、国家发展改革委制定的《节能产品政府采购品目清单》和财政部、国家环境保护总局制定的《环境标志产品政府采购品目清单》的：</w:t>
      </w:r>
    </w:p>
    <w:p>
      <w:pPr>
        <w:spacing w:line="360" w:lineRule="auto"/>
        <w:ind w:firstLine="480" w:firstLineChars="200"/>
        <w:rPr>
          <w:rFonts w:ascii="宋体" w:hAnsi="宋体"/>
          <w:sz w:val="24"/>
        </w:rPr>
      </w:pPr>
      <w:r>
        <w:rPr>
          <w:rFonts w:hint="eastAsia" w:ascii="宋体" w:hAnsi="宋体"/>
          <w:sz w:val="24"/>
        </w:rPr>
        <w:t>在价格评审时，对节能、环保产品分别给予价格加分，（加分=价格评标总分值×6%×节能、环保产品价格在投标报价中所占比例）。</w:t>
      </w:r>
    </w:p>
    <w:p>
      <w:pPr>
        <w:spacing w:line="360" w:lineRule="auto"/>
        <w:ind w:firstLine="480" w:firstLineChars="200"/>
        <w:rPr>
          <w:rFonts w:ascii="宋体" w:hAnsi="宋体"/>
          <w:sz w:val="24"/>
        </w:rPr>
      </w:pPr>
      <w:r>
        <w:rPr>
          <w:rFonts w:hint="eastAsia" w:ascii="宋体" w:hAnsi="宋体"/>
          <w:sz w:val="24"/>
        </w:rPr>
        <w:t>在技术评审时，对节能、环保产品分别给予价格加分，（加分=技术评标总分值×6%×节能、环保产品价格在投标报价中所占比例）。</w:t>
      </w:r>
    </w:p>
    <w:p>
      <w:pPr>
        <w:spacing w:line="360" w:lineRule="auto"/>
        <w:ind w:firstLine="482" w:firstLineChars="200"/>
        <w:rPr>
          <w:rFonts w:ascii="宋体" w:hAnsi="宋体"/>
          <w:sz w:val="24"/>
        </w:rPr>
      </w:pPr>
      <w:r>
        <w:rPr>
          <w:rFonts w:hint="eastAsia" w:ascii="宋体" w:hAnsi="宋体"/>
          <w:b/>
          <w:bCs/>
          <w:sz w:val="24"/>
        </w:rPr>
        <w:t>说明：</w:t>
      </w:r>
      <w:r>
        <w:rPr>
          <w:rFonts w:hint="eastAsia" w:ascii="宋体" w:hAnsi="宋体"/>
          <w:sz w:val="24"/>
        </w:rPr>
        <w:t xml:space="preserve">1、本项计分以供应商提供的“节能、环境标志产品报价清单”及节能、环保标志产品认证证书为准，否则不给予价格、技术评审加分；供应商所填写的内容必须真实、可靠，如有虚假或隐瞒，一经查实将导致报价被拒绝。 </w:t>
      </w:r>
    </w:p>
    <w:p>
      <w:pPr>
        <w:spacing w:line="360" w:lineRule="auto"/>
        <w:ind w:firstLine="480" w:firstLineChars="200"/>
      </w:pPr>
      <w:r>
        <w:rPr>
          <w:rFonts w:hint="eastAsia" w:ascii="宋体" w:hAnsi="宋体"/>
          <w:sz w:val="24"/>
        </w:rPr>
        <w:t>2、根据《财政部发展改革委 生态环境部 市场监管总局关于调整优化节能产品环境标志产品政府采购执行机制的通知》（财库〔2019〕9 号）规定，投报产品属于品目清单范围内的强制性采购的，供应商必须使用品目清单内的产品，并提供国家确定的认证机构出具的处于有效期之内的节能产品、环境标志产品认证证书。</w:t>
      </w:r>
    </w:p>
    <w:p>
      <w:pPr>
        <w:spacing w:line="360" w:lineRule="auto"/>
        <w:rPr>
          <w:rFonts w:ascii="宋体" w:hAnsi="宋体"/>
          <w:b/>
          <w:bCs/>
          <w:sz w:val="24"/>
        </w:rPr>
      </w:pPr>
      <w:r>
        <w:rPr>
          <w:rFonts w:hint="eastAsia" w:ascii="宋体" w:hAnsi="宋体"/>
          <w:b/>
          <w:bCs/>
          <w:sz w:val="24"/>
        </w:rPr>
        <w:t>10.2、监狱企业给予最终价格折扣（6%）</w:t>
      </w:r>
    </w:p>
    <w:p>
      <w:pPr>
        <w:spacing w:line="360" w:lineRule="auto"/>
        <w:ind w:firstLine="480" w:firstLineChars="200"/>
        <w:rPr>
          <w:rFonts w:ascii="宋体" w:hAnsi="宋体"/>
          <w:sz w:val="24"/>
        </w:rPr>
      </w:pPr>
      <w:r>
        <w:rPr>
          <w:rFonts w:hint="eastAsia" w:ascii="宋体" w:hAnsi="宋体"/>
          <w:sz w:val="24"/>
        </w:rPr>
        <w:t>根据《关于政府采购支持监狱企业发展有关问题的通知》（ 财库[2014]68 号） 文件规定：在政府采购活动中，监狱企业和戒毒企业视同小型、微型企业，评审中享受同小型、微型企业相同的价格扣除。监狱企业和戒毒企业参加政府采购活动时，应当提供由省级以上监狱管理局、戒毒管理局（含新疆生产建设兵团）出具的属于监狱企业的证明文件。</w:t>
      </w:r>
    </w:p>
    <w:p>
      <w:pPr>
        <w:spacing w:line="360" w:lineRule="auto"/>
        <w:rPr>
          <w:rFonts w:ascii="宋体" w:hAnsi="宋体"/>
          <w:b/>
          <w:bCs/>
          <w:sz w:val="24"/>
        </w:rPr>
      </w:pPr>
      <w:r>
        <w:rPr>
          <w:rFonts w:hint="eastAsia" w:ascii="宋体" w:hAnsi="宋体"/>
          <w:b/>
          <w:bCs/>
          <w:sz w:val="24"/>
        </w:rPr>
        <w:t>10.3、残疾人福利性单位</w:t>
      </w:r>
    </w:p>
    <w:p>
      <w:pPr>
        <w:spacing w:line="360" w:lineRule="auto"/>
        <w:ind w:firstLine="480" w:firstLineChars="200"/>
        <w:rPr>
          <w:rFonts w:ascii="宋体" w:hAnsi="宋体"/>
          <w:sz w:val="24"/>
        </w:rPr>
      </w:pPr>
      <w:r>
        <w:rPr>
          <w:rFonts w:hint="eastAsia" w:ascii="宋体" w:hAnsi="宋体"/>
          <w:sz w:val="24"/>
        </w:rPr>
        <w:t>符合条件的残疾人福利性单位在参加政府采购活动时，应当提供《残疾人福利性</w:t>
      </w:r>
    </w:p>
    <w:p>
      <w:pPr>
        <w:spacing w:line="360" w:lineRule="auto"/>
        <w:rPr>
          <w:rFonts w:ascii="宋体" w:hAnsi="宋体"/>
          <w:sz w:val="24"/>
        </w:rPr>
      </w:pPr>
      <w:r>
        <w:rPr>
          <w:rFonts w:hint="eastAsia" w:ascii="宋体" w:hAnsi="宋体"/>
          <w:sz w:val="24"/>
        </w:rPr>
        <w:t>单位声明函》（见附件），并对声明的真实性负责。任何单位或者个人在政府采购活动中均不得要求残疾人福利性单位提供其他证明声明函内容的材料。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360" w:lineRule="auto"/>
        <w:rPr>
          <w:rFonts w:ascii="宋体" w:hAnsi="宋体"/>
          <w:sz w:val="24"/>
        </w:rPr>
      </w:pPr>
      <w:r>
        <w:rPr>
          <w:rFonts w:hint="eastAsia" w:ascii="宋体" w:hAnsi="宋体"/>
          <w:sz w:val="24"/>
        </w:rPr>
        <w:t>给予残疾人福利性单位价格 6%的扣除；计算方法是：</w:t>
      </w:r>
    </w:p>
    <w:p>
      <w:pPr>
        <w:spacing w:line="360" w:lineRule="auto"/>
        <w:ind w:firstLine="480" w:firstLineChars="200"/>
        <w:rPr>
          <w:rFonts w:ascii="宋体" w:hAnsi="宋体"/>
          <w:sz w:val="24"/>
        </w:rPr>
      </w:pPr>
      <w:r>
        <w:rPr>
          <w:rFonts w:hint="eastAsia" w:ascii="宋体" w:hAnsi="宋体"/>
          <w:sz w:val="24"/>
        </w:rPr>
        <w:t>最终价格＝投标报价×94%，按照最终价格计算其价格分得分；</w:t>
      </w:r>
    </w:p>
    <w:p>
      <w:pPr>
        <w:spacing w:line="360" w:lineRule="auto"/>
        <w:ind w:firstLine="480" w:firstLineChars="200"/>
        <w:rPr>
          <w:rFonts w:ascii="宋体" w:hAnsi="宋体"/>
          <w:sz w:val="24"/>
        </w:rPr>
      </w:pPr>
      <w:r>
        <w:rPr>
          <w:rFonts w:hint="eastAsia" w:ascii="宋体" w:hAnsi="宋体"/>
          <w:sz w:val="24"/>
        </w:rPr>
        <w:t>供应商须提供《残疾人福利性单位声明函》原件扫描件并附在响应文件中，否则不给予价格扣除； 残疾人福利性单位视同小型、微型企业。残疾人福利性单位属于小型、微型企业的，不重复享受政策。</w:t>
      </w:r>
    </w:p>
    <w:p>
      <w:pPr>
        <w:spacing w:line="360" w:lineRule="auto"/>
        <w:ind w:firstLine="482" w:firstLineChars="200"/>
        <w:rPr>
          <w:rFonts w:ascii="宋体" w:hAnsi="宋体"/>
          <w:sz w:val="24"/>
        </w:rPr>
      </w:pPr>
      <w:r>
        <w:rPr>
          <w:rFonts w:hint="eastAsia" w:ascii="宋体" w:hAnsi="宋体"/>
          <w:b/>
          <w:bCs/>
          <w:sz w:val="24"/>
        </w:rPr>
        <w:t>注：</w:t>
      </w:r>
      <w:r>
        <w:rPr>
          <w:rFonts w:hint="eastAsia" w:ascii="宋体" w:hAnsi="宋体"/>
          <w:sz w:val="24"/>
        </w:rPr>
        <w:t>供应商所提供的材料或填写的内容必须真实、可靠，如有虚假或隐瞒，一经查实将导致报价被拒绝，并按照《中华人民共和国政府采购法》第七十七条第一款“提供虚假材料谋取成交的”进行处罚，给采购人造成损失的应承担赔偿责任。</w:t>
      </w:r>
    </w:p>
    <w:p>
      <w:pPr>
        <w:rPr>
          <w:rFonts w:ascii="宋体" w:hAnsi="宋体" w:cs="宋体"/>
          <w:spacing w:val="-4"/>
          <w:sz w:val="23"/>
          <w:szCs w:val="23"/>
        </w:rPr>
      </w:pPr>
      <w:r>
        <w:rPr>
          <w:rFonts w:ascii="宋体" w:hAnsi="宋体" w:cs="宋体"/>
          <w:spacing w:val="-4"/>
          <w:sz w:val="23"/>
          <w:szCs w:val="23"/>
        </w:rPr>
        <w:br w:type="page"/>
      </w:r>
    </w:p>
    <w:p>
      <w:pPr>
        <w:spacing w:before="47" w:line="227" w:lineRule="auto"/>
        <w:ind w:left="20"/>
        <w:rPr>
          <w:rFonts w:ascii="宋体" w:hAnsi="宋体" w:cs="宋体"/>
          <w:sz w:val="23"/>
          <w:szCs w:val="23"/>
        </w:rPr>
      </w:pPr>
      <w:r>
        <w:rPr>
          <w:rFonts w:ascii="宋体" w:hAnsi="宋体" w:cs="宋体"/>
          <w:spacing w:val="-4"/>
          <w:sz w:val="23"/>
          <w:szCs w:val="23"/>
        </w:rPr>
        <w:t>附</w:t>
      </w:r>
      <w:r>
        <w:rPr>
          <w:rFonts w:ascii="宋体" w:hAnsi="宋体" w:cs="宋体"/>
          <w:spacing w:val="-3"/>
          <w:sz w:val="23"/>
          <w:szCs w:val="23"/>
        </w:rPr>
        <w:t>件</w:t>
      </w:r>
      <w:r>
        <w:rPr>
          <w:rFonts w:ascii="宋体" w:hAnsi="宋体" w:cs="宋体"/>
          <w:spacing w:val="-2"/>
          <w:sz w:val="23"/>
          <w:szCs w:val="23"/>
        </w:rPr>
        <w:t>：</w:t>
      </w:r>
    </w:p>
    <w:p>
      <w:pPr>
        <w:spacing w:before="196" w:line="225" w:lineRule="auto"/>
        <w:ind w:left="1793"/>
        <w:rPr>
          <w:rFonts w:ascii="宋体" w:hAnsi="宋体" w:cs="宋体"/>
          <w:sz w:val="31"/>
          <w:szCs w:val="31"/>
        </w:rPr>
      </w:pPr>
      <w:r>
        <w:rPr>
          <w:rFonts w:ascii="宋体" w:hAnsi="宋体" w:cs="宋体"/>
          <w:spacing w:val="12"/>
          <w:sz w:val="31"/>
          <w:szCs w:val="31"/>
          <w14:textOutline w14:w="5791" w14:cap="sq" w14:cmpd="sng" w14:algn="ctr">
            <w14:solidFill>
              <w14:srgbClr w14:val="000000"/>
            </w14:solidFill>
            <w14:prstDash w14:val="solid"/>
            <w14:bevel/>
          </w14:textOutline>
        </w:rPr>
        <w:t>关</w:t>
      </w:r>
      <w:r>
        <w:rPr>
          <w:rFonts w:ascii="宋体" w:hAnsi="宋体" w:cs="宋体"/>
          <w:spacing w:val="10"/>
          <w:sz w:val="31"/>
          <w:szCs w:val="31"/>
          <w14:textOutline w14:w="5791" w14:cap="sq" w14:cmpd="sng" w14:algn="ctr">
            <w14:solidFill>
              <w14:srgbClr w14:val="000000"/>
            </w14:solidFill>
            <w14:prstDash w14:val="solid"/>
            <w14:bevel/>
          </w14:textOutline>
        </w:rPr>
        <w:t>于印发中小企业划型标准规定的通知</w:t>
      </w:r>
    </w:p>
    <w:p>
      <w:pPr>
        <w:spacing w:before="233" w:line="227" w:lineRule="auto"/>
        <w:ind w:left="2990"/>
        <w:rPr>
          <w:rFonts w:ascii="宋体" w:hAnsi="宋体" w:cs="宋体"/>
          <w:sz w:val="23"/>
          <w:szCs w:val="23"/>
        </w:rPr>
      </w:pPr>
      <w:r>
        <w:rPr>
          <w:rFonts w:ascii="宋体" w:hAnsi="宋体" w:cs="宋体"/>
          <w:spacing w:val="6"/>
          <w:sz w:val="23"/>
          <w:szCs w:val="23"/>
        </w:rPr>
        <w:t>工信部</w:t>
      </w:r>
      <w:r>
        <w:rPr>
          <w:rFonts w:ascii="宋体" w:hAnsi="宋体" w:cs="宋体"/>
          <w:spacing w:val="5"/>
          <w:sz w:val="23"/>
          <w:szCs w:val="23"/>
        </w:rPr>
        <w:t>联</w:t>
      </w:r>
      <w:r>
        <w:rPr>
          <w:rFonts w:ascii="宋体" w:hAnsi="宋体" w:cs="宋体"/>
          <w:spacing w:val="3"/>
          <w:sz w:val="23"/>
          <w:szCs w:val="23"/>
        </w:rPr>
        <w:t>企业〔2011〕300 号</w:t>
      </w:r>
    </w:p>
    <w:p>
      <w:pPr>
        <w:spacing w:before="185" w:line="227" w:lineRule="auto"/>
        <w:ind w:left="484"/>
        <w:rPr>
          <w:rFonts w:ascii="宋体" w:hAnsi="宋体" w:cs="宋体"/>
          <w:sz w:val="23"/>
          <w:szCs w:val="23"/>
        </w:rPr>
      </w:pPr>
      <w:r>
        <w:rPr>
          <w:rFonts w:ascii="宋体" w:hAnsi="宋体" w:cs="宋体"/>
          <w:spacing w:val="10"/>
          <w:sz w:val="23"/>
          <w:szCs w:val="23"/>
        </w:rPr>
        <w:t xml:space="preserve">各省、 </w:t>
      </w:r>
      <w:r>
        <w:rPr>
          <w:rFonts w:ascii="宋体" w:hAnsi="宋体" w:cs="宋体"/>
          <w:spacing w:val="7"/>
          <w:sz w:val="23"/>
          <w:szCs w:val="23"/>
        </w:rPr>
        <w:t>自</w:t>
      </w:r>
      <w:r>
        <w:rPr>
          <w:rFonts w:ascii="宋体" w:hAnsi="宋体" w:cs="宋体"/>
          <w:spacing w:val="5"/>
          <w:sz w:val="23"/>
          <w:szCs w:val="23"/>
        </w:rPr>
        <w:t>治区、直辖市人民政府，国务院各部委、各直属机构及有关单位：</w:t>
      </w:r>
    </w:p>
    <w:p>
      <w:pPr>
        <w:spacing w:before="183" w:line="379" w:lineRule="auto"/>
        <w:ind w:right="47" w:firstLine="484"/>
        <w:rPr>
          <w:rFonts w:ascii="宋体" w:hAnsi="宋体" w:cs="宋体"/>
          <w:sz w:val="23"/>
          <w:szCs w:val="23"/>
        </w:rPr>
      </w:pPr>
      <w:r>
        <w:rPr>
          <w:rFonts w:ascii="宋体" w:hAnsi="宋体" w:cs="宋体"/>
          <w:spacing w:val="11"/>
          <w:sz w:val="23"/>
          <w:szCs w:val="23"/>
        </w:rPr>
        <w:t>为</w:t>
      </w:r>
      <w:r>
        <w:rPr>
          <w:rFonts w:ascii="宋体" w:hAnsi="宋体" w:cs="宋体"/>
          <w:spacing w:val="7"/>
          <w:sz w:val="23"/>
          <w:szCs w:val="23"/>
        </w:rPr>
        <w:t>贯彻落实《中华人民共和国中小企业促进法》和《国务院关于进一步促进中小企</w:t>
      </w:r>
      <w:r>
        <w:rPr>
          <w:rFonts w:ascii="宋体" w:hAnsi="宋体" w:cs="宋体"/>
          <w:sz w:val="23"/>
          <w:szCs w:val="23"/>
        </w:rPr>
        <w:t xml:space="preserve"> </w:t>
      </w:r>
      <w:r>
        <w:rPr>
          <w:rFonts w:ascii="宋体" w:hAnsi="宋体" w:cs="宋体"/>
          <w:spacing w:val="8"/>
          <w:sz w:val="23"/>
          <w:szCs w:val="23"/>
        </w:rPr>
        <w:t>业发展的</w:t>
      </w:r>
      <w:r>
        <w:rPr>
          <w:rFonts w:ascii="宋体" w:hAnsi="宋体" w:cs="宋体"/>
          <w:spacing w:val="4"/>
          <w:sz w:val="23"/>
          <w:szCs w:val="23"/>
        </w:rPr>
        <w:t>若干意见》  (国发〔2009〕36 号) ，工业和信息化部、国家统计局、发展改</w:t>
      </w:r>
      <w:r>
        <w:rPr>
          <w:rFonts w:ascii="宋体" w:hAnsi="宋体" w:cs="宋体"/>
          <w:sz w:val="23"/>
          <w:szCs w:val="23"/>
        </w:rPr>
        <w:t xml:space="preserve"> </w:t>
      </w:r>
      <w:r>
        <w:rPr>
          <w:rFonts w:ascii="宋体" w:hAnsi="宋体" w:cs="宋体"/>
          <w:spacing w:val="16"/>
          <w:sz w:val="23"/>
          <w:szCs w:val="23"/>
        </w:rPr>
        <w:t>革</w:t>
      </w:r>
      <w:r>
        <w:rPr>
          <w:rFonts w:ascii="宋体" w:hAnsi="宋体" w:cs="宋体"/>
          <w:spacing w:val="10"/>
          <w:sz w:val="23"/>
          <w:szCs w:val="23"/>
        </w:rPr>
        <w:t>委</w:t>
      </w:r>
      <w:r>
        <w:rPr>
          <w:rFonts w:ascii="宋体" w:hAnsi="宋体" w:cs="宋体"/>
          <w:spacing w:val="8"/>
          <w:sz w:val="23"/>
          <w:szCs w:val="23"/>
        </w:rPr>
        <w:t>、财政部研究制定了《中小企业划型标准规定》。经国务院同意，现印发给你们，</w:t>
      </w:r>
      <w:r>
        <w:rPr>
          <w:rFonts w:ascii="宋体" w:hAnsi="宋体" w:cs="宋体"/>
          <w:sz w:val="23"/>
          <w:szCs w:val="23"/>
        </w:rPr>
        <w:t xml:space="preserve"> </w:t>
      </w:r>
      <w:r>
        <w:rPr>
          <w:rFonts w:ascii="宋体" w:hAnsi="宋体" w:cs="宋体"/>
          <w:spacing w:val="7"/>
          <w:sz w:val="23"/>
          <w:szCs w:val="23"/>
        </w:rPr>
        <w:t>请遵照执行。</w:t>
      </w:r>
    </w:p>
    <w:p>
      <w:pPr>
        <w:spacing w:line="369" w:lineRule="auto"/>
        <w:rPr>
          <w:rFonts w:ascii="Arial"/>
        </w:rPr>
      </w:pPr>
    </w:p>
    <w:p>
      <w:pPr>
        <w:spacing w:before="75" w:line="380" w:lineRule="auto"/>
        <w:ind w:left="5694" w:right="80" w:firstLine="219"/>
        <w:jc w:val="right"/>
        <w:rPr>
          <w:rFonts w:ascii="宋体" w:hAnsi="宋体" w:cs="宋体"/>
          <w:sz w:val="23"/>
          <w:szCs w:val="23"/>
        </w:rPr>
      </w:pPr>
      <w:r>
        <w:rPr>
          <w:rFonts w:ascii="宋体" w:hAnsi="宋体" w:cs="宋体"/>
          <w:spacing w:val="13"/>
          <w:sz w:val="23"/>
          <w:szCs w:val="23"/>
        </w:rPr>
        <w:t>工</w:t>
      </w:r>
      <w:r>
        <w:rPr>
          <w:rFonts w:ascii="宋体" w:hAnsi="宋体" w:cs="宋体"/>
          <w:spacing w:val="8"/>
          <w:sz w:val="23"/>
          <w:szCs w:val="23"/>
        </w:rPr>
        <w:t>业和信息化部  国家统计局</w:t>
      </w:r>
      <w:r>
        <w:rPr>
          <w:rFonts w:ascii="宋体" w:hAnsi="宋体" w:cs="宋体"/>
          <w:sz w:val="23"/>
          <w:szCs w:val="23"/>
        </w:rPr>
        <w:t xml:space="preserve"> </w:t>
      </w:r>
      <w:r>
        <w:rPr>
          <w:rFonts w:ascii="宋体" w:hAnsi="宋体" w:cs="宋体"/>
          <w:spacing w:val="9"/>
          <w:sz w:val="23"/>
          <w:szCs w:val="23"/>
        </w:rPr>
        <w:t>国</w:t>
      </w:r>
      <w:r>
        <w:rPr>
          <w:rFonts w:ascii="宋体" w:hAnsi="宋体" w:cs="宋体"/>
          <w:spacing w:val="7"/>
          <w:sz w:val="23"/>
          <w:szCs w:val="23"/>
        </w:rPr>
        <w:t>家发展和改革委员会  财政部</w:t>
      </w:r>
      <w:r>
        <w:rPr>
          <w:rFonts w:ascii="宋体" w:hAnsi="宋体" w:cs="宋体"/>
          <w:sz w:val="23"/>
          <w:szCs w:val="23"/>
        </w:rPr>
        <w:t xml:space="preserve"> </w:t>
      </w:r>
      <w:r>
        <w:rPr>
          <w:rFonts w:ascii="宋体" w:hAnsi="宋体" w:cs="宋体"/>
          <w:spacing w:val="14"/>
          <w:sz w:val="23"/>
          <w:szCs w:val="23"/>
        </w:rPr>
        <w:t>二</w:t>
      </w:r>
      <w:r>
        <w:rPr>
          <w:rFonts w:ascii="宋体" w:hAnsi="宋体" w:cs="宋体"/>
          <w:spacing w:val="8"/>
          <w:sz w:val="23"/>
          <w:szCs w:val="23"/>
        </w:rPr>
        <w:t>○一一年六月十八日</w:t>
      </w:r>
    </w:p>
    <w:p>
      <w:pPr>
        <w:spacing w:line="433" w:lineRule="auto"/>
        <w:rPr>
          <w:rFonts w:ascii="Arial"/>
        </w:rPr>
      </w:pPr>
    </w:p>
    <w:p>
      <w:pPr>
        <w:spacing w:before="101" w:line="225" w:lineRule="auto"/>
        <w:ind w:left="2943"/>
        <w:rPr>
          <w:rFonts w:ascii="宋体" w:hAnsi="宋体" w:cs="宋体"/>
          <w:sz w:val="31"/>
          <w:szCs w:val="31"/>
        </w:rPr>
      </w:pPr>
      <w:r>
        <w:rPr>
          <w:rFonts w:ascii="宋体" w:hAnsi="宋体" w:cs="宋体"/>
          <w:spacing w:val="7"/>
          <w:sz w:val="31"/>
          <w:szCs w:val="31"/>
          <w14:textOutline w14:w="5791" w14:cap="sq" w14:cmpd="sng" w14:algn="ctr">
            <w14:solidFill>
              <w14:srgbClr w14:val="000000"/>
            </w14:solidFill>
            <w14:prstDash w14:val="solid"/>
            <w14:bevel/>
          </w14:textOutline>
        </w:rPr>
        <w:t>中小企业划型标准规</w:t>
      </w:r>
      <w:r>
        <w:rPr>
          <w:rFonts w:ascii="宋体" w:hAnsi="宋体" w:cs="宋体"/>
          <w:spacing w:val="5"/>
          <w:sz w:val="31"/>
          <w:szCs w:val="31"/>
          <w14:textOutline w14:w="5791" w14:cap="sq" w14:cmpd="sng" w14:algn="ctr">
            <w14:solidFill>
              <w14:srgbClr w14:val="000000"/>
            </w14:solidFill>
            <w14:prstDash w14:val="solid"/>
            <w14:bevel/>
          </w14:textOutline>
        </w:rPr>
        <w:t>定</w:t>
      </w:r>
    </w:p>
    <w:p>
      <w:pPr>
        <w:spacing w:before="231" w:line="375" w:lineRule="auto"/>
        <w:ind w:left="5" w:right="80" w:firstLine="480"/>
        <w:rPr>
          <w:rFonts w:ascii="宋体" w:hAnsi="宋体" w:cs="宋体"/>
          <w:sz w:val="23"/>
          <w:szCs w:val="23"/>
        </w:rPr>
      </w:pPr>
      <w:r>
        <w:rPr>
          <w:rFonts w:ascii="宋体" w:hAnsi="宋体" w:cs="宋体"/>
          <w:spacing w:val="10"/>
          <w:sz w:val="23"/>
          <w:szCs w:val="23"/>
        </w:rPr>
        <w:t>一</w:t>
      </w:r>
      <w:r>
        <w:rPr>
          <w:rFonts w:ascii="宋体" w:hAnsi="宋体" w:cs="宋体"/>
          <w:spacing w:val="7"/>
          <w:sz w:val="23"/>
          <w:szCs w:val="23"/>
        </w:rPr>
        <w:t>、根据《中华人民共和国中小企业促进法》和《国务院关于进一步促进中小企业</w:t>
      </w:r>
      <w:r>
        <w:rPr>
          <w:rFonts w:ascii="宋体" w:hAnsi="宋体" w:cs="宋体"/>
          <w:sz w:val="23"/>
          <w:szCs w:val="23"/>
        </w:rPr>
        <w:t xml:space="preserve"> </w:t>
      </w:r>
      <w:r>
        <w:rPr>
          <w:rFonts w:ascii="宋体" w:hAnsi="宋体" w:cs="宋体"/>
          <w:spacing w:val="2"/>
          <w:sz w:val="23"/>
          <w:szCs w:val="23"/>
        </w:rPr>
        <w:t>发展的若干意见》 (国发〔200</w:t>
      </w:r>
      <w:r>
        <w:rPr>
          <w:rFonts w:ascii="宋体" w:hAnsi="宋体" w:cs="宋体"/>
          <w:spacing w:val="1"/>
          <w:sz w:val="23"/>
          <w:szCs w:val="23"/>
        </w:rPr>
        <w:t>9〕36 号)，制定本规定。</w:t>
      </w:r>
    </w:p>
    <w:p>
      <w:pPr>
        <w:spacing w:before="2" w:line="374" w:lineRule="auto"/>
        <w:ind w:right="80" w:firstLine="484"/>
        <w:rPr>
          <w:rFonts w:ascii="宋体" w:hAnsi="宋体" w:cs="宋体"/>
          <w:sz w:val="23"/>
          <w:szCs w:val="23"/>
        </w:rPr>
      </w:pPr>
      <w:r>
        <w:rPr>
          <w:rFonts w:ascii="宋体" w:hAnsi="宋体" w:cs="宋体"/>
          <w:spacing w:val="10"/>
          <w:sz w:val="23"/>
          <w:szCs w:val="23"/>
        </w:rPr>
        <w:t>二</w:t>
      </w:r>
      <w:r>
        <w:rPr>
          <w:rFonts w:ascii="宋体" w:hAnsi="宋体" w:cs="宋体"/>
          <w:spacing w:val="7"/>
          <w:sz w:val="23"/>
          <w:szCs w:val="23"/>
        </w:rPr>
        <w:t>、中小企业划分为中型、小型、微型三种类型，具体标准根据企业从业人员、营</w:t>
      </w:r>
      <w:r>
        <w:rPr>
          <w:rFonts w:ascii="宋体" w:hAnsi="宋体" w:cs="宋体"/>
          <w:sz w:val="23"/>
          <w:szCs w:val="23"/>
        </w:rPr>
        <w:t xml:space="preserve"> </w:t>
      </w:r>
      <w:r>
        <w:rPr>
          <w:rFonts w:ascii="宋体" w:hAnsi="宋体" w:cs="宋体"/>
          <w:spacing w:val="11"/>
          <w:sz w:val="23"/>
          <w:szCs w:val="23"/>
        </w:rPr>
        <w:t>业</w:t>
      </w:r>
      <w:r>
        <w:rPr>
          <w:rFonts w:ascii="宋体" w:hAnsi="宋体" w:cs="宋体"/>
          <w:spacing w:val="9"/>
          <w:sz w:val="23"/>
          <w:szCs w:val="23"/>
        </w:rPr>
        <w:t>收入、资产总额等指标，结合行业特点制定。</w:t>
      </w:r>
    </w:p>
    <w:p>
      <w:pPr>
        <w:spacing w:line="375" w:lineRule="auto"/>
        <w:ind w:left="2" w:right="47" w:firstLine="479"/>
        <w:rPr>
          <w:rFonts w:ascii="宋体" w:hAnsi="宋体" w:cs="宋体"/>
          <w:sz w:val="23"/>
          <w:szCs w:val="23"/>
        </w:rPr>
      </w:pPr>
      <w:r>
        <w:rPr>
          <w:rFonts w:ascii="宋体" w:hAnsi="宋体" w:cs="宋体"/>
          <w:spacing w:val="7"/>
          <w:sz w:val="23"/>
          <w:szCs w:val="23"/>
        </w:rPr>
        <w:t>三、本规定适用的行业包括：农、林、牧、渔业，工业 (包括采矿业，制造业，电</w:t>
      </w:r>
      <w:r>
        <w:rPr>
          <w:rFonts w:ascii="宋体" w:hAnsi="宋体" w:cs="宋体"/>
          <w:sz w:val="23"/>
          <w:szCs w:val="23"/>
        </w:rPr>
        <w:t xml:space="preserve"> </w:t>
      </w:r>
      <w:r>
        <w:rPr>
          <w:rFonts w:ascii="宋体" w:hAnsi="宋体" w:cs="宋体"/>
          <w:spacing w:val="7"/>
          <w:sz w:val="23"/>
          <w:szCs w:val="23"/>
        </w:rPr>
        <w:t>力、热力、燃气及水生产和供应业) ，建筑业，批发业，零售业，交通运输业 (不含</w:t>
      </w:r>
      <w:r>
        <w:rPr>
          <w:rFonts w:ascii="宋体" w:hAnsi="宋体" w:cs="宋体"/>
          <w:spacing w:val="5"/>
          <w:sz w:val="23"/>
          <w:szCs w:val="23"/>
        </w:rPr>
        <w:t>铁</w:t>
      </w:r>
      <w:r>
        <w:rPr>
          <w:rFonts w:ascii="宋体" w:hAnsi="宋体" w:cs="宋体"/>
          <w:sz w:val="23"/>
          <w:szCs w:val="23"/>
        </w:rPr>
        <w:t xml:space="preserve"> </w:t>
      </w:r>
      <w:r>
        <w:rPr>
          <w:rFonts w:ascii="宋体" w:hAnsi="宋体" w:cs="宋体"/>
          <w:spacing w:val="7"/>
          <w:sz w:val="23"/>
          <w:szCs w:val="23"/>
        </w:rPr>
        <w:t>路运输业) ，仓储业，邮政业，住宿业，餐饮业，信息传输业 (包括电信、互联网和</w:t>
      </w:r>
      <w:r>
        <w:rPr>
          <w:rFonts w:ascii="宋体" w:hAnsi="宋体" w:cs="宋体"/>
          <w:spacing w:val="5"/>
          <w:sz w:val="23"/>
          <w:szCs w:val="23"/>
        </w:rPr>
        <w:t>相</w:t>
      </w:r>
      <w:r>
        <w:rPr>
          <w:rFonts w:ascii="宋体" w:hAnsi="宋体" w:cs="宋体"/>
          <w:sz w:val="23"/>
          <w:szCs w:val="23"/>
        </w:rPr>
        <w:t xml:space="preserve"> </w:t>
      </w:r>
      <w:r>
        <w:rPr>
          <w:rFonts w:ascii="宋体" w:hAnsi="宋体" w:cs="宋体"/>
          <w:spacing w:val="8"/>
          <w:sz w:val="23"/>
          <w:szCs w:val="23"/>
        </w:rPr>
        <w:t>关服务) ，软件和信息技术服务业，房地产开发经营，物业管理，租赁和商务服务业</w:t>
      </w:r>
      <w:r>
        <w:rPr>
          <w:rFonts w:ascii="宋体" w:hAnsi="宋体" w:cs="宋体"/>
          <w:spacing w:val="7"/>
          <w:sz w:val="23"/>
          <w:szCs w:val="23"/>
        </w:rPr>
        <w:t>，</w:t>
      </w:r>
      <w:r>
        <w:rPr>
          <w:rFonts w:ascii="宋体" w:hAnsi="宋体" w:cs="宋体"/>
          <w:sz w:val="23"/>
          <w:szCs w:val="23"/>
        </w:rPr>
        <w:t xml:space="preserve"> </w:t>
      </w:r>
      <w:r>
        <w:rPr>
          <w:rFonts w:ascii="宋体" w:hAnsi="宋体" w:cs="宋体"/>
          <w:spacing w:val="12"/>
          <w:sz w:val="23"/>
          <w:szCs w:val="23"/>
        </w:rPr>
        <w:t>其</w:t>
      </w:r>
      <w:r>
        <w:rPr>
          <w:rFonts w:ascii="宋体" w:hAnsi="宋体" w:cs="宋体"/>
          <w:spacing w:val="7"/>
          <w:sz w:val="23"/>
          <w:szCs w:val="23"/>
        </w:rPr>
        <w:t>他未列明行业 (包括科学研究和技术服务业，水利、环境和公共设施管理业，居民服</w:t>
      </w:r>
      <w:r>
        <w:rPr>
          <w:rFonts w:ascii="宋体" w:hAnsi="宋体" w:cs="宋体"/>
          <w:sz w:val="23"/>
          <w:szCs w:val="23"/>
        </w:rPr>
        <w:t xml:space="preserve"> </w:t>
      </w:r>
      <w:r>
        <w:rPr>
          <w:rFonts w:ascii="宋体" w:hAnsi="宋体" w:cs="宋体"/>
          <w:spacing w:val="9"/>
          <w:sz w:val="23"/>
          <w:szCs w:val="23"/>
        </w:rPr>
        <w:t>务、修理和其他服务业，社会工作，文化、体育和娱乐业等) 。</w:t>
      </w:r>
    </w:p>
    <w:p>
      <w:pPr>
        <w:spacing w:line="228" w:lineRule="auto"/>
        <w:ind w:left="504"/>
        <w:rPr>
          <w:rFonts w:ascii="宋体" w:hAnsi="宋体" w:cs="宋体"/>
          <w:sz w:val="23"/>
          <w:szCs w:val="23"/>
        </w:rPr>
      </w:pPr>
      <w:r>
        <w:rPr>
          <w:rFonts w:ascii="宋体" w:hAnsi="宋体" w:cs="宋体"/>
          <w:spacing w:val="7"/>
          <w:sz w:val="23"/>
          <w:szCs w:val="23"/>
        </w:rPr>
        <w:t>四、</w:t>
      </w:r>
      <w:r>
        <w:rPr>
          <w:rFonts w:ascii="宋体" w:hAnsi="宋体" w:cs="宋体"/>
          <w:spacing w:val="7"/>
          <w:sz w:val="23"/>
          <w:szCs w:val="23"/>
          <w14:textOutline w14:w="4356" w14:cap="sq" w14:cmpd="sng" w14:algn="ctr">
            <w14:solidFill>
              <w14:srgbClr w14:val="000000"/>
            </w14:solidFill>
            <w14:prstDash w14:val="solid"/>
            <w14:bevel/>
          </w14:textOutline>
        </w:rPr>
        <w:t>各行业划型标准为</w:t>
      </w:r>
      <w:r>
        <w:rPr>
          <w:rFonts w:ascii="宋体" w:hAnsi="宋体" w:cs="宋体"/>
          <w:spacing w:val="5"/>
          <w:sz w:val="23"/>
          <w:szCs w:val="23"/>
          <w14:textOutline w14:w="4356" w14:cap="sq" w14:cmpd="sng" w14:algn="ctr">
            <w14:solidFill>
              <w14:srgbClr w14:val="000000"/>
            </w14:solidFill>
            <w14:prstDash w14:val="solid"/>
            <w14:bevel/>
          </w14:textOutline>
        </w:rPr>
        <w:t>：</w:t>
      </w:r>
    </w:p>
    <w:p>
      <w:pPr>
        <w:spacing w:before="182" w:line="375" w:lineRule="auto"/>
        <w:ind w:right="80" w:firstLine="480"/>
        <w:rPr>
          <w:rFonts w:ascii="宋体" w:hAnsi="宋体" w:cs="宋体"/>
          <w:sz w:val="23"/>
          <w:szCs w:val="23"/>
        </w:rPr>
      </w:pPr>
      <w:r>
        <w:rPr>
          <w:rFonts w:ascii="宋体" w:hAnsi="宋体" w:cs="宋体"/>
          <w:spacing w:val="6"/>
          <w:sz w:val="23"/>
          <w:szCs w:val="23"/>
        </w:rPr>
        <w:t>( 一) 农</w:t>
      </w:r>
      <w:r>
        <w:rPr>
          <w:rFonts w:ascii="宋体" w:hAnsi="宋体" w:cs="宋体"/>
          <w:spacing w:val="3"/>
          <w:sz w:val="23"/>
          <w:szCs w:val="23"/>
        </w:rPr>
        <w:t>、林、牧、渔业。营业收入 20000 万元以下的为中小微型企业。其中，营</w:t>
      </w:r>
      <w:r>
        <w:rPr>
          <w:rFonts w:ascii="宋体" w:hAnsi="宋体" w:cs="宋体"/>
          <w:sz w:val="23"/>
          <w:szCs w:val="23"/>
        </w:rPr>
        <w:t xml:space="preserve"> </w:t>
      </w:r>
      <w:r>
        <w:rPr>
          <w:rFonts w:ascii="宋体" w:hAnsi="宋体" w:cs="宋体"/>
          <w:spacing w:val="4"/>
          <w:sz w:val="23"/>
          <w:szCs w:val="23"/>
        </w:rPr>
        <w:t>业收入 500 万元及以上的为中型企业，营业收入 50 万元及以上的为小型企业，营</w:t>
      </w:r>
      <w:r>
        <w:rPr>
          <w:rFonts w:ascii="宋体" w:hAnsi="宋体" w:cs="宋体"/>
          <w:spacing w:val="1"/>
          <w:sz w:val="23"/>
          <w:szCs w:val="23"/>
        </w:rPr>
        <w:t>业</w:t>
      </w:r>
      <w:r>
        <w:rPr>
          <w:rFonts w:ascii="宋体" w:hAnsi="宋体" w:cs="宋体"/>
          <w:sz w:val="23"/>
          <w:szCs w:val="23"/>
        </w:rPr>
        <w:t xml:space="preserve">收 </w:t>
      </w:r>
      <w:r>
        <w:rPr>
          <w:rFonts w:ascii="宋体" w:hAnsi="宋体" w:cs="宋体"/>
          <w:spacing w:val="1"/>
          <w:sz w:val="23"/>
          <w:szCs w:val="23"/>
        </w:rPr>
        <w:t>入</w:t>
      </w:r>
      <w:r>
        <w:rPr>
          <w:rFonts w:ascii="宋体" w:hAnsi="宋体" w:cs="宋体"/>
          <w:sz w:val="23"/>
          <w:szCs w:val="23"/>
        </w:rPr>
        <w:t xml:space="preserve"> 50 万元以下的为微型企业。</w:t>
      </w:r>
    </w:p>
    <w:p>
      <w:pPr>
        <w:spacing w:line="227" w:lineRule="auto"/>
        <w:ind w:left="462"/>
        <w:rPr>
          <w:rFonts w:ascii="宋体" w:hAnsi="宋体" w:cs="宋体"/>
          <w:sz w:val="23"/>
          <w:szCs w:val="23"/>
        </w:rPr>
      </w:pPr>
      <w:r>
        <w:rPr>
          <w:rFonts w:ascii="宋体" w:hAnsi="宋体" w:cs="宋体"/>
          <w:spacing w:val="3"/>
          <w:sz w:val="23"/>
          <w:szCs w:val="23"/>
        </w:rPr>
        <w:t>(二) 工业。从业人员 1000 人以下或营业收入 40000 万元以下的为中小微型企</w:t>
      </w:r>
      <w:r>
        <w:rPr>
          <w:rFonts w:ascii="宋体" w:hAnsi="宋体" w:cs="宋体"/>
          <w:sz w:val="23"/>
          <w:szCs w:val="23"/>
        </w:rPr>
        <w:t>业。</w:t>
      </w:r>
    </w:p>
    <w:p>
      <w:pPr>
        <w:sectPr>
          <w:footerReference r:id="rId11" w:type="default"/>
          <w:pgSz w:w="11910" w:h="16840"/>
          <w:pgMar w:top="1426" w:right="1360" w:bottom="1470" w:left="1447" w:header="0" w:footer="1293" w:gutter="0"/>
          <w:pgNumType w:fmt="decimal"/>
          <w:cols w:space="720" w:num="1"/>
        </w:sectPr>
      </w:pPr>
    </w:p>
    <w:p>
      <w:pPr>
        <w:spacing w:before="47" w:line="375" w:lineRule="auto"/>
        <w:ind w:right="80" w:firstLine="1"/>
        <w:rPr>
          <w:rFonts w:ascii="宋体" w:hAnsi="宋体" w:cs="宋体"/>
          <w:sz w:val="23"/>
          <w:szCs w:val="23"/>
        </w:rPr>
      </w:pPr>
      <w:r>
        <w:rPr>
          <w:rFonts w:ascii="宋体" w:hAnsi="宋体" w:cs="宋体"/>
          <w:spacing w:val="5"/>
          <w:sz w:val="23"/>
          <w:szCs w:val="23"/>
        </w:rPr>
        <w:t>其</w:t>
      </w:r>
      <w:r>
        <w:rPr>
          <w:rFonts w:ascii="宋体" w:hAnsi="宋体" w:cs="宋体"/>
          <w:spacing w:val="3"/>
          <w:sz w:val="23"/>
          <w:szCs w:val="23"/>
        </w:rPr>
        <w:t>中，从业人员 300 人及以上，且营业收入 2000 万元及以上的为中型企业；从业人员</w:t>
      </w:r>
      <w:r>
        <w:rPr>
          <w:rFonts w:ascii="宋体" w:hAnsi="宋体" w:cs="宋体"/>
          <w:sz w:val="23"/>
          <w:szCs w:val="23"/>
        </w:rPr>
        <w:t xml:space="preserve"> </w:t>
      </w:r>
      <w:r>
        <w:rPr>
          <w:rFonts w:ascii="宋体" w:hAnsi="宋体" w:cs="宋体"/>
          <w:spacing w:val="2"/>
          <w:sz w:val="23"/>
          <w:szCs w:val="23"/>
        </w:rPr>
        <w:t>20 人及</w:t>
      </w:r>
      <w:r>
        <w:rPr>
          <w:rFonts w:ascii="宋体" w:hAnsi="宋体" w:cs="宋体"/>
          <w:spacing w:val="1"/>
          <w:sz w:val="23"/>
          <w:szCs w:val="23"/>
        </w:rPr>
        <w:t>以上，且营业收入 300 万元及以上的为小型企业；从业人员 20 人以下或营业收</w:t>
      </w:r>
      <w:r>
        <w:rPr>
          <w:rFonts w:ascii="宋体" w:hAnsi="宋体" w:cs="宋体"/>
          <w:sz w:val="23"/>
          <w:szCs w:val="23"/>
        </w:rPr>
        <w:t xml:space="preserve"> </w:t>
      </w:r>
      <w:r>
        <w:rPr>
          <w:rFonts w:ascii="宋体" w:hAnsi="宋体" w:cs="宋体"/>
          <w:spacing w:val="1"/>
          <w:sz w:val="23"/>
          <w:szCs w:val="23"/>
        </w:rPr>
        <w:t xml:space="preserve">入 300 </w:t>
      </w:r>
      <w:r>
        <w:rPr>
          <w:rFonts w:ascii="宋体" w:hAnsi="宋体" w:cs="宋体"/>
          <w:sz w:val="23"/>
          <w:szCs w:val="23"/>
        </w:rPr>
        <w:t>万元以下的为微型企业。</w:t>
      </w:r>
    </w:p>
    <w:p>
      <w:pPr>
        <w:spacing w:before="3" w:line="374" w:lineRule="auto"/>
        <w:ind w:left="2" w:right="50" w:firstLine="458"/>
        <w:rPr>
          <w:rFonts w:ascii="宋体" w:hAnsi="宋体" w:cs="宋体"/>
          <w:sz w:val="23"/>
          <w:szCs w:val="23"/>
        </w:rPr>
      </w:pPr>
      <w:r>
        <w:rPr>
          <w:rFonts w:ascii="宋体" w:hAnsi="宋体" w:cs="宋体"/>
          <w:spacing w:val="6"/>
          <w:sz w:val="23"/>
          <w:szCs w:val="23"/>
        </w:rPr>
        <w:t>(三) 建筑业。营</w:t>
      </w:r>
      <w:r>
        <w:rPr>
          <w:rFonts w:ascii="宋体" w:hAnsi="宋体" w:cs="宋体"/>
          <w:spacing w:val="5"/>
          <w:sz w:val="23"/>
          <w:szCs w:val="23"/>
        </w:rPr>
        <w:t>业</w:t>
      </w:r>
      <w:r>
        <w:rPr>
          <w:rFonts w:ascii="宋体" w:hAnsi="宋体" w:cs="宋体"/>
          <w:spacing w:val="3"/>
          <w:sz w:val="23"/>
          <w:szCs w:val="23"/>
        </w:rPr>
        <w:t>收入 80000 万元以下或资产总额 80000 万元以下的为中小微型</w:t>
      </w:r>
      <w:r>
        <w:rPr>
          <w:rFonts w:ascii="宋体" w:hAnsi="宋体" w:cs="宋体"/>
          <w:sz w:val="23"/>
          <w:szCs w:val="23"/>
        </w:rPr>
        <w:t xml:space="preserve"> </w:t>
      </w:r>
      <w:r>
        <w:rPr>
          <w:rFonts w:ascii="宋体" w:hAnsi="宋体" w:cs="宋体"/>
          <w:spacing w:val="2"/>
          <w:sz w:val="23"/>
          <w:szCs w:val="23"/>
        </w:rPr>
        <w:t>企业。其中，营业收入 6000 万元及以上，且资产总额 5000</w:t>
      </w:r>
      <w:r>
        <w:rPr>
          <w:rFonts w:ascii="宋体" w:hAnsi="宋体" w:cs="宋体"/>
          <w:spacing w:val="1"/>
          <w:sz w:val="23"/>
          <w:szCs w:val="23"/>
        </w:rPr>
        <w:t xml:space="preserve"> 万元及以上的为中型企业；</w:t>
      </w:r>
      <w:r>
        <w:rPr>
          <w:rFonts w:ascii="宋体" w:hAnsi="宋体" w:cs="宋体"/>
          <w:sz w:val="23"/>
          <w:szCs w:val="23"/>
        </w:rPr>
        <w:t xml:space="preserve"> </w:t>
      </w:r>
      <w:r>
        <w:rPr>
          <w:rFonts w:ascii="宋体" w:hAnsi="宋体" w:cs="宋体"/>
          <w:spacing w:val="-2"/>
          <w:sz w:val="23"/>
          <w:szCs w:val="23"/>
        </w:rPr>
        <w:t xml:space="preserve">营业收入 300 万元及以上，且资产总额 </w:t>
      </w:r>
      <w:r>
        <w:rPr>
          <w:rFonts w:ascii="宋体" w:hAnsi="宋体" w:cs="宋体"/>
          <w:spacing w:val="-1"/>
          <w:sz w:val="23"/>
          <w:szCs w:val="23"/>
        </w:rPr>
        <w:t>300 万元及以上的为小型企业；营业收入 300 万</w:t>
      </w:r>
      <w:r>
        <w:rPr>
          <w:rFonts w:ascii="宋体" w:hAnsi="宋体" w:cs="宋体"/>
          <w:sz w:val="23"/>
          <w:szCs w:val="23"/>
        </w:rPr>
        <w:t xml:space="preserve"> </w:t>
      </w:r>
      <w:r>
        <w:rPr>
          <w:rFonts w:ascii="宋体" w:hAnsi="宋体" w:cs="宋体"/>
          <w:spacing w:val="4"/>
          <w:sz w:val="23"/>
          <w:szCs w:val="23"/>
        </w:rPr>
        <w:t>元</w:t>
      </w:r>
      <w:r>
        <w:rPr>
          <w:rFonts w:ascii="宋体" w:hAnsi="宋体" w:cs="宋体"/>
          <w:spacing w:val="3"/>
          <w:sz w:val="23"/>
          <w:szCs w:val="23"/>
        </w:rPr>
        <w:t>以下或资产总额 300 万元以下的为微型企业。</w:t>
      </w:r>
    </w:p>
    <w:p>
      <w:pPr>
        <w:spacing w:before="3" w:line="374" w:lineRule="auto"/>
        <w:ind w:left="1" w:firstLine="420"/>
        <w:rPr>
          <w:rFonts w:ascii="宋体" w:hAnsi="宋体" w:cs="宋体"/>
          <w:sz w:val="23"/>
          <w:szCs w:val="23"/>
        </w:rPr>
      </w:pPr>
      <w:r>
        <w:rPr>
          <w:rFonts w:ascii="宋体" w:hAnsi="宋体" w:cs="宋体"/>
          <w:spacing w:val="2"/>
          <w:sz w:val="23"/>
          <w:szCs w:val="23"/>
        </w:rPr>
        <w:t>(四) 批发业</w:t>
      </w:r>
      <w:r>
        <w:rPr>
          <w:rFonts w:ascii="宋体" w:hAnsi="宋体" w:cs="宋体"/>
          <w:spacing w:val="1"/>
          <w:sz w:val="23"/>
          <w:szCs w:val="23"/>
        </w:rPr>
        <w:t>。从业人员 200 人以下或营业收入 40000 万元以下的为中小微型企业。</w:t>
      </w:r>
      <w:r>
        <w:rPr>
          <w:rFonts w:ascii="宋体" w:hAnsi="宋体" w:cs="宋体"/>
          <w:sz w:val="23"/>
          <w:szCs w:val="23"/>
        </w:rPr>
        <w:t xml:space="preserve"> </w:t>
      </w:r>
      <w:r>
        <w:rPr>
          <w:rFonts w:ascii="宋体" w:hAnsi="宋体" w:cs="宋体"/>
          <w:spacing w:val="2"/>
          <w:sz w:val="23"/>
          <w:szCs w:val="23"/>
        </w:rPr>
        <w:t>其中，</w:t>
      </w:r>
      <w:r>
        <w:rPr>
          <w:rFonts w:ascii="宋体" w:hAnsi="宋体" w:cs="宋体"/>
          <w:spacing w:val="1"/>
          <w:sz w:val="23"/>
          <w:szCs w:val="23"/>
        </w:rPr>
        <w:t>从业人员 20 人及以上，且营业收入 5000 万元及以上的为中型企业；从业人员 5</w:t>
      </w:r>
      <w:r>
        <w:rPr>
          <w:rFonts w:ascii="宋体" w:hAnsi="宋体" w:cs="宋体"/>
          <w:sz w:val="23"/>
          <w:szCs w:val="23"/>
        </w:rPr>
        <w:t xml:space="preserve"> </w:t>
      </w:r>
      <w:r>
        <w:rPr>
          <w:rFonts w:ascii="宋体" w:hAnsi="宋体" w:cs="宋体"/>
          <w:spacing w:val="6"/>
          <w:sz w:val="23"/>
          <w:szCs w:val="23"/>
        </w:rPr>
        <w:t>人</w:t>
      </w:r>
      <w:r>
        <w:rPr>
          <w:rFonts w:ascii="宋体" w:hAnsi="宋体" w:cs="宋体"/>
          <w:spacing w:val="5"/>
          <w:sz w:val="23"/>
          <w:szCs w:val="23"/>
        </w:rPr>
        <w:t>及</w:t>
      </w:r>
      <w:r>
        <w:rPr>
          <w:rFonts w:ascii="宋体" w:hAnsi="宋体" w:cs="宋体"/>
          <w:spacing w:val="3"/>
          <w:sz w:val="23"/>
          <w:szCs w:val="23"/>
        </w:rPr>
        <w:t>以上，且营业收入 1000 万元及以上的为小型企业；从业人员 5 人以下或营业收入</w:t>
      </w:r>
      <w:r>
        <w:rPr>
          <w:rFonts w:ascii="宋体" w:hAnsi="宋体" w:cs="宋体"/>
          <w:sz w:val="23"/>
          <w:szCs w:val="23"/>
        </w:rPr>
        <w:t xml:space="preserve"> </w:t>
      </w:r>
      <w:r>
        <w:rPr>
          <w:rFonts w:ascii="宋体" w:hAnsi="宋体" w:cs="宋体"/>
          <w:spacing w:val="6"/>
          <w:sz w:val="23"/>
          <w:szCs w:val="23"/>
        </w:rPr>
        <w:t>10</w:t>
      </w:r>
      <w:r>
        <w:rPr>
          <w:rFonts w:ascii="宋体" w:hAnsi="宋体" w:cs="宋体"/>
          <w:spacing w:val="3"/>
          <w:sz w:val="23"/>
          <w:szCs w:val="23"/>
        </w:rPr>
        <w:t>00 万元以下的为微型企业。</w:t>
      </w:r>
    </w:p>
    <w:p>
      <w:pPr>
        <w:spacing w:before="3" w:line="374" w:lineRule="auto"/>
        <w:ind w:left="1" w:firstLine="420"/>
        <w:rPr>
          <w:rFonts w:ascii="宋体" w:hAnsi="宋体" w:cs="宋体"/>
          <w:sz w:val="23"/>
          <w:szCs w:val="23"/>
        </w:rPr>
      </w:pPr>
      <w:r>
        <w:rPr>
          <w:rFonts w:ascii="宋体" w:hAnsi="宋体" w:cs="宋体"/>
          <w:spacing w:val="2"/>
          <w:sz w:val="23"/>
          <w:szCs w:val="23"/>
        </w:rPr>
        <w:t>(五) 零售业</w:t>
      </w:r>
      <w:r>
        <w:rPr>
          <w:rFonts w:ascii="宋体" w:hAnsi="宋体" w:cs="宋体"/>
          <w:spacing w:val="1"/>
          <w:sz w:val="23"/>
          <w:szCs w:val="23"/>
        </w:rPr>
        <w:t>。从业人员 300 人以下或营业收入 20000 万元以下的为中小微型企业。</w:t>
      </w:r>
      <w:r>
        <w:rPr>
          <w:rFonts w:ascii="宋体" w:hAnsi="宋体" w:cs="宋体"/>
          <w:sz w:val="23"/>
          <w:szCs w:val="23"/>
        </w:rPr>
        <w:t xml:space="preserve"> </w:t>
      </w:r>
      <w:r>
        <w:rPr>
          <w:rFonts w:ascii="宋体" w:hAnsi="宋体" w:cs="宋体"/>
          <w:spacing w:val="2"/>
          <w:sz w:val="23"/>
          <w:szCs w:val="23"/>
        </w:rPr>
        <w:t>其中，</w:t>
      </w:r>
      <w:r>
        <w:rPr>
          <w:rFonts w:ascii="宋体" w:hAnsi="宋体" w:cs="宋体"/>
          <w:spacing w:val="1"/>
          <w:sz w:val="23"/>
          <w:szCs w:val="23"/>
        </w:rPr>
        <w:t>从业人员 50 人及以上，且营业收入 500 万元及以上的为中型企业；从业人员 10</w:t>
      </w:r>
      <w:r>
        <w:rPr>
          <w:rFonts w:ascii="宋体" w:hAnsi="宋体" w:cs="宋体"/>
          <w:sz w:val="23"/>
          <w:szCs w:val="23"/>
        </w:rPr>
        <w:t xml:space="preserve"> </w:t>
      </w:r>
      <w:r>
        <w:rPr>
          <w:rFonts w:ascii="宋体" w:hAnsi="宋体" w:cs="宋体"/>
          <w:spacing w:val="6"/>
          <w:sz w:val="23"/>
          <w:szCs w:val="23"/>
        </w:rPr>
        <w:t>人</w:t>
      </w:r>
      <w:r>
        <w:rPr>
          <w:rFonts w:ascii="宋体" w:hAnsi="宋体" w:cs="宋体"/>
          <w:spacing w:val="5"/>
          <w:sz w:val="23"/>
          <w:szCs w:val="23"/>
        </w:rPr>
        <w:t>及</w:t>
      </w:r>
      <w:r>
        <w:rPr>
          <w:rFonts w:ascii="宋体" w:hAnsi="宋体" w:cs="宋体"/>
          <w:spacing w:val="3"/>
          <w:sz w:val="23"/>
          <w:szCs w:val="23"/>
        </w:rPr>
        <w:t>以上，且营业收入 100 万元及以上的为小型企业；从业人员 10 人以下或营业收入</w:t>
      </w:r>
      <w:r>
        <w:rPr>
          <w:rFonts w:ascii="宋体" w:hAnsi="宋体" w:cs="宋体"/>
          <w:sz w:val="23"/>
          <w:szCs w:val="23"/>
        </w:rPr>
        <w:t xml:space="preserve"> </w:t>
      </w:r>
      <w:r>
        <w:rPr>
          <w:rFonts w:ascii="宋体" w:hAnsi="宋体" w:cs="宋体"/>
          <w:spacing w:val="6"/>
          <w:sz w:val="23"/>
          <w:szCs w:val="23"/>
        </w:rPr>
        <w:t>1</w:t>
      </w:r>
      <w:r>
        <w:rPr>
          <w:rFonts w:ascii="宋体" w:hAnsi="宋体" w:cs="宋体"/>
          <w:spacing w:val="4"/>
          <w:sz w:val="23"/>
          <w:szCs w:val="23"/>
        </w:rPr>
        <w:t>0</w:t>
      </w:r>
      <w:r>
        <w:rPr>
          <w:rFonts w:ascii="宋体" w:hAnsi="宋体" w:cs="宋体"/>
          <w:spacing w:val="3"/>
          <w:sz w:val="23"/>
          <w:szCs w:val="23"/>
        </w:rPr>
        <w:t>0 万元以下的为微型企业。</w:t>
      </w:r>
    </w:p>
    <w:p>
      <w:pPr>
        <w:spacing w:before="3" w:line="374" w:lineRule="auto"/>
        <w:ind w:left="3" w:right="80" w:firstLine="488"/>
        <w:rPr>
          <w:rFonts w:ascii="宋体" w:hAnsi="宋体" w:cs="宋体"/>
          <w:sz w:val="23"/>
          <w:szCs w:val="23"/>
        </w:rPr>
      </w:pPr>
      <w:r>
        <w:rPr>
          <w:rFonts w:ascii="宋体" w:hAnsi="宋体" w:cs="宋体"/>
          <w:spacing w:val="10"/>
          <w:sz w:val="23"/>
          <w:szCs w:val="23"/>
        </w:rPr>
        <w:t>(六) 交</w:t>
      </w:r>
      <w:r>
        <w:rPr>
          <w:rFonts w:ascii="宋体" w:hAnsi="宋体" w:cs="宋体"/>
          <w:spacing w:val="7"/>
          <w:sz w:val="23"/>
          <w:szCs w:val="23"/>
        </w:rPr>
        <w:t>通</w:t>
      </w:r>
      <w:r>
        <w:rPr>
          <w:rFonts w:ascii="宋体" w:hAnsi="宋体" w:cs="宋体"/>
          <w:spacing w:val="5"/>
          <w:sz w:val="23"/>
          <w:szCs w:val="23"/>
        </w:rPr>
        <w:t>运输业。从业人员 1000 人以下或营业收入 30000 万元以下的为中小微</w:t>
      </w:r>
      <w:r>
        <w:rPr>
          <w:rFonts w:ascii="宋体" w:hAnsi="宋体" w:cs="宋体"/>
          <w:sz w:val="23"/>
          <w:szCs w:val="23"/>
        </w:rPr>
        <w:t xml:space="preserve"> </w:t>
      </w:r>
      <w:r>
        <w:rPr>
          <w:rFonts w:ascii="宋体" w:hAnsi="宋体" w:cs="宋体"/>
          <w:spacing w:val="6"/>
          <w:sz w:val="23"/>
          <w:szCs w:val="23"/>
        </w:rPr>
        <w:t>型企业。其中</w:t>
      </w:r>
      <w:r>
        <w:rPr>
          <w:rFonts w:ascii="宋体" w:hAnsi="宋体" w:cs="宋体"/>
          <w:spacing w:val="4"/>
          <w:sz w:val="23"/>
          <w:szCs w:val="23"/>
        </w:rPr>
        <w:t>，</w:t>
      </w:r>
      <w:r>
        <w:rPr>
          <w:rFonts w:ascii="宋体" w:hAnsi="宋体" w:cs="宋体"/>
          <w:spacing w:val="3"/>
          <w:sz w:val="23"/>
          <w:szCs w:val="23"/>
        </w:rPr>
        <w:t>从业人员 300 人及以上，且营业收入 3000 万元及以上的为中型企业；</w:t>
      </w:r>
      <w:r>
        <w:rPr>
          <w:rFonts w:ascii="宋体" w:hAnsi="宋体" w:cs="宋体"/>
          <w:sz w:val="23"/>
          <w:szCs w:val="23"/>
        </w:rPr>
        <w:t xml:space="preserve"> </w:t>
      </w:r>
      <w:r>
        <w:rPr>
          <w:rFonts w:ascii="宋体" w:hAnsi="宋体" w:cs="宋体"/>
          <w:spacing w:val="-2"/>
          <w:sz w:val="23"/>
          <w:szCs w:val="23"/>
        </w:rPr>
        <w:t xml:space="preserve">从业人员 20 人及以上，且营业收入 200 </w:t>
      </w:r>
      <w:r>
        <w:rPr>
          <w:rFonts w:ascii="宋体" w:hAnsi="宋体" w:cs="宋体"/>
          <w:spacing w:val="-1"/>
          <w:sz w:val="23"/>
          <w:szCs w:val="23"/>
        </w:rPr>
        <w:t>万元及以上的为小型企业；从业人员 20 人以下</w:t>
      </w:r>
      <w:r>
        <w:rPr>
          <w:rFonts w:ascii="宋体" w:hAnsi="宋体" w:cs="宋体"/>
          <w:sz w:val="23"/>
          <w:szCs w:val="23"/>
        </w:rPr>
        <w:t xml:space="preserve"> </w:t>
      </w:r>
      <w:r>
        <w:rPr>
          <w:rFonts w:ascii="宋体" w:hAnsi="宋体" w:cs="宋体"/>
          <w:spacing w:val="2"/>
          <w:sz w:val="23"/>
          <w:szCs w:val="23"/>
        </w:rPr>
        <w:t>或营业收入 200 万元以下的为微型企业。</w:t>
      </w:r>
    </w:p>
    <w:p>
      <w:pPr>
        <w:spacing w:before="1" w:line="375" w:lineRule="auto"/>
        <w:ind w:firstLine="422"/>
        <w:rPr>
          <w:rFonts w:ascii="宋体" w:hAnsi="宋体" w:cs="宋体"/>
          <w:sz w:val="23"/>
          <w:szCs w:val="23"/>
        </w:rPr>
      </w:pPr>
      <w:r>
        <w:rPr>
          <w:rFonts w:ascii="宋体" w:hAnsi="宋体" w:cs="宋体"/>
          <w:spacing w:val="2"/>
          <w:sz w:val="23"/>
          <w:szCs w:val="23"/>
        </w:rPr>
        <w:t>(七) 仓储业</w:t>
      </w:r>
      <w:r>
        <w:rPr>
          <w:rFonts w:ascii="宋体" w:hAnsi="宋体" w:cs="宋体"/>
          <w:spacing w:val="1"/>
          <w:sz w:val="23"/>
          <w:szCs w:val="23"/>
        </w:rPr>
        <w:t>。从业人员 200 人以下或营业收入 30000 万元以下的为中小微型企业。</w:t>
      </w:r>
      <w:r>
        <w:rPr>
          <w:rFonts w:ascii="宋体" w:hAnsi="宋体" w:cs="宋体"/>
          <w:sz w:val="23"/>
          <w:szCs w:val="23"/>
        </w:rPr>
        <w:t xml:space="preserve"> </w:t>
      </w:r>
      <w:r>
        <w:rPr>
          <w:rFonts w:ascii="宋体" w:hAnsi="宋体" w:cs="宋体"/>
          <w:spacing w:val="6"/>
          <w:sz w:val="23"/>
          <w:szCs w:val="23"/>
        </w:rPr>
        <w:t>其</w:t>
      </w:r>
      <w:r>
        <w:rPr>
          <w:rFonts w:ascii="宋体" w:hAnsi="宋体" w:cs="宋体"/>
          <w:spacing w:val="4"/>
          <w:sz w:val="23"/>
          <w:szCs w:val="23"/>
        </w:rPr>
        <w:t>中</w:t>
      </w:r>
      <w:r>
        <w:rPr>
          <w:rFonts w:ascii="宋体" w:hAnsi="宋体" w:cs="宋体"/>
          <w:spacing w:val="3"/>
          <w:sz w:val="23"/>
          <w:szCs w:val="23"/>
        </w:rPr>
        <w:t>，从业人员 100 人及以上，且营业收入 1000 万元及以上的为中型企业；从业人员</w:t>
      </w:r>
      <w:r>
        <w:rPr>
          <w:rFonts w:ascii="宋体" w:hAnsi="宋体" w:cs="宋体"/>
          <w:sz w:val="23"/>
          <w:szCs w:val="23"/>
        </w:rPr>
        <w:t xml:space="preserve"> </w:t>
      </w:r>
      <w:r>
        <w:rPr>
          <w:rFonts w:ascii="宋体" w:hAnsi="宋体" w:cs="宋体"/>
          <w:spacing w:val="2"/>
          <w:sz w:val="23"/>
          <w:szCs w:val="23"/>
        </w:rPr>
        <w:t>20 人及</w:t>
      </w:r>
      <w:r>
        <w:rPr>
          <w:rFonts w:ascii="宋体" w:hAnsi="宋体" w:cs="宋体"/>
          <w:spacing w:val="1"/>
          <w:sz w:val="23"/>
          <w:szCs w:val="23"/>
        </w:rPr>
        <w:t>以上，且营业收入 100 万元及以上的为小型企业；从业人员 20 人以下或营业收</w:t>
      </w:r>
      <w:r>
        <w:rPr>
          <w:rFonts w:ascii="宋体" w:hAnsi="宋体" w:cs="宋体"/>
          <w:sz w:val="23"/>
          <w:szCs w:val="23"/>
        </w:rPr>
        <w:t xml:space="preserve"> </w:t>
      </w:r>
      <w:r>
        <w:rPr>
          <w:rFonts w:ascii="宋体" w:hAnsi="宋体" w:cs="宋体"/>
          <w:spacing w:val="1"/>
          <w:sz w:val="23"/>
          <w:szCs w:val="23"/>
        </w:rPr>
        <w:t xml:space="preserve">入 100 </w:t>
      </w:r>
      <w:r>
        <w:rPr>
          <w:rFonts w:ascii="宋体" w:hAnsi="宋体" w:cs="宋体"/>
          <w:sz w:val="23"/>
          <w:szCs w:val="23"/>
        </w:rPr>
        <w:t>万元以下的为微型企业。</w:t>
      </w:r>
    </w:p>
    <w:p>
      <w:pPr>
        <w:spacing w:before="1" w:line="374" w:lineRule="auto"/>
        <w:ind w:right="80" w:firstLine="492"/>
        <w:rPr>
          <w:rFonts w:ascii="宋体" w:hAnsi="宋体" w:cs="宋体"/>
          <w:sz w:val="23"/>
          <w:szCs w:val="23"/>
        </w:rPr>
      </w:pPr>
      <w:r>
        <w:rPr>
          <w:rFonts w:ascii="宋体" w:hAnsi="宋体" w:cs="宋体"/>
          <w:spacing w:val="10"/>
          <w:sz w:val="23"/>
          <w:szCs w:val="23"/>
        </w:rPr>
        <w:t>(八) 邮</w:t>
      </w:r>
      <w:r>
        <w:rPr>
          <w:rFonts w:ascii="宋体" w:hAnsi="宋体" w:cs="宋体"/>
          <w:spacing w:val="7"/>
          <w:sz w:val="23"/>
          <w:szCs w:val="23"/>
        </w:rPr>
        <w:t>政</w:t>
      </w:r>
      <w:r>
        <w:rPr>
          <w:rFonts w:ascii="宋体" w:hAnsi="宋体" w:cs="宋体"/>
          <w:spacing w:val="5"/>
          <w:sz w:val="23"/>
          <w:szCs w:val="23"/>
        </w:rPr>
        <w:t>业。从业人员 1000 人以下或营业收入 30000 万元以下的为中小微型企</w:t>
      </w:r>
      <w:r>
        <w:rPr>
          <w:rFonts w:ascii="宋体" w:hAnsi="宋体" w:cs="宋体"/>
          <w:sz w:val="23"/>
          <w:szCs w:val="23"/>
        </w:rPr>
        <w:t xml:space="preserve"> </w:t>
      </w:r>
      <w:r>
        <w:rPr>
          <w:rFonts w:ascii="宋体" w:hAnsi="宋体" w:cs="宋体"/>
          <w:spacing w:val="6"/>
          <w:sz w:val="23"/>
          <w:szCs w:val="23"/>
        </w:rPr>
        <w:t>业。其中，从业人员 3</w:t>
      </w:r>
      <w:r>
        <w:rPr>
          <w:rFonts w:ascii="宋体" w:hAnsi="宋体" w:cs="宋体"/>
          <w:spacing w:val="3"/>
          <w:sz w:val="23"/>
          <w:szCs w:val="23"/>
        </w:rPr>
        <w:t>00 人及以上，且营业收入 2000 万元及以上的为中型企业；从业</w:t>
      </w:r>
      <w:r>
        <w:rPr>
          <w:rFonts w:ascii="宋体" w:hAnsi="宋体" w:cs="宋体"/>
          <w:sz w:val="23"/>
          <w:szCs w:val="23"/>
        </w:rPr>
        <w:t xml:space="preserve"> </w:t>
      </w:r>
      <w:r>
        <w:rPr>
          <w:rFonts w:ascii="宋体" w:hAnsi="宋体" w:cs="宋体"/>
          <w:spacing w:val="-2"/>
          <w:sz w:val="23"/>
          <w:szCs w:val="23"/>
        </w:rPr>
        <w:t>人员 20 人及以上，且营业收入 10</w:t>
      </w:r>
      <w:r>
        <w:rPr>
          <w:rFonts w:ascii="宋体" w:hAnsi="宋体" w:cs="宋体"/>
          <w:spacing w:val="-1"/>
          <w:sz w:val="23"/>
          <w:szCs w:val="23"/>
        </w:rPr>
        <w:t>0 万元及以上的为小型企业；从业人员 20 人以下或营</w:t>
      </w:r>
      <w:r>
        <w:rPr>
          <w:rFonts w:ascii="宋体" w:hAnsi="宋体" w:cs="宋体"/>
          <w:sz w:val="23"/>
          <w:szCs w:val="23"/>
        </w:rPr>
        <w:t xml:space="preserve"> </w:t>
      </w:r>
      <w:r>
        <w:rPr>
          <w:rFonts w:ascii="宋体" w:hAnsi="宋体" w:cs="宋体"/>
          <w:spacing w:val="2"/>
          <w:sz w:val="23"/>
          <w:szCs w:val="23"/>
        </w:rPr>
        <w:t>业收入 100</w:t>
      </w:r>
      <w:r>
        <w:rPr>
          <w:rFonts w:ascii="宋体" w:hAnsi="宋体" w:cs="宋体"/>
          <w:spacing w:val="1"/>
          <w:sz w:val="23"/>
          <w:szCs w:val="23"/>
        </w:rPr>
        <w:t xml:space="preserve"> 万元以下的为微型企业。</w:t>
      </w:r>
    </w:p>
    <w:p>
      <w:pPr>
        <w:spacing w:before="2" w:line="375" w:lineRule="auto"/>
        <w:ind w:left="1" w:firstLine="420"/>
        <w:rPr>
          <w:rFonts w:ascii="宋体" w:hAnsi="宋体" w:cs="宋体"/>
          <w:sz w:val="23"/>
          <w:szCs w:val="23"/>
        </w:rPr>
      </w:pPr>
      <w:r>
        <w:rPr>
          <w:rFonts w:ascii="宋体" w:hAnsi="宋体" w:cs="宋体"/>
          <w:spacing w:val="2"/>
          <w:sz w:val="23"/>
          <w:szCs w:val="23"/>
        </w:rPr>
        <w:t>(九) 住宿业</w:t>
      </w:r>
      <w:r>
        <w:rPr>
          <w:rFonts w:ascii="宋体" w:hAnsi="宋体" w:cs="宋体"/>
          <w:spacing w:val="1"/>
          <w:sz w:val="23"/>
          <w:szCs w:val="23"/>
        </w:rPr>
        <w:t>。从业人员 300 人以下或营业收入 10000 万元以下的为中小微型企业。</w:t>
      </w:r>
      <w:r>
        <w:rPr>
          <w:rFonts w:ascii="宋体" w:hAnsi="宋体" w:cs="宋体"/>
          <w:sz w:val="23"/>
          <w:szCs w:val="23"/>
        </w:rPr>
        <w:t xml:space="preserve"> </w:t>
      </w:r>
      <w:r>
        <w:rPr>
          <w:rFonts w:ascii="宋体" w:hAnsi="宋体" w:cs="宋体"/>
          <w:spacing w:val="5"/>
          <w:sz w:val="23"/>
          <w:szCs w:val="23"/>
        </w:rPr>
        <w:t>其</w:t>
      </w:r>
      <w:r>
        <w:rPr>
          <w:rFonts w:ascii="宋体" w:hAnsi="宋体" w:cs="宋体"/>
          <w:spacing w:val="3"/>
          <w:sz w:val="23"/>
          <w:szCs w:val="23"/>
        </w:rPr>
        <w:t>中，从业人员 100 人及以上，且营业收入 2000 万元及以上的为中型企业；从业人员</w:t>
      </w:r>
    </w:p>
    <w:p>
      <w:pPr>
        <w:spacing w:line="227" w:lineRule="auto"/>
        <w:ind w:left="18"/>
        <w:rPr>
          <w:rFonts w:ascii="宋体" w:hAnsi="宋体" w:cs="宋体"/>
          <w:sz w:val="23"/>
          <w:szCs w:val="23"/>
        </w:rPr>
      </w:pPr>
      <w:r>
        <w:rPr>
          <w:rFonts w:ascii="宋体" w:hAnsi="宋体" w:cs="宋体"/>
          <w:spacing w:val="1"/>
          <w:sz w:val="23"/>
          <w:szCs w:val="23"/>
        </w:rPr>
        <w:t>10 人及以上，且营业收入 100 万元及以上的为小型企业；从</w:t>
      </w:r>
      <w:r>
        <w:rPr>
          <w:rFonts w:ascii="宋体" w:hAnsi="宋体" w:cs="宋体"/>
          <w:sz w:val="23"/>
          <w:szCs w:val="23"/>
        </w:rPr>
        <w:t>业人员 10 人以下或营业收</w:t>
      </w:r>
    </w:p>
    <w:p>
      <w:pPr>
        <w:sectPr>
          <w:footerReference r:id="rId12" w:type="default"/>
          <w:pgSz w:w="11910" w:h="16840"/>
          <w:pgMar w:top="1426" w:right="1360" w:bottom="1470" w:left="1448" w:header="0" w:footer="1293" w:gutter="0"/>
          <w:pgNumType w:fmt="decimal"/>
          <w:cols w:space="720" w:num="1"/>
        </w:sectPr>
      </w:pPr>
    </w:p>
    <w:p>
      <w:pPr>
        <w:spacing w:before="48" w:line="227" w:lineRule="auto"/>
        <w:rPr>
          <w:rFonts w:ascii="宋体" w:hAnsi="宋体" w:cs="宋体"/>
          <w:sz w:val="23"/>
          <w:szCs w:val="23"/>
        </w:rPr>
      </w:pPr>
      <w:r>
        <w:rPr>
          <w:rFonts w:ascii="宋体" w:hAnsi="宋体" w:cs="宋体"/>
          <w:spacing w:val="1"/>
          <w:sz w:val="23"/>
          <w:szCs w:val="23"/>
        </w:rPr>
        <w:t xml:space="preserve">入 100 </w:t>
      </w:r>
      <w:r>
        <w:rPr>
          <w:rFonts w:ascii="宋体" w:hAnsi="宋体" w:cs="宋体"/>
          <w:sz w:val="23"/>
          <w:szCs w:val="23"/>
        </w:rPr>
        <w:t>万元以下的为微型企业。</w:t>
      </w:r>
    </w:p>
    <w:p>
      <w:pPr>
        <w:spacing w:before="183" w:line="375" w:lineRule="auto"/>
        <w:ind w:firstLine="422"/>
        <w:rPr>
          <w:rFonts w:ascii="宋体" w:hAnsi="宋体" w:cs="宋体"/>
          <w:sz w:val="23"/>
          <w:szCs w:val="23"/>
        </w:rPr>
      </w:pPr>
      <w:r>
        <w:rPr>
          <w:rFonts w:ascii="宋体" w:hAnsi="宋体" w:cs="宋体"/>
          <w:spacing w:val="2"/>
          <w:sz w:val="23"/>
          <w:szCs w:val="23"/>
        </w:rPr>
        <w:t>(十) 餐饮业</w:t>
      </w:r>
      <w:r>
        <w:rPr>
          <w:rFonts w:ascii="宋体" w:hAnsi="宋体" w:cs="宋体"/>
          <w:spacing w:val="1"/>
          <w:sz w:val="23"/>
          <w:szCs w:val="23"/>
        </w:rPr>
        <w:t>。从业人员 300 人以下或营业收入 10000 万元以下的为中小微型企业。</w:t>
      </w:r>
      <w:r>
        <w:rPr>
          <w:rFonts w:ascii="宋体" w:hAnsi="宋体" w:cs="宋体"/>
          <w:sz w:val="23"/>
          <w:szCs w:val="23"/>
        </w:rPr>
        <w:t xml:space="preserve"> </w:t>
      </w:r>
      <w:r>
        <w:rPr>
          <w:rFonts w:ascii="宋体" w:hAnsi="宋体" w:cs="宋体"/>
          <w:spacing w:val="6"/>
          <w:sz w:val="23"/>
          <w:szCs w:val="23"/>
        </w:rPr>
        <w:t>其</w:t>
      </w:r>
      <w:r>
        <w:rPr>
          <w:rFonts w:ascii="宋体" w:hAnsi="宋体" w:cs="宋体"/>
          <w:spacing w:val="4"/>
          <w:sz w:val="23"/>
          <w:szCs w:val="23"/>
        </w:rPr>
        <w:t>中</w:t>
      </w:r>
      <w:r>
        <w:rPr>
          <w:rFonts w:ascii="宋体" w:hAnsi="宋体" w:cs="宋体"/>
          <w:spacing w:val="3"/>
          <w:sz w:val="23"/>
          <w:szCs w:val="23"/>
        </w:rPr>
        <w:t>，从业人员 100 人及以上，且营业收入 2000 万元及以上的为中型企业；从业人员</w:t>
      </w:r>
      <w:r>
        <w:rPr>
          <w:rFonts w:ascii="宋体" w:hAnsi="宋体" w:cs="宋体"/>
          <w:sz w:val="23"/>
          <w:szCs w:val="23"/>
        </w:rPr>
        <w:t xml:space="preserve"> </w:t>
      </w:r>
      <w:r>
        <w:rPr>
          <w:rFonts w:ascii="宋体" w:hAnsi="宋体" w:cs="宋体"/>
          <w:spacing w:val="2"/>
          <w:sz w:val="23"/>
          <w:szCs w:val="23"/>
        </w:rPr>
        <w:t>10 人及</w:t>
      </w:r>
      <w:r>
        <w:rPr>
          <w:rFonts w:ascii="宋体" w:hAnsi="宋体" w:cs="宋体"/>
          <w:spacing w:val="1"/>
          <w:sz w:val="23"/>
          <w:szCs w:val="23"/>
        </w:rPr>
        <w:t>以上，且营业收入 100 万元及以上的为小型企业；从业人员 10 人以下或营业收</w:t>
      </w:r>
      <w:r>
        <w:rPr>
          <w:rFonts w:ascii="宋体" w:hAnsi="宋体" w:cs="宋体"/>
          <w:sz w:val="23"/>
          <w:szCs w:val="23"/>
        </w:rPr>
        <w:t xml:space="preserve"> </w:t>
      </w:r>
      <w:r>
        <w:rPr>
          <w:rFonts w:ascii="宋体" w:hAnsi="宋体" w:cs="宋体"/>
          <w:spacing w:val="1"/>
          <w:sz w:val="23"/>
          <w:szCs w:val="23"/>
        </w:rPr>
        <w:t xml:space="preserve">入 100 </w:t>
      </w:r>
      <w:r>
        <w:rPr>
          <w:rFonts w:ascii="宋体" w:hAnsi="宋体" w:cs="宋体"/>
          <w:sz w:val="23"/>
          <w:szCs w:val="23"/>
        </w:rPr>
        <w:t>万元以下的为微型企业。</w:t>
      </w:r>
    </w:p>
    <w:p>
      <w:pPr>
        <w:spacing w:before="3" w:line="374" w:lineRule="auto"/>
        <w:ind w:right="21" w:firstLine="460"/>
        <w:rPr>
          <w:rFonts w:ascii="宋体" w:hAnsi="宋体" w:cs="宋体"/>
          <w:sz w:val="23"/>
          <w:szCs w:val="23"/>
        </w:rPr>
      </w:pPr>
      <w:r>
        <w:rPr>
          <w:rFonts w:ascii="宋体" w:hAnsi="宋体" w:cs="宋体"/>
          <w:spacing w:val="6"/>
          <w:sz w:val="23"/>
          <w:szCs w:val="23"/>
        </w:rPr>
        <w:t>(十一) 信息传输</w:t>
      </w:r>
      <w:r>
        <w:rPr>
          <w:rFonts w:ascii="宋体" w:hAnsi="宋体" w:cs="宋体"/>
          <w:spacing w:val="5"/>
          <w:sz w:val="23"/>
          <w:szCs w:val="23"/>
        </w:rPr>
        <w:t>业</w:t>
      </w:r>
      <w:r>
        <w:rPr>
          <w:rFonts w:ascii="宋体" w:hAnsi="宋体" w:cs="宋体"/>
          <w:spacing w:val="3"/>
          <w:sz w:val="23"/>
          <w:szCs w:val="23"/>
        </w:rPr>
        <w:t>。从业人员 2000 人以下或营业收入 100000 万元以下的为中小</w:t>
      </w:r>
      <w:r>
        <w:rPr>
          <w:rFonts w:ascii="宋体" w:hAnsi="宋体" w:cs="宋体"/>
          <w:sz w:val="23"/>
          <w:szCs w:val="23"/>
        </w:rPr>
        <w:t xml:space="preserve"> </w:t>
      </w:r>
      <w:r>
        <w:rPr>
          <w:rFonts w:ascii="宋体" w:hAnsi="宋体" w:cs="宋体"/>
          <w:spacing w:val="-1"/>
          <w:sz w:val="23"/>
          <w:szCs w:val="23"/>
        </w:rPr>
        <w:t>微型企业。其中</w:t>
      </w:r>
      <w:r>
        <w:rPr>
          <w:rFonts w:ascii="宋体" w:hAnsi="宋体" w:cs="宋体"/>
          <w:sz w:val="23"/>
          <w:szCs w:val="23"/>
        </w:rPr>
        <w:t xml:space="preserve">，从业人员 100 人及以上，且营业收入 1000 万元及以上的为中型企业； </w:t>
      </w:r>
      <w:r>
        <w:rPr>
          <w:rFonts w:ascii="宋体" w:hAnsi="宋体" w:cs="宋体"/>
          <w:spacing w:val="-2"/>
          <w:sz w:val="23"/>
          <w:szCs w:val="23"/>
        </w:rPr>
        <w:t>从业人员 10 人及以上，且营业收入 1</w:t>
      </w:r>
      <w:r>
        <w:rPr>
          <w:rFonts w:ascii="宋体" w:hAnsi="宋体" w:cs="宋体"/>
          <w:spacing w:val="-1"/>
          <w:sz w:val="23"/>
          <w:szCs w:val="23"/>
        </w:rPr>
        <w:t>00 万元及以上的为小型企业；从业人员 10 人以下</w:t>
      </w:r>
      <w:r>
        <w:rPr>
          <w:rFonts w:ascii="宋体" w:hAnsi="宋体" w:cs="宋体"/>
          <w:sz w:val="23"/>
          <w:szCs w:val="23"/>
        </w:rPr>
        <w:t xml:space="preserve"> </w:t>
      </w:r>
      <w:r>
        <w:rPr>
          <w:rFonts w:ascii="宋体" w:hAnsi="宋体" w:cs="宋体"/>
          <w:spacing w:val="4"/>
          <w:sz w:val="23"/>
          <w:szCs w:val="23"/>
        </w:rPr>
        <w:t>或</w:t>
      </w:r>
      <w:r>
        <w:rPr>
          <w:rFonts w:ascii="宋体" w:hAnsi="宋体" w:cs="宋体"/>
          <w:spacing w:val="3"/>
          <w:sz w:val="23"/>
          <w:szCs w:val="23"/>
        </w:rPr>
        <w:t>营</w:t>
      </w:r>
      <w:r>
        <w:rPr>
          <w:rFonts w:ascii="宋体" w:hAnsi="宋体" w:cs="宋体"/>
          <w:spacing w:val="2"/>
          <w:sz w:val="23"/>
          <w:szCs w:val="23"/>
        </w:rPr>
        <w:t>业收入 100 万元以下的为微型企业。</w:t>
      </w:r>
    </w:p>
    <w:p>
      <w:pPr>
        <w:spacing w:before="3" w:line="374" w:lineRule="auto"/>
        <w:ind w:left="18" w:right="80" w:firstLine="442"/>
        <w:rPr>
          <w:rFonts w:ascii="宋体" w:hAnsi="宋体" w:cs="宋体"/>
          <w:sz w:val="23"/>
          <w:szCs w:val="23"/>
        </w:rPr>
      </w:pPr>
      <w:r>
        <w:rPr>
          <w:rFonts w:ascii="宋体" w:hAnsi="宋体" w:cs="宋体"/>
          <w:spacing w:val="6"/>
          <w:sz w:val="23"/>
          <w:szCs w:val="23"/>
        </w:rPr>
        <w:t>(十二) 软件和信息</w:t>
      </w:r>
      <w:r>
        <w:rPr>
          <w:rFonts w:ascii="宋体" w:hAnsi="宋体" w:cs="宋体"/>
          <w:spacing w:val="5"/>
          <w:sz w:val="23"/>
          <w:szCs w:val="23"/>
        </w:rPr>
        <w:t>技</w:t>
      </w:r>
      <w:r>
        <w:rPr>
          <w:rFonts w:ascii="宋体" w:hAnsi="宋体" w:cs="宋体"/>
          <w:spacing w:val="3"/>
          <w:sz w:val="23"/>
          <w:szCs w:val="23"/>
        </w:rPr>
        <w:t>术服务业。从业人员 300 人以下或营业收入 10000 万元以下</w:t>
      </w:r>
      <w:r>
        <w:rPr>
          <w:rFonts w:ascii="宋体" w:hAnsi="宋体" w:cs="宋体"/>
          <w:sz w:val="23"/>
          <w:szCs w:val="23"/>
        </w:rPr>
        <w:t xml:space="preserve"> </w:t>
      </w:r>
      <w:r>
        <w:rPr>
          <w:rFonts w:ascii="宋体" w:hAnsi="宋体" w:cs="宋体"/>
          <w:spacing w:val="6"/>
          <w:sz w:val="23"/>
          <w:szCs w:val="23"/>
        </w:rPr>
        <w:t>的为中小</w:t>
      </w:r>
      <w:r>
        <w:rPr>
          <w:rFonts w:ascii="宋体" w:hAnsi="宋体" w:cs="宋体"/>
          <w:spacing w:val="5"/>
          <w:sz w:val="23"/>
          <w:szCs w:val="23"/>
        </w:rPr>
        <w:t>微</w:t>
      </w:r>
      <w:r>
        <w:rPr>
          <w:rFonts w:ascii="宋体" w:hAnsi="宋体" w:cs="宋体"/>
          <w:spacing w:val="3"/>
          <w:sz w:val="23"/>
          <w:szCs w:val="23"/>
        </w:rPr>
        <w:t>型企业。其中，从业人员 100 人及以上，且营业收入 1000 万元及以上的为</w:t>
      </w:r>
      <w:r>
        <w:rPr>
          <w:rFonts w:ascii="宋体" w:hAnsi="宋体" w:cs="宋体"/>
          <w:sz w:val="23"/>
          <w:szCs w:val="23"/>
        </w:rPr>
        <w:t xml:space="preserve"> </w:t>
      </w:r>
      <w:r>
        <w:rPr>
          <w:rFonts w:ascii="宋体" w:hAnsi="宋体" w:cs="宋体"/>
          <w:spacing w:val="1"/>
          <w:sz w:val="23"/>
          <w:szCs w:val="23"/>
        </w:rPr>
        <w:t>中型企业；从业人员 10 人及以上，且营业收入 50 万元及以</w:t>
      </w:r>
      <w:r>
        <w:rPr>
          <w:rFonts w:ascii="宋体" w:hAnsi="宋体" w:cs="宋体"/>
          <w:sz w:val="23"/>
          <w:szCs w:val="23"/>
        </w:rPr>
        <w:t xml:space="preserve">上的为小型企业；从业人员 </w:t>
      </w:r>
      <w:r>
        <w:rPr>
          <w:rFonts w:ascii="宋体" w:hAnsi="宋体" w:cs="宋体"/>
          <w:spacing w:val="1"/>
          <w:sz w:val="23"/>
          <w:szCs w:val="23"/>
        </w:rPr>
        <w:t>10 人以下或</w:t>
      </w:r>
      <w:r>
        <w:rPr>
          <w:rFonts w:ascii="宋体" w:hAnsi="宋体" w:cs="宋体"/>
          <w:sz w:val="23"/>
          <w:szCs w:val="23"/>
        </w:rPr>
        <w:t>营业收入 50 万元以下的为微型企业。</w:t>
      </w:r>
    </w:p>
    <w:p>
      <w:pPr>
        <w:spacing w:before="3" w:line="374" w:lineRule="auto"/>
        <w:ind w:left="3" w:right="80" w:firstLine="488"/>
        <w:rPr>
          <w:rFonts w:ascii="宋体" w:hAnsi="宋体" w:cs="宋体"/>
          <w:sz w:val="23"/>
          <w:szCs w:val="23"/>
        </w:rPr>
      </w:pPr>
      <w:r>
        <w:rPr>
          <w:rFonts w:ascii="宋体" w:hAnsi="宋体" w:cs="宋体"/>
          <w:spacing w:val="10"/>
          <w:sz w:val="23"/>
          <w:szCs w:val="23"/>
        </w:rPr>
        <w:t>(十三)</w:t>
      </w:r>
      <w:r>
        <w:rPr>
          <w:rFonts w:ascii="宋体" w:hAnsi="宋体" w:cs="宋体"/>
          <w:spacing w:val="7"/>
          <w:sz w:val="23"/>
          <w:szCs w:val="23"/>
        </w:rPr>
        <w:t xml:space="preserve"> </w:t>
      </w:r>
      <w:r>
        <w:rPr>
          <w:rFonts w:ascii="宋体" w:hAnsi="宋体" w:cs="宋体"/>
          <w:spacing w:val="5"/>
          <w:sz w:val="23"/>
          <w:szCs w:val="23"/>
        </w:rPr>
        <w:t>房地产开发经营。营业收入 200000 万元以下或资产总额 10000 万元以下</w:t>
      </w:r>
      <w:r>
        <w:rPr>
          <w:rFonts w:ascii="宋体" w:hAnsi="宋体" w:cs="宋体"/>
          <w:sz w:val="23"/>
          <w:szCs w:val="23"/>
        </w:rPr>
        <w:t xml:space="preserve"> </w:t>
      </w:r>
      <w:r>
        <w:rPr>
          <w:rFonts w:ascii="宋体" w:hAnsi="宋体" w:cs="宋体"/>
          <w:spacing w:val="2"/>
          <w:sz w:val="23"/>
          <w:szCs w:val="23"/>
        </w:rPr>
        <w:t>的</w:t>
      </w:r>
      <w:r>
        <w:rPr>
          <w:rFonts w:ascii="宋体" w:hAnsi="宋体" w:cs="宋体"/>
          <w:spacing w:val="1"/>
          <w:sz w:val="23"/>
          <w:szCs w:val="23"/>
        </w:rPr>
        <w:t>为中小微型企业。其中，营业收入 1000 万元及以上，且资产总额 5000 万元及以上的</w:t>
      </w:r>
      <w:r>
        <w:rPr>
          <w:rFonts w:ascii="宋体" w:hAnsi="宋体" w:cs="宋体"/>
          <w:sz w:val="23"/>
          <w:szCs w:val="23"/>
        </w:rPr>
        <w:t xml:space="preserve"> </w:t>
      </w:r>
      <w:r>
        <w:rPr>
          <w:rFonts w:ascii="宋体" w:hAnsi="宋体" w:cs="宋体"/>
          <w:spacing w:val="6"/>
          <w:sz w:val="23"/>
          <w:szCs w:val="23"/>
        </w:rPr>
        <w:t>为中型企业；</w:t>
      </w:r>
      <w:r>
        <w:rPr>
          <w:rFonts w:ascii="宋体" w:hAnsi="宋体" w:cs="宋体"/>
          <w:spacing w:val="4"/>
          <w:sz w:val="23"/>
          <w:szCs w:val="23"/>
        </w:rPr>
        <w:t>营</w:t>
      </w:r>
      <w:r>
        <w:rPr>
          <w:rFonts w:ascii="宋体" w:hAnsi="宋体" w:cs="宋体"/>
          <w:spacing w:val="3"/>
          <w:sz w:val="23"/>
          <w:szCs w:val="23"/>
        </w:rPr>
        <w:t>业收入 100 万元及以上，且资产总额 2000 万元及以上的为小型企业；</w:t>
      </w:r>
      <w:r>
        <w:rPr>
          <w:rFonts w:ascii="宋体" w:hAnsi="宋体" w:cs="宋体"/>
          <w:sz w:val="23"/>
          <w:szCs w:val="23"/>
        </w:rPr>
        <w:t xml:space="preserve"> </w:t>
      </w:r>
      <w:r>
        <w:rPr>
          <w:rFonts w:ascii="宋体" w:hAnsi="宋体" w:cs="宋体"/>
          <w:spacing w:val="1"/>
          <w:sz w:val="23"/>
          <w:szCs w:val="23"/>
        </w:rPr>
        <w:t>营业收入 100 万元以下或资产总额 2000 万元以下的为微型</w:t>
      </w:r>
      <w:r>
        <w:rPr>
          <w:rFonts w:ascii="宋体" w:hAnsi="宋体" w:cs="宋体"/>
          <w:sz w:val="23"/>
          <w:szCs w:val="23"/>
        </w:rPr>
        <w:t>企业。</w:t>
      </w:r>
    </w:p>
    <w:p>
      <w:pPr>
        <w:spacing w:before="3" w:line="374" w:lineRule="auto"/>
        <w:ind w:right="80" w:firstLine="461"/>
        <w:rPr>
          <w:rFonts w:ascii="宋体" w:hAnsi="宋体" w:cs="宋体"/>
          <w:sz w:val="23"/>
          <w:szCs w:val="23"/>
        </w:rPr>
      </w:pPr>
      <w:r>
        <w:rPr>
          <w:rFonts w:ascii="宋体" w:hAnsi="宋体" w:cs="宋体"/>
          <w:spacing w:val="6"/>
          <w:sz w:val="23"/>
          <w:szCs w:val="23"/>
        </w:rPr>
        <w:t>(十四) 物业管理。</w:t>
      </w:r>
      <w:r>
        <w:rPr>
          <w:rFonts w:ascii="宋体" w:hAnsi="宋体" w:cs="宋体"/>
          <w:spacing w:val="5"/>
          <w:sz w:val="23"/>
          <w:szCs w:val="23"/>
        </w:rPr>
        <w:t>从</w:t>
      </w:r>
      <w:r>
        <w:rPr>
          <w:rFonts w:ascii="宋体" w:hAnsi="宋体" w:cs="宋体"/>
          <w:spacing w:val="3"/>
          <w:sz w:val="23"/>
          <w:szCs w:val="23"/>
        </w:rPr>
        <w:t>业人员 1000 人以下或营业收入 5000 万元以下的为中小微型</w:t>
      </w:r>
      <w:r>
        <w:rPr>
          <w:rFonts w:ascii="宋体" w:hAnsi="宋体" w:cs="宋体"/>
          <w:sz w:val="23"/>
          <w:szCs w:val="23"/>
        </w:rPr>
        <w:t xml:space="preserve"> </w:t>
      </w:r>
      <w:r>
        <w:rPr>
          <w:rFonts w:ascii="宋体" w:hAnsi="宋体" w:cs="宋体"/>
          <w:spacing w:val="6"/>
          <w:sz w:val="23"/>
          <w:szCs w:val="23"/>
        </w:rPr>
        <w:t xml:space="preserve">企业。其中，从业人员 </w:t>
      </w:r>
      <w:r>
        <w:rPr>
          <w:rFonts w:ascii="宋体" w:hAnsi="宋体" w:cs="宋体"/>
          <w:spacing w:val="3"/>
          <w:sz w:val="23"/>
          <w:szCs w:val="23"/>
        </w:rPr>
        <w:t>300 人及以上，且营业收入 1000 万元及以上的为中型企业；从</w:t>
      </w:r>
      <w:r>
        <w:rPr>
          <w:rFonts w:ascii="宋体" w:hAnsi="宋体" w:cs="宋体"/>
          <w:sz w:val="23"/>
          <w:szCs w:val="23"/>
        </w:rPr>
        <w:t xml:space="preserve"> </w:t>
      </w:r>
      <w:r>
        <w:rPr>
          <w:rFonts w:ascii="宋体" w:hAnsi="宋体" w:cs="宋体"/>
          <w:spacing w:val="-2"/>
          <w:sz w:val="23"/>
          <w:szCs w:val="23"/>
        </w:rPr>
        <w:t>业人员 100 人及以上，且营业收入</w:t>
      </w:r>
      <w:r>
        <w:rPr>
          <w:rFonts w:ascii="宋体" w:hAnsi="宋体" w:cs="宋体"/>
          <w:spacing w:val="-1"/>
          <w:sz w:val="23"/>
          <w:szCs w:val="23"/>
        </w:rPr>
        <w:t xml:space="preserve"> 500 万元及以上的为小型企业；从业人员 100 人以下</w:t>
      </w:r>
      <w:r>
        <w:rPr>
          <w:rFonts w:ascii="宋体" w:hAnsi="宋体" w:cs="宋体"/>
          <w:sz w:val="23"/>
          <w:szCs w:val="23"/>
        </w:rPr>
        <w:t xml:space="preserve"> </w:t>
      </w:r>
      <w:r>
        <w:rPr>
          <w:rFonts w:ascii="宋体" w:hAnsi="宋体" w:cs="宋体"/>
          <w:spacing w:val="4"/>
          <w:sz w:val="23"/>
          <w:szCs w:val="23"/>
        </w:rPr>
        <w:t>或营</w:t>
      </w:r>
      <w:r>
        <w:rPr>
          <w:rFonts w:ascii="宋体" w:hAnsi="宋体" w:cs="宋体"/>
          <w:spacing w:val="2"/>
          <w:sz w:val="23"/>
          <w:szCs w:val="23"/>
        </w:rPr>
        <w:t>业收入 500 万元以下的为微型企业。</w:t>
      </w:r>
    </w:p>
    <w:p>
      <w:pPr>
        <w:spacing w:before="3" w:line="374" w:lineRule="auto"/>
        <w:ind w:left="3" w:right="77" w:firstLine="488"/>
        <w:rPr>
          <w:rFonts w:ascii="宋体" w:hAnsi="宋体" w:cs="宋体"/>
          <w:sz w:val="23"/>
          <w:szCs w:val="23"/>
        </w:rPr>
      </w:pPr>
      <w:r>
        <w:rPr>
          <w:rFonts w:ascii="宋体" w:hAnsi="宋体" w:cs="宋体"/>
          <w:spacing w:val="10"/>
          <w:sz w:val="23"/>
          <w:szCs w:val="23"/>
        </w:rPr>
        <w:t>(十五) 租</w:t>
      </w:r>
      <w:r>
        <w:rPr>
          <w:rFonts w:ascii="宋体" w:hAnsi="宋体" w:cs="宋体"/>
          <w:spacing w:val="5"/>
          <w:sz w:val="23"/>
          <w:szCs w:val="23"/>
        </w:rPr>
        <w:t>赁和商务服务业。从业人员 300 人以下或资产总额 120000 万元以下的</w:t>
      </w:r>
      <w:r>
        <w:rPr>
          <w:rFonts w:ascii="宋体" w:hAnsi="宋体" w:cs="宋体"/>
          <w:sz w:val="23"/>
          <w:szCs w:val="23"/>
        </w:rPr>
        <w:t xml:space="preserve"> </w:t>
      </w:r>
      <w:r>
        <w:rPr>
          <w:rFonts w:ascii="宋体" w:hAnsi="宋体" w:cs="宋体"/>
          <w:spacing w:val="6"/>
          <w:sz w:val="23"/>
          <w:szCs w:val="23"/>
        </w:rPr>
        <w:t>为中小微型企业。其中</w:t>
      </w:r>
      <w:r>
        <w:rPr>
          <w:rFonts w:ascii="宋体" w:hAnsi="宋体" w:cs="宋体"/>
          <w:spacing w:val="4"/>
          <w:sz w:val="23"/>
          <w:szCs w:val="23"/>
        </w:rPr>
        <w:t>，</w:t>
      </w:r>
      <w:r>
        <w:rPr>
          <w:rFonts w:ascii="宋体" w:hAnsi="宋体" w:cs="宋体"/>
          <w:spacing w:val="3"/>
          <w:sz w:val="23"/>
          <w:szCs w:val="23"/>
        </w:rPr>
        <w:t>从业人员 100 人及以上，且资产总额 8000 万元及以上的为中</w:t>
      </w:r>
      <w:r>
        <w:rPr>
          <w:rFonts w:ascii="宋体" w:hAnsi="宋体" w:cs="宋体"/>
          <w:sz w:val="23"/>
          <w:szCs w:val="23"/>
        </w:rPr>
        <w:t xml:space="preserve"> </w:t>
      </w:r>
      <w:r>
        <w:rPr>
          <w:rFonts w:ascii="宋体" w:hAnsi="宋体" w:cs="宋体"/>
          <w:spacing w:val="6"/>
          <w:sz w:val="23"/>
          <w:szCs w:val="23"/>
        </w:rPr>
        <w:t>型</w:t>
      </w:r>
      <w:r>
        <w:rPr>
          <w:rFonts w:ascii="宋体" w:hAnsi="宋体" w:cs="宋体"/>
          <w:spacing w:val="3"/>
          <w:sz w:val="23"/>
          <w:szCs w:val="23"/>
        </w:rPr>
        <w:t>企业；从业人员 10 人及以上，且资产总额 100 万元及以上的为小型企业；从业人员</w:t>
      </w:r>
      <w:r>
        <w:rPr>
          <w:rFonts w:ascii="宋体" w:hAnsi="宋体" w:cs="宋体"/>
          <w:sz w:val="23"/>
          <w:szCs w:val="23"/>
        </w:rPr>
        <w:t xml:space="preserve"> </w:t>
      </w:r>
      <w:r>
        <w:rPr>
          <w:rFonts w:ascii="宋体" w:hAnsi="宋体" w:cs="宋体"/>
          <w:spacing w:val="1"/>
          <w:sz w:val="23"/>
          <w:szCs w:val="23"/>
        </w:rPr>
        <w:t>10 人以下或资产总额 100 万元以下的为微型企业。</w:t>
      </w:r>
    </w:p>
    <w:p>
      <w:pPr>
        <w:spacing w:before="2" w:line="374" w:lineRule="auto"/>
        <w:ind w:left="10" w:right="80" w:firstLine="462"/>
        <w:rPr>
          <w:rFonts w:ascii="宋体" w:hAnsi="宋体" w:cs="宋体"/>
          <w:sz w:val="23"/>
          <w:szCs w:val="23"/>
        </w:rPr>
      </w:pPr>
      <w:r>
        <w:rPr>
          <w:rFonts w:ascii="宋体" w:hAnsi="宋体" w:cs="宋体"/>
          <w:spacing w:val="12"/>
          <w:sz w:val="23"/>
          <w:szCs w:val="23"/>
        </w:rPr>
        <w:t>(十六)</w:t>
      </w:r>
      <w:r>
        <w:rPr>
          <w:rFonts w:ascii="宋体" w:hAnsi="宋体" w:cs="宋体"/>
          <w:spacing w:val="9"/>
          <w:sz w:val="23"/>
          <w:szCs w:val="23"/>
        </w:rPr>
        <w:t xml:space="preserve"> </w:t>
      </w:r>
      <w:r>
        <w:rPr>
          <w:rFonts w:ascii="宋体" w:hAnsi="宋体" w:cs="宋体"/>
          <w:spacing w:val="6"/>
          <w:sz w:val="23"/>
          <w:szCs w:val="23"/>
        </w:rPr>
        <w:t>其他未列明行业。从业人员 300 人以下的为中小微型企业。其中，从业人</w:t>
      </w:r>
      <w:r>
        <w:rPr>
          <w:rFonts w:ascii="宋体" w:hAnsi="宋体" w:cs="宋体"/>
          <w:sz w:val="23"/>
          <w:szCs w:val="23"/>
        </w:rPr>
        <w:t xml:space="preserve"> </w:t>
      </w:r>
      <w:r>
        <w:rPr>
          <w:rFonts w:ascii="宋体" w:hAnsi="宋体" w:cs="宋体"/>
          <w:spacing w:val="-2"/>
          <w:sz w:val="23"/>
          <w:szCs w:val="23"/>
        </w:rPr>
        <w:t>员 100 人及以上的为中型企业；从业人员 10 人及以上</w:t>
      </w:r>
      <w:r>
        <w:rPr>
          <w:rFonts w:ascii="宋体" w:hAnsi="宋体" w:cs="宋体"/>
          <w:spacing w:val="-1"/>
          <w:sz w:val="23"/>
          <w:szCs w:val="23"/>
        </w:rPr>
        <w:t>的为小型企业；从业人员 10 人以</w:t>
      </w:r>
      <w:r>
        <w:rPr>
          <w:spacing w:val="11"/>
          <w:sz w:val="23"/>
          <w:szCs w:val="23"/>
        </w:rPr>
        <w:t>下</w:t>
      </w:r>
      <w:r>
        <w:rPr>
          <w:spacing w:val="6"/>
          <w:sz w:val="23"/>
          <w:szCs w:val="23"/>
        </w:rPr>
        <w:t>的为微型企业。</w:t>
      </w:r>
    </w:p>
    <w:p>
      <w:pPr>
        <w:rPr>
          <w:rFonts w:ascii="宋体" w:hAnsi="宋体" w:cs="宋体"/>
          <w:sz w:val="24"/>
        </w:rPr>
        <w:sectPr>
          <w:footerReference r:id="rId13" w:type="default"/>
          <w:pgSz w:w="11910" w:h="16840"/>
          <w:pgMar w:top="1531" w:right="1531" w:bottom="1531" w:left="1531" w:header="587" w:footer="1050" w:gutter="0"/>
          <w:pgNumType w:fmt="decimal"/>
          <w:cols w:space="720" w:num="1"/>
        </w:sectPr>
      </w:pPr>
    </w:p>
    <w:p/>
    <w:p>
      <w:pPr>
        <w:pStyle w:val="5"/>
        <w:numPr>
          <w:ilvl w:val="0"/>
          <w:numId w:val="4"/>
        </w:numPr>
        <w:spacing w:line="360" w:lineRule="auto"/>
        <w:rPr>
          <w:rFonts w:ascii="宋体" w:hAnsi="宋体" w:eastAsia="宋体" w:cs="宋体"/>
          <w:sz w:val="32"/>
          <w:szCs w:val="32"/>
        </w:rPr>
      </w:pPr>
      <w:bookmarkStart w:id="79" w:name="_Toc1601"/>
      <w:r>
        <w:rPr>
          <w:rFonts w:hint="eastAsia" w:ascii="宋体" w:hAnsi="宋体" w:eastAsia="宋体" w:cs="宋体"/>
          <w:sz w:val="32"/>
          <w:szCs w:val="32"/>
        </w:rPr>
        <w:t>竞争性磋商办法</w:t>
      </w:r>
      <w:bookmarkEnd w:id="79"/>
    </w:p>
    <w:p>
      <w:pPr>
        <w:rPr>
          <w:rFonts w:ascii="宋体" w:hAnsi="宋体" w:cs="宋体"/>
          <w:sz w:val="30"/>
          <w:szCs w:val="30"/>
        </w:rPr>
      </w:pPr>
      <w:r>
        <w:rPr>
          <w:rFonts w:hint="eastAsia" w:ascii="宋体" w:hAnsi="宋体" w:cs="宋体"/>
          <w:b/>
          <w:bCs/>
          <w:sz w:val="30"/>
          <w:szCs w:val="30"/>
        </w:rPr>
        <w:t>磋商办法后附表</w:t>
      </w:r>
    </w:p>
    <w:tbl>
      <w:tblPr>
        <w:tblStyle w:val="25"/>
        <w:tblW w:w="93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989"/>
        <w:gridCol w:w="2922"/>
        <w:gridCol w:w="47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 w:hRule="atLeast"/>
        </w:trPr>
        <w:tc>
          <w:tcPr>
            <w:tcW w:w="1677" w:type="dxa"/>
            <w:gridSpan w:val="2"/>
            <w:tcBorders>
              <w:top w:val="single" w:color="auto" w:sz="4" w:space="0"/>
              <w:bottom w:val="single" w:color="auto" w:sz="4" w:space="0"/>
              <w:right w:val="single" w:color="auto" w:sz="4" w:space="0"/>
            </w:tcBorders>
            <w:vAlign w:val="center"/>
          </w:tcPr>
          <w:p>
            <w:pPr>
              <w:spacing w:line="440" w:lineRule="exact"/>
              <w:jc w:val="center"/>
              <w:rPr>
                <w:rFonts w:ascii="宋体" w:cs="宋体"/>
                <w:b/>
                <w:szCs w:val="21"/>
              </w:rPr>
            </w:pPr>
            <w:r>
              <w:rPr>
                <w:rFonts w:hint="eastAsia" w:ascii="宋体" w:hAnsi="宋体" w:cs="宋体"/>
                <w:b/>
                <w:szCs w:val="21"/>
              </w:rPr>
              <w:t>条款号</w:t>
            </w:r>
          </w:p>
        </w:tc>
        <w:tc>
          <w:tcPr>
            <w:tcW w:w="29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宋体"/>
                <w:b/>
                <w:szCs w:val="21"/>
              </w:rPr>
            </w:pPr>
            <w:r>
              <w:rPr>
                <w:rFonts w:hint="eastAsia" w:ascii="宋体" w:hAnsi="宋体" w:cs="宋体"/>
                <w:b/>
                <w:szCs w:val="21"/>
              </w:rPr>
              <w:t>评审因素</w:t>
            </w:r>
          </w:p>
        </w:tc>
        <w:tc>
          <w:tcPr>
            <w:tcW w:w="4735" w:type="dxa"/>
            <w:tcBorders>
              <w:top w:val="single" w:color="auto" w:sz="4" w:space="0"/>
              <w:left w:val="single" w:color="auto" w:sz="4" w:space="0"/>
              <w:bottom w:val="single" w:color="auto" w:sz="4" w:space="0"/>
            </w:tcBorders>
            <w:vAlign w:val="center"/>
          </w:tcPr>
          <w:p>
            <w:pPr>
              <w:spacing w:line="440" w:lineRule="exact"/>
              <w:jc w:val="center"/>
              <w:rPr>
                <w:rFonts w:asci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688" w:type="dxa"/>
            <w:vMerge w:val="restart"/>
            <w:tcBorders>
              <w:top w:val="single" w:color="auto" w:sz="4" w:space="0"/>
              <w:bottom w:val="single" w:color="auto" w:sz="4" w:space="0"/>
              <w:right w:val="single" w:color="auto" w:sz="4" w:space="0"/>
            </w:tcBorders>
            <w:vAlign w:val="center"/>
          </w:tcPr>
          <w:p>
            <w:pPr>
              <w:spacing w:line="440" w:lineRule="exact"/>
              <w:jc w:val="center"/>
              <w:rPr>
                <w:rFonts w:ascii="宋体" w:cs="宋体"/>
                <w:szCs w:val="21"/>
              </w:rPr>
            </w:pPr>
            <w:r>
              <w:rPr>
                <w:rFonts w:ascii="宋体" w:hAnsi="宋体" w:cs="宋体"/>
                <w:szCs w:val="21"/>
              </w:rPr>
              <w:t>7.1</w:t>
            </w:r>
          </w:p>
        </w:tc>
        <w:tc>
          <w:tcPr>
            <w:tcW w:w="989" w:type="dxa"/>
            <w:vMerge w:val="restart"/>
            <w:tcBorders>
              <w:top w:val="single" w:color="auto" w:sz="4" w:space="0"/>
              <w:bottom w:val="single" w:color="auto" w:sz="4" w:space="0"/>
              <w:right w:val="single" w:color="auto" w:sz="4" w:space="0"/>
            </w:tcBorders>
            <w:vAlign w:val="center"/>
          </w:tcPr>
          <w:p>
            <w:pPr>
              <w:spacing w:line="440" w:lineRule="exact"/>
              <w:jc w:val="center"/>
              <w:rPr>
                <w:rFonts w:ascii="宋体" w:cs="宋体"/>
                <w:szCs w:val="21"/>
              </w:rPr>
            </w:pPr>
            <w:r>
              <w:rPr>
                <w:rFonts w:hint="eastAsia" w:ascii="宋体" w:hAnsi="宋体" w:cs="宋体"/>
                <w:szCs w:val="21"/>
              </w:rPr>
              <w:t>形式评审标准</w:t>
            </w:r>
          </w:p>
        </w:tc>
        <w:tc>
          <w:tcPr>
            <w:tcW w:w="29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宋体"/>
                <w:szCs w:val="21"/>
              </w:rPr>
            </w:pPr>
            <w:r>
              <w:rPr>
                <w:rFonts w:hint="eastAsia" w:ascii="宋体" w:hAnsi="宋体" w:cs="宋体"/>
                <w:szCs w:val="21"/>
              </w:rPr>
              <w:t>供应商名称</w:t>
            </w:r>
          </w:p>
        </w:tc>
        <w:tc>
          <w:tcPr>
            <w:tcW w:w="4735" w:type="dxa"/>
            <w:tcBorders>
              <w:top w:val="single" w:color="auto" w:sz="4" w:space="0"/>
              <w:left w:val="single" w:color="auto" w:sz="4" w:space="0"/>
              <w:bottom w:val="single" w:color="auto" w:sz="4" w:space="0"/>
            </w:tcBorders>
            <w:vAlign w:val="center"/>
          </w:tcPr>
          <w:p>
            <w:pPr>
              <w:spacing w:line="440" w:lineRule="exact"/>
              <w:rPr>
                <w:rFonts w:ascii="宋体" w:cs="宋体"/>
                <w:szCs w:val="21"/>
              </w:rPr>
            </w:pPr>
            <w:r>
              <w:rPr>
                <w:rFonts w:hint="eastAsia" w:ascii="宋体" w:hAnsi="宋体" w:cs="宋体"/>
                <w:szCs w:val="21"/>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688" w:type="dxa"/>
            <w:vMerge w:val="continue"/>
            <w:tcBorders>
              <w:top w:val="nil"/>
              <w:bottom w:val="single" w:color="auto" w:sz="4" w:space="0"/>
              <w:right w:val="single" w:color="auto" w:sz="4" w:space="0"/>
            </w:tcBorders>
            <w:vAlign w:val="center"/>
          </w:tcPr>
          <w:p>
            <w:pPr>
              <w:spacing w:line="440" w:lineRule="exact"/>
              <w:jc w:val="center"/>
              <w:rPr>
                <w:rFonts w:ascii="宋体" w:cs="宋体"/>
                <w:szCs w:val="21"/>
              </w:rPr>
            </w:pPr>
          </w:p>
        </w:tc>
        <w:tc>
          <w:tcPr>
            <w:tcW w:w="989" w:type="dxa"/>
            <w:vMerge w:val="continue"/>
            <w:tcBorders>
              <w:top w:val="nil"/>
              <w:bottom w:val="single" w:color="auto" w:sz="4" w:space="0"/>
              <w:right w:val="single" w:color="auto" w:sz="4" w:space="0"/>
            </w:tcBorders>
            <w:vAlign w:val="center"/>
          </w:tcPr>
          <w:p>
            <w:pPr>
              <w:spacing w:line="440" w:lineRule="exact"/>
              <w:jc w:val="center"/>
              <w:rPr>
                <w:rFonts w:ascii="宋体" w:cs="宋体"/>
                <w:szCs w:val="21"/>
              </w:rPr>
            </w:pPr>
          </w:p>
        </w:tc>
        <w:tc>
          <w:tcPr>
            <w:tcW w:w="29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宋体"/>
                <w:szCs w:val="21"/>
              </w:rPr>
            </w:pPr>
            <w:r>
              <w:rPr>
                <w:rFonts w:hint="eastAsia" w:ascii="宋体" w:hAnsi="宋体" w:cs="宋体"/>
                <w:szCs w:val="21"/>
              </w:rPr>
              <w:t>响应文件签字盖章</w:t>
            </w:r>
          </w:p>
        </w:tc>
        <w:tc>
          <w:tcPr>
            <w:tcW w:w="4735" w:type="dxa"/>
            <w:tcBorders>
              <w:top w:val="single" w:color="auto" w:sz="4" w:space="0"/>
              <w:left w:val="single" w:color="auto" w:sz="4" w:space="0"/>
              <w:bottom w:val="single" w:color="auto" w:sz="4" w:space="0"/>
            </w:tcBorders>
            <w:vAlign w:val="center"/>
          </w:tcPr>
          <w:p>
            <w:pPr>
              <w:spacing w:line="440" w:lineRule="exact"/>
              <w:rPr>
                <w:rFonts w:ascii="宋体" w:cs="宋体"/>
                <w:szCs w:val="21"/>
              </w:rPr>
            </w:pPr>
            <w:r>
              <w:rPr>
                <w:rFonts w:hint="eastAsia" w:ascii="宋体" w:hAnsi="宋体" w:cs="宋体"/>
                <w:szCs w:val="21"/>
              </w:rPr>
              <w:t>有法定代表人或委托代理人签字（或盖章）并加盖单位公章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688" w:type="dxa"/>
            <w:vMerge w:val="continue"/>
            <w:tcBorders>
              <w:top w:val="nil"/>
              <w:bottom w:val="single" w:color="auto" w:sz="4" w:space="0"/>
              <w:right w:val="single" w:color="auto" w:sz="4" w:space="0"/>
            </w:tcBorders>
            <w:vAlign w:val="center"/>
          </w:tcPr>
          <w:p>
            <w:pPr>
              <w:spacing w:line="440" w:lineRule="exact"/>
              <w:jc w:val="center"/>
              <w:rPr>
                <w:rFonts w:ascii="宋体" w:cs="宋体"/>
                <w:szCs w:val="21"/>
              </w:rPr>
            </w:pPr>
          </w:p>
        </w:tc>
        <w:tc>
          <w:tcPr>
            <w:tcW w:w="989" w:type="dxa"/>
            <w:vMerge w:val="continue"/>
            <w:tcBorders>
              <w:top w:val="nil"/>
              <w:bottom w:val="single" w:color="auto" w:sz="4" w:space="0"/>
              <w:right w:val="single" w:color="auto" w:sz="4" w:space="0"/>
            </w:tcBorders>
            <w:vAlign w:val="center"/>
          </w:tcPr>
          <w:p>
            <w:pPr>
              <w:spacing w:line="440" w:lineRule="exact"/>
              <w:jc w:val="center"/>
              <w:rPr>
                <w:rFonts w:ascii="宋体" w:cs="宋体"/>
                <w:szCs w:val="21"/>
              </w:rPr>
            </w:pPr>
          </w:p>
        </w:tc>
        <w:tc>
          <w:tcPr>
            <w:tcW w:w="29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宋体"/>
                <w:szCs w:val="21"/>
              </w:rPr>
            </w:pPr>
            <w:r>
              <w:rPr>
                <w:rFonts w:hint="eastAsia" w:ascii="宋体" w:hAnsi="宋体" w:cs="宋体"/>
                <w:szCs w:val="21"/>
              </w:rPr>
              <w:t>响应文件格式</w:t>
            </w:r>
          </w:p>
        </w:tc>
        <w:tc>
          <w:tcPr>
            <w:tcW w:w="4735" w:type="dxa"/>
            <w:tcBorders>
              <w:top w:val="single" w:color="auto" w:sz="4" w:space="0"/>
              <w:left w:val="single" w:color="auto" w:sz="4" w:space="0"/>
              <w:bottom w:val="single" w:color="auto" w:sz="4" w:space="0"/>
            </w:tcBorders>
            <w:vAlign w:val="center"/>
          </w:tcPr>
          <w:p>
            <w:pPr>
              <w:spacing w:line="440" w:lineRule="exact"/>
              <w:rPr>
                <w:rFonts w:ascii="宋体" w:cs="宋体"/>
                <w:szCs w:val="21"/>
              </w:rPr>
            </w:pPr>
            <w:r>
              <w:rPr>
                <w:rFonts w:hint="eastAsia" w:ascii="宋体" w:hAnsi="宋体" w:cs="宋体"/>
                <w:szCs w:val="21"/>
              </w:rPr>
              <w:t>符合第六章“响应文件格式”的要求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688" w:type="dxa"/>
            <w:vMerge w:val="continue"/>
            <w:tcBorders>
              <w:top w:val="nil"/>
              <w:bottom w:val="single" w:color="auto" w:sz="4" w:space="0"/>
              <w:right w:val="single" w:color="auto" w:sz="4" w:space="0"/>
            </w:tcBorders>
            <w:vAlign w:val="center"/>
          </w:tcPr>
          <w:p>
            <w:pPr>
              <w:spacing w:line="440" w:lineRule="exact"/>
              <w:jc w:val="center"/>
              <w:rPr>
                <w:rFonts w:ascii="宋体" w:cs="宋体"/>
                <w:szCs w:val="21"/>
              </w:rPr>
            </w:pPr>
          </w:p>
        </w:tc>
        <w:tc>
          <w:tcPr>
            <w:tcW w:w="989" w:type="dxa"/>
            <w:vMerge w:val="continue"/>
            <w:tcBorders>
              <w:top w:val="nil"/>
              <w:bottom w:val="single" w:color="auto" w:sz="4" w:space="0"/>
              <w:right w:val="single" w:color="auto" w:sz="4" w:space="0"/>
            </w:tcBorders>
            <w:vAlign w:val="center"/>
          </w:tcPr>
          <w:p>
            <w:pPr>
              <w:spacing w:line="440" w:lineRule="exact"/>
              <w:jc w:val="center"/>
              <w:rPr>
                <w:rFonts w:ascii="宋体" w:cs="宋体"/>
                <w:szCs w:val="21"/>
              </w:rPr>
            </w:pPr>
          </w:p>
        </w:tc>
        <w:tc>
          <w:tcPr>
            <w:tcW w:w="29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宋体"/>
                <w:szCs w:val="21"/>
              </w:rPr>
            </w:pPr>
            <w:r>
              <w:rPr>
                <w:rFonts w:hint="eastAsia" w:ascii="宋体" w:hAnsi="宋体" w:cs="宋体"/>
                <w:szCs w:val="21"/>
              </w:rPr>
              <w:t>报价唯一</w:t>
            </w:r>
          </w:p>
        </w:tc>
        <w:tc>
          <w:tcPr>
            <w:tcW w:w="4735" w:type="dxa"/>
            <w:tcBorders>
              <w:top w:val="single" w:color="auto" w:sz="4" w:space="0"/>
              <w:left w:val="single" w:color="auto" w:sz="4" w:space="0"/>
              <w:bottom w:val="single" w:color="auto" w:sz="4" w:space="0"/>
            </w:tcBorders>
            <w:vAlign w:val="center"/>
          </w:tcPr>
          <w:p>
            <w:pPr>
              <w:spacing w:line="440" w:lineRule="exact"/>
              <w:rPr>
                <w:rFonts w:asci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69" w:hRule="atLeast"/>
        </w:trPr>
        <w:tc>
          <w:tcPr>
            <w:tcW w:w="688" w:type="dxa"/>
            <w:tcBorders>
              <w:top w:val="single" w:color="auto" w:sz="4" w:space="0"/>
              <w:right w:val="single" w:color="auto" w:sz="4" w:space="0"/>
            </w:tcBorders>
            <w:vAlign w:val="center"/>
          </w:tcPr>
          <w:p>
            <w:pPr>
              <w:spacing w:line="440" w:lineRule="exact"/>
              <w:jc w:val="center"/>
              <w:rPr>
                <w:rFonts w:ascii="宋体" w:cs="宋体"/>
                <w:szCs w:val="21"/>
              </w:rPr>
            </w:pPr>
            <w:r>
              <w:rPr>
                <w:rFonts w:ascii="宋体" w:hAnsi="宋体" w:cs="宋体"/>
                <w:szCs w:val="21"/>
              </w:rPr>
              <w:t>7.2</w:t>
            </w:r>
          </w:p>
        </w:tc>
        <w:tc>
          <w:tcPr>
            <w:tcW w:w="989" w:type="dxa"/>
            <w:tcBorders>
              <w:top w:val="single" w:color="auto" w:sz="4" w:space="0"/>
              <w:right w:val="single" w:color="auto" w:sz="4" w:space="0"/>
            </w:tcBorders>
            <w:vAlign w:val="center"/>
          </w:tcPr>
          <w:p>
            <w:pPr>
              <w:spacing w:line="440" w:lineRule="exact"/>
              <w:jc w:val="center"/>
              <w:rPr>
                <w:rFonts w:ascii="宋体" w:cs="宋体"/>
                <w:szCs w:val="21"/>
              </w:rPr>
            </w:pPr>
            <w:r>
              <w:t>资格评审标准</w:t>
            </w:r>
          </w:p>
        </w:tc>
        <w:tc>
          <w:tcPr>
            <w:tcW w:w="7657" w:type="dxa"/>
            <w:gridSpan w:val="2"/>
            <w:tcBorders>
              <w:top w:val="single" w:color="auto" w:sz="4" w:space="0"/>
              <w:left w:val="single" w:color="auto" w:sz="4" w:space="0"/>
              <w:bottom w:val="single" w:color="auto" w:sz="4" w:space="0"/>
            </w:tcBorders>
            <w:vAlign w:val="center"/>
          </w:tcPr>
          <w:p>
            <w:pPr>
              <w:tabs>
                <w:tab w:val="left" w:pos="3083"/>
              </w:tabs>
              <w:spacing w:line="440" w:lineRule="exact"/>
              <w:rPr>
                <w:rFonts w:ascii="宋体" w:cs="宋体"/>
                <w:szCs w:val="21"/>
              </w:rPr>
            </w:pPr>
            <w:r>
              <w:rPr>
                <w:rFonts w:ascii="宋体" w:cs="宋体"/>
                <w:szCs w:val="21"/>
              </w:rPr>
              <w:tab/>
            </w:r>
            <w:r>
              <w:rPr>
                <w:rFonts w:hint="eastAsia" w:ascii="宋体" w:hAnsi="宋体" w:cs="宋体"/>
                <w:szCs w:val="21"/>
              </w:rPr>
              <w:t>详见 第三章 竞争性磋商办法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688" w:type="dxa"/>
            <w:vMerge w:val="restart"/>
            <w:tcBorders>
              <w:top w:val="single" w:color="auto" w:sz="4" w:space="0"/>
              <w:right w:val="single" w:color="auto" w:sz="4" w:space="0"/>
            </w:tcBorders>
            <w:vAlign w:val="center"/>
          </w:tcPr>
          <w:p>
            <w:pPr>
              <w:spacing w:line="440" w:lineRule="exact"/>
              <w:jc w:val="center"/>
              <w:rPr>
                <w:rFonts w:ascii="宋体" w:cs="宋体"/>
                <w:szCs w:val="21"/>
              </w:rPr>
            </w:pPr>
            <w:r>
              <w:rPr>
                <w:rFonts w:ascii="宋体" w:hAnsi="宋体" w:cs="宋体"/>
                <w:szCs w:val="21"/>
              </w:rPr>
              <w:t>7.3</w:t>
            </w:r>
          </w:p>
        </w:tc>
        <w:tc>
          <w:tcPr>
            <w:tcW w:w="989" w:type="dxa"/>
            <w:vMerge w:val="restart"/>
            <w:tcBorders>
              <w:top w:val="single" w:color="auto" w:sz="4" w:space="0"/>
              <w:right w:val="single" w:color="auto" w:sz="4" w:space="0"/>
            </w:tcBorders>
            <w:vAlign w:val="center"/>
          </w:tcPr>
          <w:p>
            <w:pPr>
              <w:spacing w:line="440" w:lineRule="exact"/>
              <w:jc w:val="center"/>
              <w:rPr>
                <w:rFonts w:ascii="宋体" w:cs="宋体"/>
                <w:szCs w:val="21"/>
              </w:rPr>
            </w:pPr>
            <w:r>
              <w:rPr>
                <w:rFonts w:hint="eastAsia" w:ascii="宋体" w:hAnsi="宋体" w:cs="宋体"/>
                <w:szCs w:val="21"/>
              </w:rPr>
              <w:t>响应性评审</w:t>
            </w:r>
          </w:p>
          <w:p>
            <w:pPr>
              <w:spacing w:line="440" w:lineRule="exact"/>
              <w:jc w:val="center"/>
              <w:rPr>
                <w:rFonts w:ascii="宋体" w:cs="宋体"/>
                <w:szCs w:val="21"/>
              </w:rPr>
            </w:pPr>
            <w:r>
              <w:rPr>
                <w:rFonts w:hint="eastAsia" w:ascii="宋体" w:hAnsi="宋体" w:cs="宋体"/>
                <w:szCs w:val="21"/>
              </w:rPr>
              <w:t>标准</w:t>
            </w:r>
          </w:p>
        </w:tc>
        <w:tc>
          <w:tcPr>
            <w:tcW w:w="29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宋体"/>
                <w:szCs w:val="21"/>
              </w:rPr>
            </w:pPr>
            <w:r>
              <w:rPr>
                <w:rFonts w:hint="eastAsia" w:ascii="宋体" w:hAnsi="宋体" w:cs="宋体"/>
                <w:szCs w:val="21"/>
              </w:rPr>
              <w:t>投标报价</w:t>
            </w:r>
          </w:p>
        </w:tc>
        <w:tc>
          <w:tcPr>
            <w:tcW w:w="4735" w:type="dxa"/>
            <w:tcBorders>
              <w:top w:val="single" w:color="auto" w:sz="4" w:space="0"/>
              <w:left w:val="single" w:color="auto" w:sz="4" w:space="0"/>
              <w:bottom w:val="single" w:color="auto" w:sz="4" w:space="0"/>
            </w:tcBorders>
            <w:vAlign w:val="center"/>
          </w:tcPr>
          <w:p>
            <w:pPr>
              <w:spacing w:line="440" w:lineRule="exact"/>
              <w:rPr>
                <w:rFonts w:ascii="宋体" w:cs="宋体"/>
                <w:szCs w:val="21"/>
              </w:rPr>
            </w:pPr>
            <w:r>
              <w:rPr>
                <w:rFonts w:hint="eastAsia" w:ascii="宋体" w:hAnsi="宋体" w:cs="宋体"/>
                <w:szCs w:val="21"/>
              </w:rPr>
              <w:t>符合第二章“供应商须知前附表”规定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688" w:type="dxa"/>
            <w:vMerge w:val="continue"/>
            <w:tcBorders>
              <w:top w:val="single" w:color="auto" w:sz="4" w:space="0"/>
              <w:right w:val="single" w:color="auto" w:sz="4" w:space="0"/>
            </w:tcBorders>
            <w:vAlign w:val="center"/>
          </w:tcPr>
          <w:p>
            <w:pPr>
              <w:spacing w:line="440" w:lineRule="exact"/>
              <w:jc w:val="center"/>
              <w:rPr>
                <w:rFonts w:ascii="宋体" w:cs="宋体"/>
                <w:szCs w:val="21"/>
              </w:rPr>
            </w:pPr>
          </w:p>
        </w:tc>
        <w:tc>
          <w:tcPr>
            <w:tcW w:w="989" w:type="dxa"/>
            <w:vMerge w:val="continue"/>
            <w:tcBorders>
              <w:top w:val="single" w:color="auto" w:sz="4" w:space="0"/>
              <w:right w:val="single" w:color="auto" w:sz="4" w:space="0"/>
            </w:tcBorders>
            <w:vAlign w:val="center"/>
          </w:tcPr>
          <w:p>
            <w:pPr>
              <w:spacing w:line="440" w:lineRule="exact"/>
              <w:jc w:val="center"/>
              <w:rPr>
                <w:rFonts w:ascii="宋体" w:cs="宋体"/>
                <w:szCs w:val="21"/>
              </w:rPr>
            </w:pPr>
          </w:p>
        </w:tc>
        <w:tc>
          <w:tcPr>
            <w:tcW w:w="29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宋体"/>
                <w:szCs w:val="21"/>
              </w:rPr>
            </w:pPr>
            <w:r>
              <w:rPr>
                <w:rFonts w:hint="eastAsia" w:ascii="宋体" w:cs="宋体"/>
                <w:szCs w:val="21"/>
              </w:rPr>
              <w:t>服务期限</w:t>
            </w:r>
          </w:p>
        </w:tc>
        <w:tc>
          <w:tcPr>
            <w:tcW w:w="4735" w:type="dxa"/>
            <w:tcBorders>
              <w:top w:val="single" w:color="auto" w:sz="4" w:space="0"/>
              <w:left w:val="single" w:color="auto" w:sz="4" w:space="0"/>
              <w:bottom w:val="single" w:color="auto" w:sz="4" w:space="0"/>
            </w:tcBorders>
            <w:vAlign w:val="center"/>
          </w:tcPr>
          <w:p>
            <w:pPr>
              <w:spacing w:line="440" w:lineRule="exact"/>
              <w:rPr>
                <w:rFonts w:ascii="宋体" w:cs="宋体"/>
                <w:szCs w:val="21"/>
              </w:rPr>
            </w:pPr>
            <w:r>
              <w:rPr>
                <w:rFonts w:hint="eastAsia" w:ascii="宋体" w:hAnsi="宋体" w:cs="宋体"/>
                <w:szCs w:val="21"/>
              </w:rPr>
              <w:t>符合第二章“供应商须知前附表”规定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688" w:type="dxa"/>
            <w:vMerge w:val="continue"/>
            <w:tcBorders>
              <w:top w:val="single" w:color="auto" w:sz="4" w:space="0"/>
              <w:right w:val="single" w:color="auto" w:sz="4" w:space="0"/>
            </w:tcBorders>
            <w:vAlign w:val="center"/>
          </w:tcPr>
          <w:p>
            <w:pPr>
              <w:spacing w:line="440" w:lineRule="exact"/>
              <w:jc w:val="center"/>
              <w:rPr>
                <w:rFonts w:ascii="宋体" w:cs="宋体"/>
                <w:szCs w:val="21"/>
              </w:rPr>
            </w:pPr>
          </w:p>
        </w:tc>
        <w:tc>
          <w:tcPr>
            <w:tcW w:w="989" w:type="dxa"/>
            <w:vMerge w:val="continue"/>
            <w:tcBorders>
              <w:top w:val="single" w:color="auto" w:sz="4" w:space="0"/>
              <w:right w:val="single" w:color="auto" w:sz="4" w:space="0"/>
            </w:tcBorders>
            <w:vAlign w:val="center"/>
          </w:tcPr>
          <w:p>
            <w:pPr>
              <w:spacing w:line="440" w:lineRule="exact"/>
              <w:jc w:val="center"/>
              <w:rPr>
                <w:rFonts w:ascii="宋体" w:cs="宋体"/>
                <w:szCs w:val="21"/>
              </w:rPr>
            </w:pPr>
          </w:p>
        </w:tc>
        <w:tc>
          <w:tcPr>
            <w:tcW w:w="29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宋体"/>
                <w:szCs w:val="21"/>
              </w:rPr>
            </w:pPr>
            <w:r>
              <w:rPr>
                <w:rFonts w:hint="eastAsia" w:ascii="宋体" w:cs="宋体"/>
                <w:szCs w:val="21"/>
              </w:rPr>
              <w:t>质量要求</w:t>
            </w:r>
          </w:p>
        </w:tc>
        <w:tc>
          <w:tcPr>
            <w:tcW w:w="4735" w:type="dxa"/>
            <w:tcBorders>
              <w:top w:val="single" w:color="auto" w:sz="4" w:space="0"/>
              <w:left w:val="single" w:color="auto" w:sz="4" w:space="0"/>
              <w:bottom w:val="single" w:color="auto" w:sz="4" w:space="0"/>
            </w:tcBorders>
            <w:vAlign w:val="center"/>
          </w:tcPr>
          <w:p>
            <w:pPr>
              <w:spacing w:line="440" w:lineRule="exact"/>
              <w:rPr>
                <w:rFonts w:ascii="宋体" w:cs="宋体"/>
                <w:szCs w:val="21"/>
              </w:rPr>
            </w:pPr>
            <w:r>
              <w:rPr>
                <w:rFonts w:hint="eastAsia" w:ascii="宋体" w:hAnsi="宋体" w:cs="宋体"/>
                <w:szCs w:val="21"/>
              </w:rPr>
              <w:t>符合第二章“供应商须知前附表”规定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688" w:type="dxa"/>
            <w:vMerge w:val="continue"/>
            <w:tcBorders>
              <w:right w:val="single" w:color="auto" w:sz="4" w:space="0"/>
            </w:tcBorders>
            <w:vAlign w:val="center"/>
          </w:tcPr>
          <w:p>
            <w:pPr>
              <w:spacing w:line="440" w:lineRule="exact"/>
              <w:jc w:val="center"/>
              <w:rPr>
                <w:rFonts w:ascii="宋体" w:cs="宋体"/>
                <w:szCs w:val="21"/>
              </w:rPr>
            </w:pPr>
          </w:p>
        </w:tc>
        <w:tc>
          <w:tcPr>
            <w:tcW w:w="989" w:type="dxa"/>
            <w:vMerge w:val="continue"/>
            <w:tcBorders>
              <w:right w:val="single" w:color="auto" w:sz="4" w:space="0"/>
            </w:tcBorders>
            <w:vAlign w:val="center"/>
          </w:tcPr>
          <w:p>
            <w:pPr>
              <w:spacing w:line="440" w:lineRule="exact"/>
              <w:jc w:val="center"/>
              <w:rPr>
                <w:rFonts w:ascii="宋体" w:cs="宋体"/>
                <w:szCs w:val="21"/>
              </w:rPr>
            </w:pPr>
          </w:p>
        </w:tc>
        <w:tc>
          <w:tcPr>
            <w:tcW w:w="29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宋体"/>
                <w:szCs w:val="21"/>
              </w:rPr>
            </w:pPr>
            <w:r>
              <w:rPr>
                <w:rFonts w:hint="eastAsia" w:ascii="宋体" w:hAnsi="宋体" w:cs="宋体"/>
                <w:szCs w:val="21"/>
              </w:rPr>
              <w:t>磋商有效期</w:t>
            </w:r>
          </w:p>
        </w:tc>
        <w:tc>
          <w:tcPr>
            <w:tcW w:w="4735" w:type="dxa"/>
            <w:tcBorders>
              <w:top w:val="single" w:color="auto" w:sz="4" w:space="0"/>
              <w:left w:val="single" w:color="auto" w:sz="4" w:space="0"/>
              <w:bottom w:val="single" w:color="auto" w:sz="4" w:space="0"/>
            </w:tcBorders>
            <w:vAlign w:val="center"/>
          </w:tcPr>
          <w:p>
            <w:pPr>
              <w:spacing w:line="440" w:lineRule="exact"/>
              <w:rPr>
                <w:rFonts w:ascii="宋体" w:cs="宋体"/>
                <w:szCs w:val="21"/>
              </w:rPr>
            </w:pPr>
            <w:r>
              <w:rPr>
                <w:rFonts w:hint="eastAsia" w:ascii="宋体" w:hAnsi="宋体" w:cs="宋体"/>
                <w:szCs w:val="21"/>
              </w:rPr>
              <w:t>符合第二章“供应商须知前附表”规定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4" w:hRule="atLeast"/>
        </w:trPr>
        <w:tc>
          <w:tcPr>
            <w:tcW w:w="688" w:type="dxa"/>
            <w:vMerge w:val="continue"/>
            <w:tcBorders>
              <w:right w:val="single" w:color="auto" w:sz="4" w:space="0"/>
            </w:tcBorders>
            <w:vAlign w:val="center"/>
          </w:tcPr>
          <w:p>
            <w:pPr>
              <w:spacing w:line="440" w:lineRule="exact"/>
              <w:jc w:val="center"/>
              <w:rPr>
                <w:rFonts w:ascii="宋体" w:cs="宋体"/>
                <w:szCs w:val="21"/>
              </w:rPr>
            </w:pPr>
          </w:p>
        </w:tc>
        <w:tc>
          <w:tcPr>
            <w:tcW w:w="989" w:type="dxa"/>
            <w:vMerge w:val="continue"/>
            <w:tcBorders>
              <w:right w:val="single" w:color="auto" w:sz="4" w:space="0"/>
            </w:tcBorders>
            <w:vAlign w:val="center"/>
          </w:tcPr>
          <w:p>
            <w:pPr>
              <w:spacing w:line="440" w:lineRule="exact"/>
              <w:jc w:val="center"/>
              <w:rPr>
                <w:rFonts w:ascii="宋体" w:cs="宋体"/>
                <w:szCs w:val="21"/>
              </w:rPr>
            </w:pPr>
          </w:p>
        </w:tc>
        <w:tc>
          <w:tcPr>
            <w:tcW w:w="29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宋体"/>
                <w:szCs w:val="21"/>
              </w:rPr>
            </w:pPr>
            <w:r>
              <w:rPr>
                <w:rFonts w:hint="eastAsia"/>
              </w:rPr>
              <w:t>项目说明及要求</w:t>
            </w:r>
          </w:p>
        </w:tc>
        <w:tc>
          <w:tcPr>
            <w:tcW w:w="4735" w:type="dxa"/>
            <w:tcBorders>
              <w:top w:val="single" w:color="auto" w:sz="4" w:space="0"/>
              <w:left w:val="single" w:color="auto" w:sz="4" w:space="0"/>
              <w:bottom w:val="single" w:color="auto" w:sz="4" w:space="0"/>
            </w:tcBorders>
            <w:vAlign w:val="center"/>
          </w:tcPr>
          <w:p>
            <w:pPr>
              <w:spacing w:line="440" w:lineRule="exact"/>
              <w:rPr>
                <w:rFonts w:ascii="宋体" w:cs="宋体"/>
                <w:szCs w:val="21"/>
              </w:rPr>
            </w:pPr>
            <w:r>
              <w:rPr>
                <w:rFonts w:hint="eastAsia" w:ascii="宋体" w:hAnsi="宋体" w:cs="宋体"/>
                <w:szCs w:val="21"/>
              </w:rPr>
              <w:t>符合第五章“</w:t>
            </w:r>
            <w:r>
              <w:rPr>
                <w:rFonts w:hint="eastAsia"/>
              </w:rPr>
              <w:t>项目说明及要求</w:t>
            </w:r>
            <w:r>
              <w:rPr>
                <w:rFonts w:hint="eastAsia" w:ascii="宋体" w:hAnsi="宋体" w:cs="宋体"/>
                <w:szCs w:val="21"/>
              </w:rPr>
              <w:t>”的要求。</w:t>
            </w:r>
          </w:p>
        </w:tc>
      </w:tr>
    </w:tbl>
    <w:p>
      <w:pPr>
        <w:pStyle w:val="44"/>
        <w:ind w:firstLine="0" w:firstLineChars="0"/>
      </w:pPr>
    </w:p>
    <w:p>
      <w:pPr>
        <w:pStyle w:val="44"/>
        <w:ind w:firstLine="0" w:firstLineChars="0"/>
      </w:pPr>
    </w:p>
    <w:p/>
    <w:p>
      <w:pPr>
        <w:pStyle w:val="44"/>
        <w:ind w:firstLine="424"/>
      </w:pPr>
    </w:p>
    <w:p>
      <w:pPr>
        <w:pStyle w:val="44"/>
        <w:ind w:firstLine="0" w:firstLineChars="0"/>
      </w:pPr>
    </w:p>
    <w:p/>
    <w:p/>
    <w:p>
      <w:pPr>
        <w:pStyle w:val="44"/>
        <w:ind w:firstLine="424"/>
      </w:pPr>
    </w:p>
    <w:p/>
    <w:p>
      <w:pPr>
        <w:pStyle w:val="2"/>
        <w:ind w:left="424" w:firstLine="424"/>
      </w:pPr>
    </w:p>
    <w:p>
      <w:pPr>
        <w:pStyle w:val="2"/>
        <w:ind w:left="424" w:firstLine="424"/>
      </w:pPr>
    </w:p>
    <w:p>
      <w:pPr>
        <w:pStyle w:val="6"/>
        <w:spacing w:line="480" w:lineRule="exact"/>
        <w:jc w:val="center"/>
        <w:rPr>
          <w:rFonts w:ascii="宋体" w:hAnsi="宋体" w:eastAsia="宋体" w:cs="宋体"/>
          <w:sz w:val="30"/>
          <w:szCs w:val="30"/>
        </w:rPr>
      </w:pPr>
      <w:r>
        <w:rPr>
          <w:rFonts w:hint="eastAsia" w:ascii="宋体" w:hAnsi="宋体" w:eastAsia="宋体" w:cs="宋体"/>
          <w:sz w:val="30"/>
          <w:szCs w:val="30"/>
        </w:rPr>
        <w:br w:type="page"/>
      </w:r>
      <w:r>
        <w:rPr>
          <w:rFonts w:hint="eastAsia" w:ascii="宋体" w:hAnsi="宋体" w:eastAsia="宋体" w:cs="宋体"/>
          <w:sz w:val="30"/>
          <w:szCs w:val="30"/>
        </w:rPr>
        <w:t>评分标准表</w:t>
      </w:r>
    </w:p>
    <w:p/>
    <w:tbl>
      <w:tblPr>
        <w:tblStyle w:val="25"/>
        <w:tblpPr w:leftFromText="180" w:rightFromText="180" w:vertAnchor="text" w:horzAnchor="page" w:tblpX="1512" w:tblpY="70"/>
        <w:tblOverlap w:val="never"/>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567"/>
        <w:gridCol w:w="6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36" w:type="dxa"/>
            <w:vAlign w:val="center"/>
          </w:tcPr>
          <w:p>
            <w:pPr>
              <w:spacing w:line="340" w:lineRule="atLeast"/>
              <w:jc w:val="center"/>
              <w:rPr>
                <w:rFonts w:ascii="宋体" w:hAnsi="宋体" w:cs="宋体"/>
                <w:szCs w:val="21"/>
              </w:rPr>
            </w:pPr>
            <w:r>
              <w:rPr>
                <w:rFonts w:hint="eastAsia" w:ascii="宋体" w:hAnsi="宋体" w:cs="宋体"/>
                <w:szCs w:val="21"/>
              </w:rPr>
              <w:t>条款号</w:t>
            </w:r>
          </w:p>
        </w:tc>
        <w:tc>
          <w:tcPr>
            <w:tcW w:w="1567" w:type="dxa"/>
            <w:vAlign w:val="center"/>
          </w:tcPr>
          <w:p>
            <w:pPr>
              <w:spacing w:line="340" w:lineRule="atLeast"/>
              <w:jc w:val="center"/>
              <w:rPr>
                <w:rFonts w:ascii="宋体" w:hAnsi="宋体" w:cs="宋体"/>
                <w:kern w:val="0"/>
                <w:szCs w:val="21"/>
              </w:rPr>
            </w:pPr>
            <w:r>
              <w:rPr>
                <w:rFonts w:hint="eastAsia" w:ascii="宋体" w:hAnsi="宋体" w:cs="宋体"/>
                <w:szCs w:val="21"/>
              </w:rPr>
              <w:t>评分因素</w:t>
            </w:r>
          </w:p>
        </w:tc>
        <w:tc>
          <w:tcPr>
            <w:tcW w:w="6619" w:type="dxa"/>
            <w:vAlign w:val="center"/>
          </w:tcPr>
          <w:p>
            <w:pPr>
              <w:widowControl/>
              <w:tabs>
                <w:tab w:val="left" w:pos="753"/>
              </w:tabs>
              <w:adjustRightInd w:val="0"/>
              <w:spacing w:line="340" w:lineRule="atLeast"/>
              <w:ind w:firstLine="2" w:firstLineChars="1"/>
              <w:jc w:val="center"/>
              <w:rPr>
                <w:rFonts w:ascii="宋体" w:hAnsi="宋体" w:cs="宋体"/>
                <w:kern w:val="0"/>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1036" w:type="dxa"/>
            <w:vAlign w:val="center"/>
          </w:tcPr>
          <w:p>
            <w:pPr>
              <w:spacing w:line="340" w:lineRule="atLeast"/>
              <w:jc w:val="center"/>
              <w:rPr>
                <w:rFonts w:ascii="宋体" w:hAnsi="宋体" w:cs="宋体"/>
                <w:sz w:val="24"/>
              </w:rPr>
            </w:pPr>
            <w:r>
              <w:rPr>
                <w:rFonts w:hint="eastAsia" w:ascii="宋体" w:hAnsi="宋体" w:cs="宋体"/>
                <w:sz w:val="24"/>
              </w:rPr>
              <w:t>价格部分（30分）</w:t>
            </w:r>
          </w:p>
        </w:tc>
        <w:tc>
          <w:tcPr>
            <w:tcW w:w="1567" w:type="dxa"/>
            <w:vAlign w:val="center"/>
          </w:tcPr>
          <w:p>
            <w:pPr>
              <w:spacing w:line="340" w:lineRule="atLeast"/>
              <w:rPr>
                <w:rFonts w:ascii="宋体" w:hAnsi="宋体" w:cs="宋体"/>
                <w:kern w:val="0"/>
                <w:sz w:val="24"/>
              </w:rPr>
            </w:pPr>
            <w:r>
              <w:rPr>
                <w:rFonts w:hint="eastAsia" w:ascii="宋体" w:hAnsi="宋体" w:cs="仿宋_GB2312"/>
                <w:sz w:val="24"/>
              </w:rPr>
              <w:t>价格部分</w:t>
            </w:r>
            <w:r>
              <w:rPr>
                <w:rFonts w:hint="eastAsia" w:ascii="宋体" w:hAnsi="宋体" w:cs="宋体"/>
                <w:sz w:val="24"/>
              </w:rPr>
              <w:t>（30分）</w:t>
            </w:r>
          </w:p>
        </w:tc>
        <w:tc>
          <w:tcPr>
            <w:tcW w:w="6619" w:type="dxa"/>
          </w:tcPr>
          <w:p>
            <w:pPr>
              <w:widowControl/>
              <w:tabs>
                <w:tab w:val="left" w:pos="753"/>
              </w:tabs>
              <w:adjustRightInd w:val="0"/>
              <w:spacing w:line="340" w:lineRule="atLeast"/>
              <w:ind w:firstLine="2" w:firstLineChars="1"/>
              <w:rPr>
                <w:rFonts w:ascii="宋体" w:hAnsi="宋体" w:cs="宋体"/>
                <w:kern w:val="0"/>
                <w:sz w:val="24"/>
              </w:rPr>
            </w:pPr>
            <w:r>
              <w:rPr>
                <w:rFonts w:hint="eastAsia" w:ascii="宋体" w:hAnsi="宋体" w:cs="宋体"/>
                <w:kern w:val="0"/>
                <w:sz w:val="24"/>
              </w:rPr>
              <w:t>1、满足磋商文件要求且投标价格最低的投标报价为评标基准价，其价格分为30分。</w:t>
            </w:r>
          </w:p>
          <w:p>
            <w:pPr>
              <w:widowControl/>
              <w:tabs>
                <w:tab w:val="left" w:pos="753"/>
              </w:tabs>
              <w:adjustRightInd w:val="0"/>
              <w:spacing w:line="340" w:lineRule="atLeast"/>
              <w:ind w:firstLine="2" w:firstLineChars="1"/>
              <w:rPr>
                <w:rFonts w:ascii="宋体" w:hAnsi="宋体" w:cs="宋体"/>
                <w:kern w:val="0"/>
                <w:sz w:val="24"/>
              </w:rPr>
            </w:pPr>
            <w:r>
              <w:rPr>
                <w:rFonts w:hint="eastAsia" w:ascii="宋体" w:hAnsi="宋体" w:cs="宋体"/>
                <w:kern w:val="0"/>
                <w:sz w:val="24"/>
              </w:rPr>
              <w:t>2、其他报价得分=评标基准价/投标报价×30×100%.</w:t>
            </w:r>
          </w:p>
          <w:p>
            <w:pPr>
              <w:widowControl/>
              <w:tabs>
                <w:tab w:val="left" w:pos="753"/>
              </w:tabs>
              <w:adjustRightInd w:val="0"/>
              <w:spacing w:line="340" w:lineRule="atLeast"/>
              <w:ind w:firstLine="2" w:firstLineChars="1"/>
              <w:rPr>
                <w:rFonts w:ascii="宋体" w:hAnsi="宋体" w:cs="宋体"/>
                <w:kern w:val="0"/>
                <w:sz w:val="24"/>
              </w:rPr>
            </w:pPr>
            <w:r>
              <w:rPr>
                <w:rFonts w:hint="eastAsia" w:ascii="宋体" w:hAnsi="宋体" w:cs="宋体"/>
                <w:kern w:val="0"/>
                <w:sz w:val="24"/>
              </w:rPr>
              <w:t>3、超出招标控制价的投标报价为无效报价。</w:t>
            </w:r>
          </w:p>
          <w:p>
            <w:pPr>
              <w:widowControl/>
              <w:tabs>
                <w:tab w:val="left" w:pos="753"/>
              </w:tabs>
              <w:adjustRightInd w:val="0"/>
              <w:spacing w:line="340" w:lineRule="atLeast"/>
              <w:ind w:firstLine="2" w:firstLineChars="1"/>
              <w:rPr>
                <w:rFonts w:ascii="宋体" w:hAnsi="宋体" w:cs="宋体"/>
                <w:kern w:val="0"/>
                <w:sz w:val="24"/>
              </w:rPr>
            </w:pPr>
            <w:r>
              <w:rPr>
                <w:rFonts w:hint="eastAsia" w:ascii="宋体" w:hAnsi="宋体" w:cs="宋体"/>
                <w:kern w:val="0"/>
                <w:sz w:val="24"/>
              </w:rPr>
              <w:t>   注：保留两位小数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6" w:type="dxa"/>
            <w:vMerge w:val="restart"/>
            <w:vAlign w:val="center"/>
          </w:tcPr>
          <w:p>
            <w:pPr>
              <w:pStyle w:val="42"/>
              <w:jc w:val="center"/>
            </w:pPr>
            <w:r>
              <w:rPr>
                <w:rFonts w:hint="eastAsia" w:ascii="宋体" w:hAnsi="宋体" w:cs="宋体"/>
                <w:sz w:val="24"/>
              </w:rPr>
              <w:t>技术部分（70分</w:t>
            </w:r>
            <w:r>
              <w:rPr>
                <w:rFonts w:hint="eastAsia"/>
              </w:rPr>
              <w:t>）</w:t>
            </w:r>
          </w:p>
        </w:tc>
        <w:tc>
          <w:tcPr>
            <w:tcW w:w="1567" w:type="dxa"/>
            <w:vAlign w:val="center"/>
          </w:tcPr>
          <w:p>
            <w:pPr>
              <w:spacing w:line="340" w:lineRule="atLeast"/>
              <w:rPr>
                <w:rFonts w:ascii="宋体" w:hAnsi="宋体" w:cs="仿宋_GB2312"/>
                <w:szCs w:val="21"/>
              </w:rPr>
            </w:pPr>
            <w:r>
              <w:rPr>
                <w:rFonts w:hint="eastAsia" w:ascii="宋体" w:hAnsi="宋体" w:cs="宋体"/>
                <w:sz w:val="24"/>
              </w:rPr>
              <w:t>产品性能及技术参数（10分）</w:t>
            </w:r>
          </w:p>
        </w:tc>
        <w:tc>
          <w:tcPr>
            <w:tcW w:w="6619" w:type="dxa"/>
            <w:vAlign w:val="center"/>
          </w:tcPr>
          <w:p>
            <w:pPr>
              <w:keepNext/>
              <w:numPr>
                <w:ilvl w:val="0"/>
                <w:numId w:val="5"/>
              </w:numPr>
              <w:spacing w:line="340" w:lineRule="atLeast"/>
              <w:rPr>
                <w:rFonts w:ascii="宋体" w:hAnsi="宋体" w:cs="宋体"/>
                <w:sz w:val="24"/>
              </w:rPr>
            </w:pPr>
            <w:r>
              <w:rPr>
                <w:rFonts w:ascii="宋体" w:hAnsi="宋体" w:cs="宋体"/>
                <w:sz w:val="24"/>
              </w:rPr>
              <w:t>根据各供应商投标产品的主要性能指标以及技术的先进性和可靠性进行综合评分。 产品整体配备优，主要技术性能指标、功能全优于采购文件要求，得</w:t>
            </w:r>
            <w:r>
              <w:rPr>
                <w:rFonts w:hint="eastAsia" w:ascii="宋体" w:hAnsi="宋体" w:cs="宋体"/>
                <w:sz w:val="24"/>
              </w:rPr>
              <w:t>5</w:t>
            </w:r>
            <w:r>
              <w:rPr>
                <w:rFonts w:ascii="宋体" w:hAnsi="宋体" w:cs="宋体"/>
                <w:sz w:val="24"/>
              </w:rPr>
              <w:t>分；产品整体配备较好，主要技术性能指标、功能符合采购文件要求，得</w:t>
            </w:r>
            <w:r>
              <w:rPr>
                <w:rFonts w:hint="eastAsia" w:ascii="宋体" w:hAnsi="宋体" w:cs="宋体"/>
                <w:sz w:val="24"/>
              </w:rPr>
              <w:t>4</w:t>
            </w:r>
            <w:r>
              <w:rPr>
                <w:rFonts w:ascii="宋体" w:hAnsi="宋体" w:cs="宋体"/>
                <w:sz w:val="24"/>
              </w:rPr>
              <w:t>分；产品整体配备一般，主要技术性能指标、功能基本符合采购文件要求，得3分；此项在报价文件中没有体现的不得分。</w:t>
            </w:r>
          </w:p>
          <w:p>
            <w:pPr>
              <w:keepNext/>
              <w:spacing w:line="340" w:lineRule="atLeast"/>
            </w:pPr>
            <w:r>
              <w:rPr>
                <w:rFonts w:ascii="宋体" w:hAnsi="宋体" w:cs="宋体"/>
                <w:sz w:val="24"/>
              </w:rPr>
              <w:t>2、根据各供应商投标产品的稳定性、安全性、易维护性进行综合评分。性能稳定，故障率低，极易维护的，得</w:t>
            </w:r>
            <w:r>
              <w:rPr>
                <w:rFonts w:hint="eastAsia" w:ascii="宋体" w:hAnsi="宋体" w:cs="宋体"/>
                <w:sz w:val="24"/>
              </w:rPr>
              <w:t>5</w:t>
            </w:r>
            <w:r>
              <w:rPr>
                <w:rFonts w:ascii="宋体" w:hAnsi="宋体" w:cs="宋体"/>
                <w:sz w:val="24"/>
              </w:rPr>
              <w:t>分；性能稳定性一般，故障率较高，不太容易维护的，得</w:t>
            </w:r>
            <w:r>
              <w:rPr>
                <w:rFonts w:hint="eastAsia" w:ascii="宋体" w:hAnsi="宋体" w:cs="宋体"/>
                <w:sz w:val="24"/>
              </w:rPr>
              <w:t>4</w:t>
            </w:r>
            <w:r>
              <w:rPr>
                <w:rFonts w:ascii="宋体" w:hAnsi="宋体" w:cs="宋体"/>
                <w:sz w:val="24"/>
              </w:rPr>
              <w:t>分；稳定性较差，故障频发，维护难的，得3分；此项在报价文件中没有体现的不得分</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6" w:type="dxa"/>
            <w:vMerge w:val="continue"/>
            <w:tcBorders/>
            <w:vAlign w:val="center"/>
          </w:tcPr>
          <w:p>
            <w:pPr>
              <w:pStyle w:val="42"/>
              <w:jc w:val="center"/>
            </w:pPr>
          </w:p>
        </w:tc>
        <w:tc>
          <w:tcPr>
            <w:tcW w:w="1567" w:type="dxa"/>
            <w:vAlign w:val="center"/>
          </w:tcPr>
          <w:p>
            <w:pPr>
              <w:spacing w:line="340" w:lineRule="atLeast"/>
              <w:rPr>
                <w:rFonts w:ascii="宋体" w:hAnsi="宋体" w:cs="仿宋_GB2312"/>
                <w:szCs w:val="21"/>
              </w:rPr>
            </w:pPr>
            <w:r>
              <w:rPr>
                <w:rFonts w:ascii="宋体" w:hAnsi="宋体" w:cs="宋体"/>
                <w:sz w:val="24"/>
              </w:rPr>
              <w:t>售后服务 （1</w:t>
            </w:r>
            <w:r>
              <w:rPr>
                <w:rFonts w:hint="eastAsia" w:ascii="宋体" w:hAnsi="宋体" w:cs="宋体"/>
                <w:sz w:val="24"/>
              </w:rPr>
              <w:t>8</w:t>
            </w:r>
            <w:r>
              <w:rPr>
                <w:rFonts w:ascii="宋体" w:hAnsi="宋体" w:cs="宋体"/>
                <w:sz w:val="24"/>
              </w:rPr>
              <w:t>分）</w:t>
            </w:r>
          </w:p>
        </w:tc>
        <w:tc>
          <w:tcPr>
            <w:tcW w:w="6619" w:type="dxa"/>
            <w:vAlign w:val="center"/>
          </w:tcPr>
          <w:p>
            <w:pPr>
              <w:keepNext/>
              <w:spacing w:line="340" w:lineRule="atLeast"/>
            </w:pPr>
            <w:r>
              <w:rPr>
                <w:rFonts w:ascii="宋体" w:hAnsi="宋体" w:cs="宋体"/>
                <w:sz w:val="24"/>
              </w:rPr>
              <w:t>售后服务承诺：根据各供应商的售后服务承诺（包括：质保期、供货计划、维护力量安排、备件供应、完工时间、设备维修维护方式、服务响应时间、维修承诺和售后服务的便捷性等进行分析，以上内容全部描述比较详细得</w:t>
            </w:r>
            <w:r>
              <w:rPr>
                <w:rFonts w:hint="eastAsia" w:ascii="宋体" w:hAnsi="宋体" w:cs="宋体"/>
                <w:sz w:val="24"/>
              </w:rPr>
              <w:t>18</w:t>
            </w:r>
            <w:r>
              <w:rPr>
                <w:rFonts w:ascii="宋体" w:hAnsi="宋体" w:cs="宋体"/>
                <w:sz w:val="24"/>
              </w:rPr>
              <w:t>分；</w:t>
            </w:r>
            <w:r>
              <w:rPr>
                <w:rFonts w:hint="eastAsia" w:ascii="宋体" w:hAnsi="宋体" w:cs="宋体"/>
                <w:sz w:val="24"/>
              </w:rPr>
              <w:t>每有一处不完善、不合理或弱势项扣1分，扣完为止，若此条缺项不得分。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1036" w:type="dxa"/>
            <w:vMerge w:val="continue"/>
            <w:tcBorders/>
            <w:vAlign w:val="center"/>
          </w:tcPr>
          <w:p>
            <w:pPr>
              <w:spacing w:line="340" w:lineRule="atLeast"/>
              <w:jc w:val="center"/>
              <w:rPr>
                <w:rFonts w:ascii="宋体" w:hAnsi="宋体" w:cs="宋体"/>
                <w:szCs w:val="21"/>
              </w:rPr>
            </w:pPr>
          </w:p>
        </w:tc>
        <w:tc>
          <w:tcPr>
            <w:tcW w:w="1567" w:type="dxa"/>
            <w:vAlign w:val="center"/>
          </w:tcPr>
          <w:p>
            <w:pPr>
              <w:spacing w:line="340" w:lineRule="atLeast"/>
              <w:rPr>
                <w:rFonts w:ascii="宋体" w:hAnsi="宋体" w:cs="宋体"/>
                <w:szCs w:val="21"/>
                <w:highlight w:val="none"/>
              </w:rPr>
            </w:pPr>
            <w:r>
              <w:rPr>
                <w:rFonts w:hint="eastAsia" w:ascii="宋体" w:hAnsi="宋体" w:cs="宋体"/>
                <w:sz w:val="24"/>
                <w:highlight w:val="none"/>
              </w:rPr>
              <w:t>供货安装方案（18 分）</w:t>
            </w:r>
          </w:p>
        </w:tc>
        <w:tc>
          <w:tcPr>
            <w:tcW w:w="6619" w:type="dxa"/>
            <w:vAlign w:val="center"/>
          </w:tcPr>
          <w:p>
            <w:pPr>
              <w:keepNext/>
              <w:spacing w:line="340" w:lineRule="atLeast"/>
              <w:rPr>
                <w:highlight w:val="none"/>
              </w:rPr>
            </w:pPr>
            <w:r>
              <w:rPr>
                <w:rFonts w:hint="eastAsia" w:ascii="宋体" w:hAnsi="宋体" w:cs="宋体"/>
                <w:sz w:val="24"/>
                <w:highlight w:val="none"/>
              </w:rPr>
              <w:t>根据采购人的实际需要，对供货、安装等制定详细的计划，提供设备供货的组织方案及时间安排情况等进行综合评价,方案科学可行且验收标准内容完善得 18 分；每有一处不完善、不合理或弱势项扣1分，扣完为止，若此条缺项不得分。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6" w:type="dxa"/>
            <w:vMerge w:val="continue"/>
            <w:tcBorders/>
            <w:vAlign w:val="center"/>
          </w:tcPr>
          <w:p>
            <w:pPr>
              <w:spacing w:line="340" w:lineRule="atLeast"/>
              <w:jc w:val="center"/>
              <w:rPr>
                <w:rFonts w:ascii="宋体" w:hAnsi="宋体" w:cs="宋体"/>
                <w:szCs w:val="21"/>
              </w:rPr>
            </w:pPr>
          </w:p>
        </w:tc>
        <w:tc>
          <w:tcPr>
            <w:tcW w:w="1567" w:type="dxa"/>
            <w:vAlign w:val="center"/>
          </w:tcPr>
          <w:p>
            <w:pPr>
              <w:spacing w:line="340" w:lineRule="atLeast"/>
              <w:rPr>
                <w:rFonts w:ascii="宋体" w:hAnsi="宋体" w:cs="宋体"/>
                <w:sz w:val="24"/>
              </w:rPr>
            </w:pPr>
            <w:r>
              <w:rPr>
                <w:rFonts w:ascii="宋体" w:hAnsi="宋体" w:cs="宋体"/>
                <w:sz w:val="24"/>
              </w:rPr>
              <w:t>质量保证和保证交货期措施（</w:t>
            </w:r>
            <w:r>
              <w:rPr>
                <w:rFonts w:hint="eastAsia" w:ascii="宋体" w:hAnsi="宋体" w:cs="宋体"/>
                <w:sz w:val="24"/>
              </w:rPr>
              <w:t>18</w:t>
            </w:r>
            <w:r>
              <w:rPr>
                <w:rFonts w:ascii="宋体" w:hAnsi="宋体" w:cs="宋体"/>
                <w:sz w:val="24"/>
              </w:rPr>
              <w:t xml:space="preserve"> 分）</w:t>
            </w:r>
          </w:p>
        </w:tc>
        <w:tc>
          <w:tcPr>
            <w:tcW w:w="6619" w:type="dxa"/>
            <w:vAlign w:val="center"/>
          </w:tcPr>
          <w:p>
            <w:pPr>
              <w:keepNext/>
              <w:spacing w:line="340" w:lineRule="atLeast"/>
              <w:rPr>
                <w:rFonts w:ascii="宋体" w:hAnsi="宋体" w:cs="宋体"/>
                <w:sz w:val="24"/>
              </w:rPr>
            </w:pPr>
            <w:r>
              <w:rPr>
                <w:rFonts w:hint="eastAsia" w:ascii="宋体" w:hAnsi="宋体" w:cs="宋体"/>
                <w:sz w:val="24"/>
              </w:rPr>
              <w:t>货物的供货、运输、安装调试过程中的质量保证措施、质量承诺</w:t>
            </w:r>
            <w:r>
              <w:rPr>
                <w:rFonts w:ascii="宋体" w:hAnsi="宋体" w:cs="宋体"/>
                <w:sz w:val="24"/>
              </w:rPr>
              <w:t>和保证交货期措施</w:t>
            </w:r>
            <w:r>
              <w:rPr>
                <w:rFonts w:hint="eastAsia" w:ascii="宋体" w:hAnsi="宋体" w:cs="宋体"/>
                <w:sz w:val="24"/>
              </w:rPr>
              <w:t>等进行分析,以上内容全部描述比较详细得 18分；每有一处不完善、不合理或弱势项扣1分，扣完为止，若此条缺项不得分。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6" w:type="dxa"/>
            <w:vMerge w:val="continue"/>
            <w:tcBorders/>
            <w:vAlign w:val="center"/>
          </w:tcPr>
          <w:p>
            <w:pPr>
              <w:spacing w:line="340" w:lineRule="atLeast"/>
              <w:jc w:val="center"/>
              <w:rPr>
                <w:rFonts w:ascii="宋体" w:hAnsi="宋体" w:cs="宋体"/>
                <w:szCs w:val="21"/>
              </w:rPr>
            </w:pPr>
          </w:p>
        </w:tc>
        <w:tc>
          <w:tcPr>
            <w:tcW w:w="1567" w:type="dxa"/>
            <w:vAlign w:val="center"/>
          </w:tcPr>
          <w:p>
            <w:pPr>
              <w:keepNext/>
              <w:spacing w:line="340" w:lineRule="atLeast"/>
              <w:rPr>
                <w:highlight w:val="none"/>
              </w:rPr>
            </w:pPr>
            <w:r>
              <w:rPr>
                <w:rFonts w:ascii="宋体" w:hAnsi="宋体" w:cs="宋体"/>
                <w:sz w:val="24"/>
                <w:highlight w:val="none"/>
              </w:rPr>
              <w:t>配件、耗材、 选件和备件 （</w:t>
            </w:r>
            <w:r>
              <w:rPr>
                <w:rFonts w:hint="eastAsia" w:ascii="宋体" w:hAnsi="宋体" w:cs="宋体"/>
                <w:sz w:val="24"/>
                <w:highlight w:val="none"/>
                <w:lang w:val="en-US" w:eastAsia="zh-CN"/>
              </w:rPr>
              <w:t>3</w:t>
            </w:r>
            <w:r>
              <w:rPr>
                <w:rFonts w:ascii="宋体" w:hAnsi="宋体" w:cs="宋体"/>
                <w:sz w:val="24"/>
                <w:highlight w:val="none"/>
              </w:rPr>
              <w:t>分）</w:t>
            </w:r>
          </w:p>
        </w:tc>
        <w:tc>
          <w:tcPr>
            <w:tcW w:w="6619" w:type="dxa"/>
            <w:vAlign w:val="center"/>
          </w:tcPr>
          <w:p>
            <w:pPr>
              <w:keepNext/>
              <w:spacing w:line="340" w:lineRule="atLeast"/>
              <w:rPr>
                <w:rFonts w:ascii="宋体" w:hAnsi="宋体" w:cs="宋体"/>
                <w:sz w:val="24"/>
                <w:highlight w:val="none"/>
              </w:rPr>
            </w:pPr>
            <w:r>
              <w:rPr>
                <w:rFonts w:hint="eastAsia" w:ascii="宋体" w:hAnsi="宋体" w:cs="宋体"/>
                <w:sz w:val="24"/>
                <w:highlight w:val="none"/>
              </w:rPr>
              <w:t>根据供应商所投货物配件、耗材、选件表和备件等情况进行综合评价，以上内容全部描述比较详细得</w:t>
            </w:r>
            <w:r>
              <w:rPr>
                <w:rFonts w:hint="eastAsia" w:ascii="宋体" w:hAnsi="宋体" w:cs="宋体"/>
                <w:sz w:val="24"/>
                <w:highlight w:val="none"/>
                <w:lang w:val="en-US" w:eastAsia="zh-CN"/>
              </w:rPr>
              <w:t>3</w:t>
            </w:r>
            <w:r>
              <w:rPr>
                <w:rFonts w:hint="eastAsia" w:ascii="宋体" w:hAnsi="宋体" w:cs="宋体"/>
                <w:sz w:val="24"/>
                <w:highlight w:val="none"/>
              </w:rPr>
              <w:t>分；每有一处不完善、不合理或弱势项扣0.5分，扣完为止，若此条缺项不得分。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036" w:type="dxa"/>
            <w:vMerge w:val="continue"/>
            <w:tcBorders/>
            <w:vAlign w:val="center"/>
          </w:tcPr>
          <w:p>
            <w:pPr>
              <w:spacing w:line="340" w:lineRule="atLeast"/>
              <w:jc w:val="center"/>
              <w:rPr>
                <w:rFonts w:ascii="宋体" w:hAnsi="宋体" w:cs="宋体"/>
                <w:szCs w:val="21"/>
              </w:rPr>
            </w:pPr>
          </w:p>
        </w:tc>
        <w:tc>
          <w:tcPr>
            <w:tcW w:w="1567" w:type="dxa"/>
            <w:vAlign w:val="center"/>
          </w:tcPr>
          <w:p>
            <w:pPr>
              <w:keepNext/>
              <w:spacing w:line="340" w:lineRule="atLeas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合理化建议</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p>
        </w:tc>
        <w:tc>
          <w:tcPr>
            <w:tcW w:w="6619" w:type="dxa"/>
            <w:vAlign w:val="center"/>
          </w:tcPr>
          <w:p>
            <w:pPr>
              <w:keepNext/>
              <w:spacing w:line="340" w:lineRule="atLeast"/>
              <w:rPr>
                <w:rFonts w:hint="eastAsia" w:ascii="宋体" w:hAnsi="宋体" w:eastAsia="宋体" w:cs="宋体"/>
                <w:sz w:val="24"/>
                <w:highlight w:val="none"/>
              </w:rPr>
            </w:pPr>
            <w:r>
              <w:rPr>
                <w:rFonts w:hint="eastAsia" w:ascii="宋体" w:hAnsi="宋体" w:eastAsia="宋体" w:cs="宋体"/>
                <w:sz w:val="24"/>
                <w:highlight w:val="none"/>
                <w:lang w:eastAsia="zh-CN"/>
              </w:rPr>
              <w:t>根据供应商对本项目的合理化建议，响应文件提供建议完全满足项目需求得 3分，每有一处不合理的扣0.5分，若此条缺项不得分。</w:t>
            </w:r>
            <w:bookmarkStart w:id="158" w:name="_GoBack"/>
            <w:bookmarkEnd w:id="158"/>
          </w:p>
        </w:tc>
      </w:tr>
    </w:tbl>
    <w:p/>
    <w:p>
      <w:pPr>
        <w:pStyle w:val="42"/>
      </w:pPr>
    </w:p>
    <w:p>
      <w:pPr>
        <w:spacing w:line="500" w:lineRule="exact"/>
        <w:outlineLvl w:val="1"/>
        <w:rPr>
          <w:rFonts w:ascii="宋体" w:hAnsi="宋体" w:cs="宋体"/>
          <w:b/>
          <w:sz w:val="24"/>
        </w:rPr>
      </w:pPr>
      <w:bookmarkStart w:id="80" w:name="_Toc489390345"/>
      <w:bookmarkStart w:id="81" w:name="_Toc31727"/>
      <w:r>
        <w:rPr>
          <w:rFonts w:hint="eastAsia" w:ascii="宋体" w:hAnsi="宋体" w:cs="宋体"/>
          <w:b/>
          <w:sz w:val="24"/>
        </w:rPr>
        <w:t>一、磋商程序</w:t>
      </w:r>
      <w:bookmarkEnd w:id="80"/>
      <w:bookmarkEnd w:id="81"/>
    </w:p>
    <w:p>
      <w:pPr>
        <w:spacing w:line="500" w:lineRule="exact"/>
        <w:ind w:firstLine="435"/>
        <w:rPr>
          <w:rFonts w:ascii="宋体" w:hAnsi="宋体" w:cs="宋体"/>
          <w:b/>
          <w:sz w:val="24"/>
        </w:rPr>
      </w:pPr>
      <w:r>
        <w:rPr>
          <w:rFonts w:hint="eastAsia" w:ascii="宋体" w:hAnsi="宋体" w:cs="宋体"/>
          <w:b/>
          <w:sz w:val="24"/>
        </w:rPr>
        <w:t>1、资格性审查。</w:t>
      </w:r>
    </w:p>
    <w:p>
      <w:pPr>
        <w:spacing w:line="500" w:lineRule="exact"/>
        <w:ind w:left="-2" w:leftChars="-1" w:firstLine="482" w:firstLineChars="200"/>
        <w:rPr>
          <w:rFonts w:ascii="宋体" w:hAnsi="宋体" w:cs="宋体"/>
          <w:sz w:val="24"/>
        </w:rPr>
      </w:pPr>
      <w:r>
        <w:rPr>
          <w:rFonts w:hint="eastAsia" w:ascii="宋体" w:hAnsi="宋体" w:cs="宋体"/>
          <w:sz w:val="24"/>
        </w:rPr>
        <w:t>各供应商须将以下有效证件原件的扫描件（以下证件电子签章或盖章、签字后扫描上传均可，另有说明的除外）做入响应文件内。资格审查时，由磋商小组审查，审查合格的供应商才有资格进行磋商和最终报价。</w:t>
      </w:r>
    </w:p>
    <w:p>
      <w:pPr>
        <w:spacing w:line="500" w:lineRule="exact"/>
        <w:ind w:firstLine="482" w:firstLineChars="200"/>
        <w:rPr>
          <w:rFonts w:ascii="宋体" w:hAnsi="宋体" w:cs="宋体"/>
          <w:b/>
          <w:bCs/>
          <w:sz w:val="24"/>
        </w:rPr>
      </w:pPr>
      <w:r>
        <w:rPr>
          <w:rFonts w:hint="eastAsia" w:ascii="宋体" w:hAnsi="宋体" w:cs="宋体"/>
          <w:b/>
          <w:bCs/>
          <w:sz w:val="24"/>
        </w:rPr>
        <w:t>（1）有效的具有统一社会信用代码的营业执照副本；</w:t>
      </w:r>
    </w:p>
    <w:p>
      <w:pPr>
        <w:spacing w:line="500" w:lineRule="exact"/>
        <w:ind w:firstLine="482" w:firstLineChars="200"/>
        <w:rPr>
          <w:rFonts w:ascii="宋体" w:hAnsi="宋体" w:cs="宋体"/>
          <w:b/>
          <w:bCs/>
          <w:sz w:val="24"/>
        </w:rPr>
      </w:pPr>
      <w:r>
        <w:rPr>
          <w:rFonts w:hint="eastAsia" w:ascii="宋体" w:hAnsi="宋体" w:cs="宋体"/>
          <w:b/>
          <w:bCs/>
          <w:sz w:val="24"/>
        </w:rPr>
        <w:t>（2）法定代表人身份证原件（法人到场参加开标会议的）或法人授权委托书、授权委托人身份证原件及法人身份证复印件（授权委托人到场参加开标会议的）；</w:t>
      </w:r>
    </w:p>
    <w:p>
      <w:pPr>
        <w:spacing w:line="500" w:lineRule="exact"/>
        <w:ind w:firstLine="482" w:firstLineChars="200"/>
        <w:rPr>
          <w:rFonts w:ascii="宋体" w:hAnsi="宋体" w:cs="宋体"/>
          <w:b/>
          <w:bCs/>
          <w:sz w:val="24"/>
        </w:rPr>
      </w:pPr>
      <w:r>
        <w:rPr>
          <w:rFonts w:hint="eastAsia" w:ascii="宋体" w:hAnsi="宋体" w:cs="宋体"/>
          <w:b/>
          <w:bCs/>
          <w:sz w:val="24"/>
        </w:rPr>
        <w:t>（3）资格信用承诺函；</w:t>
      </w:r>
    </w:p>
    <w:p>
      <w:pPr>
        <w:spacing w:line="500" w:lineRule="exact"/>
        <w:ind w:firstLine="482" w:firstLineChars="200"/>
        <w:rPr>
          <w:rFonts w:ascii="宋体" w:hAnsi="宋体" w:cs="宋体"/>
          <w:b/>
          <w:bCs/>
          <w:sz w:val="24"/>
        </w:rPr>
      </w:pPr>
      <w:r>
        <w:rPr>
          <w:rFonts w:hint="eastAsia" w:ascii="宋体" w:hAnsi="宋体" w:cs="宋体"/>
          <w:b/>
          <w:bCs/>
          <w:sz w:val="24"/>
        </w:rPr>
        <w:t>（4）中小企业声明函。</w:t>
      </w:r>
    </w:p>
    <w:p>
      <w:pPr>
        <w:spacing w:line="500" w:lineRule="exact"/>
        <w:ind w:firstLine="510" w:firstLineChars="200"/>
        <w:rPr>
          <w:rFonts w:ascii="宋体" w:hAnsi="宋体" w:cs="宋体"/>
          <w:spacing w:val="8"/>
          <w:sz w:val="23"/>
          <w:szCs w:val="23"/>
        </w:rPr>
      </w:pPr>
      <w:r>
        <w:rPr>
          <w:rFonts w:ascii="宋体" w:hAnsi="宋体" w:cs="宋体"/>
          <w:spacing w:val="12"/>
          <w:sz w:val="23"/>
          <w:szCs w:val="23"/>
        </w:rPr>
        <w:t>以上</w:t>
      </w:r>
      <w:r>
        <w:rPr>
          <w:rFonts w:ascii="宋体" w:hAnsi="宋体" w:cs="宋体"/>
          <w:spacing w:val="10"/>
          <w:sz w:val="23"/>
          <w:szCs w:val="23"/>
        </w:rPr>
        <w:t>资</w:t>
      </w:r>
      <w:r>
        <w:rPr>
          <w:rFonts w:ascii="宋体" w:hAnsi="宋体" w:cs="宋体"/>
          <w:spacing w:val="6"/>
          <w:sz w:val="23"/>
          <w:szCs w:val="23"/>
        </w:rPr>
        <w:t>格证件缺项或有一项或多项不合格者，作无效报价处理，不再参与下一步评</w:t>
      </w:r>
      <w:r>
        <w:rPr>
          <w:rFonts w:ascii="宋体" w:hAnsi="宋体" w:cs="宋体"/>
          <w:sz w:val="23"/>
          <w:szCs w:val="23"/>
        </w:rPr>
        <w:t xml:space="preserve"> </w:t>
      </w:r>
      <w:r>
        <w:rPr>
          <w:rFonts w:ascii="宋体" w:hAnsi="宋体" w:cs="宋体"/>
          <w:spacing w:val="10"/>
          <w:sz w:val="23"/>
          <w:szCs w:val="23"/>
        </w:rPr>
        <w:t>审</w:t>
      </w:r>
      <w:r>
        <w:rPr>
          <w:rFonts w:ascii="宋体" w:hAnsi="宋体" w:cs="宋体"/>
          <w:spacing w:val="8"/>
          <w:sz w:val="23"/>
          <w:szCs w:val="23"/>
        </w:rPr>
        <w:t>程序，供应商应对提供的资料负责。</w:t>
      </w:r>
    </w:p>
    <w:p>
      <w:pPr>
        <w:spacing w:line="500" w:lineRule="exact"/>
        <w:ind w:firstLine="482" w:firstLineChars="200"/>
        <w:rPr>
          <w:b/>
          <w:bCs/>
          <w:sz w:val="24"/>
        </w:rPr>
      </w:pPr>
      <w:r>
        <w:rPr>
          <w:rFonts w:hint="eastAsia"/>
          <w:b/>
          <w:bCs/>
          <w:sz w:val="24"/>
        </w:rPr>
        <w:t>根据菏财采【2022】9号文规定，在政府采购活动中，供应商只需在资格审查环节提供满足相应条件的资格承诺函，不在需要提供以下证明材料（资格信用承诺格式见响应文件格式）：</w:t>
      </w:r>
    </w:p>
    <w:p>
      <w:pPr>
        <w:numPr>
          <w:ilvl w:val="0"/>
          <w:numId w:val="6"/>
        </w:numPr>
        <w:spacing w:line="500" w:lineRule="exact"/>
        <w:ind w:firstLine="482" w:firstLineChars="200"/>
        <w:rPr>
          <w:sz w:val="24"/>
        </w:rPr>
      </w:pPr>
      <w:r>
        <w:rPr>
          <w:rFonts w:hint="eastAsia"/>
          <w:sz w:val="24"/>
        </w:rPr>
        <w:t>符合国家规定的财务状况报告；</w:t>
      </w:r>
    </w:p>
    <w:p>
      <w:pPr>
        <w:numPr>
          <w:ilvl w:val="0"/>
          <w:numId w:val="6"/>
        </w:numPr>
        <w:spacing w:line="500" w:lineRule="exact"/>
        <w:ind w:firstLine="482" w:firstLineChars="200"/>
        <w:rPr>
          <w:sz w:val="24"/>
        </w:rPr>
      </w:pPr>
      <w:r>
        <w:rPr>
          <w:rFonts w:hint="eastAsia"/>
          <w:sz w:val="24"/>
        </w:rPr>
        <w:t>依法缴纳税收的证明材料；</w:t>
      </w:r>
    </w:p>
    <w:p>
      <w:pPr>
        <w:numPr>
          <w:ilvl w:val="0"/>
          <w:numId w:val="6"/>
        </w:numPr>
        <w:spacing w:line="500" w:lineRule="exact"/>
        <w:ind w:firstLine="482" w:firstLineChars="200"/>
        <w:rPr>
          <w:sz w:val="24"/>
        </w:rPr>
      </w:pPr>
      <w:r>
        <w:rPr>
          <w:rFonts w:hint="eastAsia"/>
          <w:sz w:val="24"/>
        </w:rPr>
        <w:t>依法缴纳社会保障金的证明材料；</w:t>
      </w:r>
    </w:p>
    <w:p>
      <w:pPr>
        <w:numPr>
          <w:ilvl w:val="0"/>
          <w:numId w:val="6"/>
        </w:numPr>
        <w:spacing w:line="500" w:lineRule="exact"/>
        <w:ind w:firstLine="482" w:firstLineChars="200"/>
        <w:rPr>
          <w:sz w:val="24"/>
        </w:rPr>
      </w:pPr>
      <w:r>
        <w:rPr>
          <w:rFonts w:hint="eastAsia"/>
          <w:sz w:val="24"/>
        </w:rPr>
        <w:t>具备履行合同所必需的设备和专业技术能力的证明材料；</w:t>
      </w:r>
    </w:p>
    <w:p>
      <w:pPr>
        <w:numPr>
          <w:ilvl w:val="0"/>
          <w:numId w:val="6"/>
        </w:numPr>
        <w:spacing w:line="500" w:lineRule="exact"/>
        <w:ind w:firstLine="482" w:firstLineChars="200"/>
        <w:rPr>
          <w:sz w:val="24"/>
        </w:rPr>
      </w:pPr>
      <w:r>
        <w:rPr>
          <w:rFonts w:hint="eastAsia"/>
          <w:sz w:val="24"/>
        </w:rPr>
        <w:t>参加政府采购活动（以开启时间为准）前3年内，供应商和其法定代表人无行贿犯罪行为、在经营活动中没有重大违法记录以及本项目开启时未被禁止参加本项目所在地的政府采购活动的证明材料；</w:t>
      </w:r>
    </w:p>
    <w:p>
      <w:pPr>
        <w:numPr>
          <w:ilvl w:val="0"/>
          <w:numId w:val="6"/>
        </w:numPr>
        <w:spacing w:line="500" w:lineRule="exact"/>
        <w:ind w:firstLine="482" w:firstLineChars="200"/>
        <w:rPr>
          <w:sz w:val="24"/>
        </w:rPr>
      </w:pPr>
      <w:r>
        <w:rPr>
          <w:rFonts w:hint="eastAsia"/>
          <w:sz w:val="24"/>
        </w:rPr>
        <w:t>未被列入失信被执行人、企业经营异常名录、重大税收违法案件当事人名单以及政府采购严重违法失信行为记录名单的证明材料。</w:t>
      </w:r>
    </w:p>
    <w:p>
      <w:pPr>
        <w:spacing w:line="500" w:lineRule="exact"/>
        <w:ind w:firstLine="482" w:firstLineChars="200"/>
        <w:rPr>
          <w:rFonts w:ascii="宋体" w:hAnsi="宋体" w:cs="宋体"/>
          <w:b/>
          <w:bCs/>
          <w:sz w:val="24"/>
        </w:rPr>
      </w:pPr>
      <w:r>
        <w:rPr>
          <w:rFonts w:hint="eastAsia" w:ascii="宋体" w:hAnsi="宋体" w:cs="宋体"/>
          <w:b/>
          <w:bCs/>
          <w:sz w:val="24"/>
        </w:rPr>
        <w:t>以上证明材料需潜在成交供应商在采购项目评标环节结束后5个工作日内，按采购文件要求，将上述由资格承诺函所替代的证明材料提交采购人核验，核验无误后，发出成交通知书。</w:t>
      </w:r>
    </w:p>
    <w:p>
      <w:pPr>
        <w:spacing w:line="500" w:lineRule="exact"/>
        <w:ind w:firstLine="435"/>
        <w:rPr>
          <w:rFonts w:ascii="宋体" w:hAnsi="宋体" w:cs="宋体"/>
          <w:b/>
          <w:sz w:val="24"/>
        </w:rPr>
      </w:pPr>
      <w:r>
        <w:rPr>
          <w:rFonts w:hint="eastAsia" w:ascii="宋体" w:hAnsi="宋体" w:cs="宋体"/>
          <w:b/>
          <w:sz w:val="24"/>
        </w:rPr>
        <w:t>2、符合性审查</w:t>
      </w:r>
    </w:p>
    <w:p>
      <w:pPr>
        <w:spacing w:line="500" w:lineRule="exact"/>
        <w:ind w:firstLine="482" w:firstLineChars="200"/>
        <w:rPr>
          <w:rFonts w:ascii="宋体" w:hAnsi="宋体" w:cs="宋体"/>
          <w:sz w:val="24"/>
        </w:rPr>
      </w:pPr>
      <w:r>
        <w:rPr>
          <w:rFonts w:hint="eastAsia" w:ascii="宋体" w:hAnsi="宋体" w:cs="宋体"/>
          <w:sz w:val="24"/>
        </w:rPr>
        <w:t>2.1磋商小组依据磋商文件规定，对响应文件的内容是否完整、文件签署是否正确、响应文件是否符合磋商文件的要求进行审查，以确定是否对磋商文件的实质性要求作出响应。</w:t>
      </w:r>
    </w:p>
    <w:p>
      <w:pPr>
        <w:spacing w:line="500" w:lineRule="exact"/>
        <w:ind w:firstLine="482" w:firstLineChars="200"/>
        <w:rPr>
          <w:rFonts w:ascii="宋体" w:hAnsi="宋体" w:cs="宋体"/>
          <w:sz w:val="24"/>
        </w:rPr>
      </w:pPr>
      <w:r>
        <w:rPr>
          <w:rFonts w:hint="eastAsia" w:ascii="宋体" w:hAnsi="宋体" w:cs="宋体"/>
          <w:sz w:val="24"/>
        </w:rPr>
        <w:t>2.2在符合性审查中如出现下列情况之一的响应文件，按</w:t>
      </w:r>
      <w:r>
        <w:rPr>
          <w:rFonts w:hint="eastAsia" w:ascii="宋体" w:hAnsi="宋体" w:cs="宋体"/>
          <w:b/>
          <w:sz w:val="24"/>
        </w:rPr>
        <w:t>无效响应文件</w:t>
      </w:r>
      <w:r>
        <w:rPr>
          <w:rFonts w:hint="eastAsia" w:ascii="宋体" w:hAnsi="宋体" w:cs="宋体"/>
          <w:sz w:val="24"/>
        </w:rPr>
        <w:t>处理，不再进行磋商，磋商小组需告知供应商：</w:t>
      </w:r>
    </w:p>
    <w:p>
      <w:pPr>
        <w:spacing w:line="500" w:lineRule="exact"/>
        <w:ind w:firstLine="482" w:firstLineChars="200"/>
        <w:rPr>
          <w:rFonts w:ascii="宋体" w:hAnsi="宋体" w:cs="宋体"/>
          <w:sz w:val="24"/>
        </w:rPr>
      </w:pPr>
      <w:r>
        <w:rPr>
          <w:rFonts w:hint="eastAsia" w:ascii="宋体" w:hAnsi="宋体" w:cs="宋体"/>
          <w:sz w:val="24"/>
        </w:rPr>
        <w:t>（1）响应文件未按规定签字、盖章；</w:t>
      </w:r>
    </w:p>
    <w:p>
      <w:pPr>
        <w:spacing w:line="500" w:lineRule="exact"/>
        <w:ind w:firstLine="482" w:firstLineChars="200"/>
        <w:rPr>
          <w:rFonts w:ascii="宋体" w:hAnsi="宋体" w:cs="宋体"/>
          <w:sz w:val="24"/>
        </w:rPr>
      </w:pPr>
      <w:r>
        <w:rPr>
          <w:rFonts w:hint="eastAsia" w:ascii="宋体" w:hAnsi="宋体" w:cs="宋体"/>
          <w:sz w:val="24"/>
        </w:rPr>
        <w:t>（2）响应文件中提供虚假或失实资料的；</w:t>
      </w:r>
    </w:p>
    <w:p>
      <w:pPr>
        <w:spacing w:line="500" w:lineRule="exact"/>
        <w:ind w:firstLine="482" w:firstLineChars="200"/>
        <w:rPr>
          <w:rFonts w:ascii="宋体" w:hAnsi="宋体" w:cs="宋体"/>
          <w:sz w:val="24"/>
        </w:rPr>
      </w:pPr>
      <w:r>
        <w:rPr>
          <w:rFonts w:hint="eastAsia" w:ascii="宋体" w:hAnsi="宋体" w:cs="宋体"/>
          <w:sz w:val="24"/>
        </w:rPr>
        <w:t>（3）不满足磋商文件其他实质性要求的；</w:t>
      </w:r>
    </w:p>
    <w:p>
      <w:pPr>
        <w:spacing w:line="500" w:lineRule="exact"/>
        <w:ind w:firstLine="482" w:firstLineChars="200"/>
        <w:rPr>
          <w:rFonts w:ascii="宋体" w:hAnsi="宋体" w:cs="宋体"/>
          <w:sz w:val="24"/>
        </w:rPr>
      </w:pPr>
      <w:r>
        <w:rPr>
          <w:rFonts w:hint="eastAsia" w:ascii="宋体" w:hAnsi="宋体" w:cs="宋体"/>
          <w:sz w:val="24"/>
        </w:rPr>
        <w:t>（4）法律、法规中有关无效投标的其他情况。</w:t>
      </w:r>
    </w:p>
    <w:p>
      <w:pPr>
        <w:spacing w:line="500" w:lineRule="exact"/>
        <w:ind w:firstLine="435"/>
        <w:rPr>
          <w:rFonts w:ascii="宋体" w:hAnsi="宋体" w:cs="宋体"/>
          <w:b/>
          <w:sz w:val="24"/>
        </w:rPr>
      </w:pPr>
      <w:r>
        <w:rPr>
          <w:rFonts w:hint="eastAsia" w:ascii="宋体" w:hAnsi="宋体" w:cs="宋体"/>
          <w:b/>
          <w:sz w:val="24"/>
        </w:rPr>
        <w:t>3、综合评标</w:t>
      </w:r>
    </w:p>
    <w:p>
      <w:pPr>
        <w:spacing w:line="500" w:lineRule="exact"/>
        <w:ind w:firstLine="482" w:firstLineChars="200"/>
        <w:rPr>
          <w:rFonts w:ascii="宋体" w:hAnsi="宋体" w:cs="宋体"/>
          <w:sz w:val="24"/>
        </w:rPr>
      </w:pPr>
      <w:r>
        <w:rPr>
          <w:rFonts w:hint="eastAsia" w:ascii="宋体" w:hAnsi="宋体" w:cs="宋体"/>
          <w:sz w:val="24"/>
        </w:rPr>
        <w:t>3.1对通过资格性和符合性审查的响应文件，磋商小组将根据竞争性磋商文件确定的评标标准和方法作进一步的比较和评价。</w:t>
      </w:r>
    </w:p>
    <w:p>
      <w:pPr>
        <w:spacing w:line="500" w:lineRule="exact"/>
        <w:ind w:firstLine="482" w:firstLineChars="200"/>
        <w:rPr>
          <w:rFonts w:ascii="宋体" w:hAnsi="宋体" w:cs="宋体"/>
          <w:sz w:val="24"/>
        </w:rPr>
      </w:pPr>
      <w:r>
        <w:rPr>
          <w:rFonts w:hint="eastAsia" w:ascii="宋体" w:hAnsi="宋体" w:cs="宋体"/>
          <w:sz w:val="24"/>
        </w:rPr>
        <w:t>3.2磋商小组严格按照竞争性磋商文件的要求和评审因素进行评标分析。</w:t>
      </w:r>
    </w:p>
    <w:p>
      <w:pPr>
        <w:spacing w:line="500" w:lineRule="exact"/>
        <w:ind w:firstLine="482" w:firstLineChars="200"/>
        <w:rPr>
          <w:rFonts w:ascii="宋体" w:hAnsi="宋体" w:cs="宋体"/>
          <w:sz w:val="24"/>
        </w:rPr>
      </w:pPr>
      <w:r>
        <w:rPr>
          <w:rFonts w:hint="eastAsia" w:ascii="宋体" w:hAnsi="宋体" w:cs="宋体"/>
          <w:sz w:val="24"/>
        </w:rPr>
        <w:t>3.3竞争性磋商办法：本项目采用综合评分法。</w:t>
      </w:r>
    </w:p>
    <w:p>
      <w:pPr>
        <w:spacing w:line="500" w:lineRule="exact"/>
        <w:ind w:firstLine="482" w:firstLineChars="200"/>
        <w:rPr>
          <w:rFonts w:ascii="宋体" w:hAnsi="宋体" w:cs="宋体"/>
          <w:b/>
          <w:sz w:val="24"/>
        </w:rPr>
      </w:pPr>
      <w:r>
        <w:rPr>
          <w:rFonts w:hint="eastAsia" w:ascii="宋体" w:hAnsi="宋体" w:cs="宋体"/>
          <w:b/>
          <w:sz w:val="24"/>
        </w:rPr>
        <w:t>3.4</w:t>
      </w:r>
      <w:r>
        <w:rPr>
          <w:rFonts w:hint="eastAsia" w:ascii="宋体" w:hAnsi="宋体" w:cs="宋体"/>
          <w:b/>
          <w:color w:val="000000"/>
          <w:sz w:val="24"/>
        </w:rPr>
        <w:t>磋商小组按以下程序进行综合评标：</w:t>
      </w:r>
    </w:p>
    <w:p>
      <w:pPr>
        <w:spacing w:line="500" w:lineRule="exact"/>
        <w:ind w:firstLine="482" w:firstLineChars="200"/>
        <w:rPr>
          <w:rFonts w:ascii="宋体" w:hAnsi="宋体" w:cs="宋体"/>
          <w:sz w:val="24"/>
        </w:rPr>
      </w:pPr>
      <w:r>
        <w:rPr>
          <w:rFonts w:hint="eastAsia" w:ascii="宋体" w:hAnsi="宋体" w:cs="宋体"/>
          <w:sz w:val="24"/>
        </w:rPr>
        <w:t>3.4.1围绕磋商要点，磋商小组全体成员集中与单一供应商分别进行磋商。供应商磋商顺序由磋商小组现场决定。</w:t>
      </w:r>
    </w:p>
    <w:p>
      <w:pPr>
        <w:spacing w:line="500" w:lineRule="exact"/>
        <w:ind w:firstLine="482" w:firstLineChars="200"/>
        <w:rPr>
          <w:rFonts w:ascii="宋体" w:hAnsi="宋体" w:cs="宋体"/>
          <w:sz w:val="24"/>
        </w:rPr>
      </w:pPr>
      <w:r>
        <w:rPr>
          <w:rFonts w:hint="eastAsia" w:ascii="宋体" w:hAnsi="宋体" w:cs="宋体"/>
          <w:sz w:val="24"/>
        </w:rPr>
        <w:t>3.4.2磋商过程中，磋商小组可以根据磋商情况实质性变动采购需求中的技术、服务要求以及合同草案条款，但不得变动磋商文件中的其他内容。实质性变动的内容需经采购人代表确认。并以书面形式通知所有参加磋商的供应商，该变动是磋商文件的有效组成部分。供应商应当按照磋商文件的变动情况和磋商小组的要求重新提交响应文件并由其法定代表人或授权代表签字或者加盖公章。供应商应根据磋商小组的要求，以书面形式在规定时间内做出响应，未做出响应的响应文件将被拒绝。</w:t>
      </w:r>
    </w:p>
    <w:p>
      <w:pPr>
        <w:spacing w:line="500" w:lineRule="exact"/>
        <w:ind w:firstLine="482" w:firstLineChars="200"/>
        <w:rPr>
          <w:rFonts w:ascii="宋体" w:hAnsi="宋体" w:cs="宋体"/>
          <w:b/>
          <w:bCs/>
          <w:sz w:val="24"/>
        </w:rPr>
      </w:pPr>
      <w:r>
        <w:rPr>
          <w:rFonts w:hint="eastAsia" w:ascii="宋体" w:hAnsi="宋体" w:cs="宋体"/>
          <w:sz w:val="24"/>
        </w:rPr>
        <w:t>3.4.3</w:t>
      </w:r>
      <w:r>
        <w:rPr>
          <w:rFonts w:ascii="宋体" w:hAnsi="宋体" w:cs="宋体"/>
          <w:spacing w:val="6"/>
          <w:sz w:val="23"/>
          <w:szCs w:val="23"/>
          <w14:textOutline w14:w="4356" w14:cap="sq" w14:cmpd="sng" w14:algn="ctr">
            <w14:solidFill>
              <w14:srgbClr w14:val="000000"/>
            </w14:solidFill>
            <w14:prstDash w14:val="solid"/>
            <w14:bevel/>
          </w14:textOutline>
        </w:rPr>
        <w:t>本次磋商采用二轮报价法</w:t>
      </w:r>
      <w:r>
        <w:rPr>
          <w:rFonts w:ascii="宋体" w:hAnsi="宋体" w:cs="宋体"/>
          <w:spacing w:val="6"/>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(最终报价)</w:t>
      </w:r>
      <w:r>
        <w:rPr>
          <w:rFonts w:ascii="宋体" w:hAnsi="宋体" w:cs="宋体"/>
          <w:spacing w:val="6"/>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，供应商递交的响应文件中的报价为一</w:t>
      </w:r>
      <w:r>
        <w:rPr>
          <w:rFonts w:ascii="宋体" w:hAnsi="宋体" w:cs="宋体"/>
          <w:spacing w:val="21"/>
          <w:sz w:val="23"/>
          <w:szCs w:val="23"/>
          <w14:textOutline w14:w="4356" w14:cap="sq" w14:cmpd="sng" w14:algn="ctr">
            <w14:solidFill>
              <w14:srgbClr w14:val="000000"/>
            </w14:solidFill>
            <w14:prstDash w14:val="solid"/>
            <w14:bevel/>
          </w14:textOutline>
        </w:rPr>
        <w:t>轮</w:t>
      </w:r>
      <w:r>
        <w:rPr>
          <w:rFonts w:ascii="宋体" w:hAnsi="宋体" w:cs="宋体"/>
          <w:spacing w:val="11"/>
          <w:sz w:val="23"/>
          <w:szCs w:val="23"/>
          <w14:textOutline w14:w="4356" w14:cap="sq" w14:cmpd="sng" w14:algn="ctr">
            <w14:solidFill>
              <w14:srgbClr w14:val="000000"/>
            </w14:solidFill>
            <w14:prstDash w14:val="solid"/>
            <w14:bevel/>
          </w14:textOutline>
        </w:rPr>
        <w:t>报价。在赢标电子招标采购交易平台(菏泽专区)</w:t>
      </w:r>
      <w:r>
        <w:rPr>
          <w:rFonts w:ascii="宋体" w:hAnsi="宋体" w:cs="宋体"/>
          <w:spacing w:val="11"/>
          <w:sz w:val="23"/>
          <w:szCs w:val="23"/>
        </w:rPr>
        <w:t xml:space="preserve">  </w:t>
      </w:r>
      <w:r>
        <w:rPr>
          <w:rFonts w:ascii="宋体" w:hAnsi="宋体" w:cs="宋体"/>
          <w:spacing w:val="11"/>
          <w:sz w:val="23"/>
          <w:szCs w:val="23"/>
          <w14:textOutline w14:w="4356" w14:cap="sq" w14:cmpd="sng" w14:algn="ctr">
            <w14:solidFill>
              <w14:srgbClr w14:val="000000"/>
            </w14:solidFill>
            <w14:prstDash w14:val="solid"/>
            <w14:bevel/>
          </w14:textOutline>
        </w:rPr>
        <w:t>(</w:t>
      </w:r>
      <w:r>
        <w:rPr>
          <w:rFonts w:ascii="宋体" w:hAnsi="宋体" w:cs="宋体"/>
          <w:sz w:val="23"/>
          <w:szCs w:val="23"/>
          <w14:textOutline w14:w="4356" w14:cap="sq" w14:cmpd="sng" w14:algn="ctr">
            <w14:solidFill>
              <w14:srgbClr w14:val="000000"/>
            </w14:solidFill>
            <w14:prstDash w14:val="solid"/>
            <w14:bevel/>
          </w14:textOutline>
        </w:rPr>
        <w:t>http</w:t>
      </w:r>
      <w:r>
        <w:rPr>
          <w:rFonts w:ascii="宋体" w:hAnsi="宋体" w:cs="宋体"/>
          <w:spacing w:val="11"/>
          <w:sz w:val="23"/>
          <w:szCs w:val="23"/>
          <w14:textOutline w14:w="4356" w14:cap="sq" w14:cmpd="sng" w14:algn="ctr">
            <w14:solidFill>
              <w14:srgbClr w14:val="000000"/>
            </w14:solidFill>
            <w14:prstDash w14:val="solid"/>
            <w14:bevel/>
          </w14:textOutline>
        </w:rPr>
        <w:t>://</w:t>
      </w:r>
      <w:r>
        <w:rPr>
          <w:rFonts w:ascii="宋体" w:hAnsi="宋体" w:cs="宋体"/>
          <w:sz w:val="23"/>
          <w:szCs w:val="23"/>
          <w14:textOutline w14:w="4356" w14:cap="sq" w14:cmpd="sng" w14:algn="ctr">
            <w14:solidFill>
              <w14:srgbClr w14:val="000000"/>
            </w14:solidFill>
            <w14:prstDash w14:val="solid"/>
            <w14:bevel/>
          </w14:textOutline>
        </w:rPr>
        <w:t>hz</w:t>
      </w:r>
      <w:r>
        <w:rPr>
          <w:rFonts w:ascii="宋体" w:hAnsi="宋体" w:cs="宋体"/>
          <w:spacing w:val="11"/>
          <w:sz w:val="23"/>
          <w:szCs w:val="23"/>
          <w14:textOutline w14:w="4356" w14:cap="sq" w14:cmpd="sng" w14:algn="ctr">
            <w14:solidFill>
              <w14:srgbClr w14:val="000000"/>
            </w14:solidFill>
            <w14:prstDash w14:val="solid"/>
            <w14:bevel/>
          </w14:textOutline>
        </w:rPr>
        <w:t>.</w:t>
      </w:r>
      <w:r>
        <w:rPr>
          <w:rFonts w:ascii="宋体" w:hAnsi="宋体" w:cs="宋体"/>
          <w:sz w:val="23"/>
          <w:szCs w:val="23"/>
          <w14:textOutline w14:w="4356" w14:cap="sq" w14:cmpd="sng" w14:algn="ctr">
            <w14:solidFill>
              <w14:srgbClr w14:val="000000"/>
            </w14:solidFill>
            <w14:prstDash w14:val="solid"/>
            <w14:bevel/>
          </w14:textOutline>
        </w:rPr>
        <w:t>fzbidding</w:t>
      </w:r>
      <w:r>
        <w:rPr>
          <w:rFonts w:ascii="宋体" w:hAnsi="宋体" w:cs="宋体"/>
          <w:spacing w:val="11"/>
          <w:sz w:val="23"/>
          <w:szCs w:val="23"/>
          <w14:textOutline w14:w="4356" w14:cap="sq" w14:cmpd="sng" w14:algn="ctr">
            <w14:solidFill>
              <w14:srgbClr w14:val="000000"/>
            </w14:solidFill>
            <w14:prstDash w14:val="solid"/>
            <w14:bevel/>
          </w14:textOutline>
        </w:rPr>
        <w:t>.</w:t>
      </w:r>
      <w:r>
        <w:rPr>
          <w:rFonts w:ascii="宋体" w:hAnsi="宋体" w:cs="宋体"/>
          <w:sz w:val="23"/>
          <w:szCs w:val="23"/>
          <w14:textOutline w14:w="4356" w14:cap="sq" w14:cmpd="sng" w14:algn="ctr">
            <w14:solidFill>
              <w14:srgbClr w14:val="000000"/>
            </w14:solidFill>
            <w14:prstDash w14:val="solid"/>
            <w14:bevel/>
          </w14:textOutline>
        </w:rPr>
        <w:t>com</w:t>
      </w:r>
      <w:r>
        <w:rPr>
          <w:rFonts w:ascii="宋体" w:hAnsi="宋体" w:cs="宋体"/>
          <w:spacing w:val="11"/>
          <w:sz w:val="23"/>
          <w:szCs w:val="23"/>
          <w14:textOutline w14:w="4356" w14:cap="sq" w14:cmpd="sng" w14:algn="ctr">
            <w14:solidFill>
              <w14:srgbClr w14:val="000000"/>
            </w14:solidFill>
            <w14:prstDash w14:val="solid"/>
            <w14:bevel/>
          </w14:textOutline>
        </w:rPr>
        <w:t>)按</w:t>
      </w:r>
      <w:r>
        <w:rPr>
          <w:rFonts w:ascii="宋体" w:hAnsi="宋体" w:cs="宋体"/>
          <w:spacing w:val="26"/>
          <w:sz w:val="23"/>
          <w:szCs w:val="23"/>
          <w14:textOutline w14:w="4356" w14:cap="sq" w14:cmpd="sng" w14:algn="ctr">
            <w14:solidFill>
              <w14:srgbClr w14:val="000000"/>
            </w14:solidFill>
            <w14:prstDash w14:val="solid"/>
            <w14:bevel/>
          </w14:textOutline>
        </w:rPr>
        <w:t>照要</w:t>
      </w:r>
      <w:r>
        <w:rPr>
          <w:rFonts w:ascii="宋体" w:hAnsi="宋体" w:cs="宋体"/>
          <w:spacing w:val="16"/>
          <w:sz w:val="23"/>
          <w:szCs w:val="23"/>
          <w14:textOutline w14:w="4356" w14:cap="sq" w14:cmpd="sng" w14:algn="ctr">
            <w14:solidFill>
              <w14:srgbClr w14:val="000000"/>
            </w14:solidFill>
            <w14:prstDash w14:val="solid"/>
            <w14:bevel/>
          </w14:textOutline>
        </w:rPr>
        <w:t>求</w:t>
      </w:r>
      <w:r>
        <w:rPr>
          <w:rFonts w:ascii="宋体" w:hAnsi="宋体" w:cs="宋体"/>
          <w:spacing w:val="13"/>
          <w:sz w:val="23"/>
          <w:szCs w:val="23"/>
          <w14:textOutline w14:w="4356" w14:cap="sq" w14:cmpd="sng" w14:algn="ctr">
            <w14:solidFill>
              <w14:srgbClr w14:val="000000"/>
            </w14:solidFill>
            <w14:prstDash w14:val="solid"/>
            <w14:bevel/>
          </w14:textOutline>
        </w:rPr>
        <w:t>提交二次报价。二轮报价不得高于一轮报价，否则以递交的响应文件中的报价</w:t>
      </w:r>
      <w:r>
        <w:rPr>
          <w:rFonts w:ascii="宋体" w:hAnsi="宋体" w:cs="宋体"/>
          <w:spacing w:val="14"/>
          <w:sz w:val="23"/>
          <w:szCs w:val="23"/>
          <w14:textOutline w14:w="4356" w14:cap="sq" w14:cmpd="sng" w14:algn="ctr">
            <w14:solidFill>
              <w14:srgbClr w14:val="000000"/>
            </w14:solidFill>
            <w14:prstDash w14:val="solid"/>
            <w14:bevel/>
          </w14:textOutline>
        </w:rPr>
        <w:t>为最</w:t>
      </w:r>
      <w:r>
        <w:rPr>
          <w:rFonts w:ascii="宋体" w:hAnsi="宋体" w:cs="宋体"/>
          <w:spacing w:val="7"/>
          <w:sz w:val="23"/>
          <w:szCs w:val="23"/>
          <w14:textOutline w14:w="4356" w14:cap="sq" w14:cmpd="sng" w14:algn="ctr">
            <w14:solidFill>
              <w14:srgbClr w14:val="000000"/>
            </w14:solidFill>
            <w14:prstDash w14:val="solid"/>
            <w14:bevel/>
          </w14:textOutline>
        </w:rPr>
        <w:t>终报价，所有报价均以人民币报价，以“元”为计价单位。</w:t>
      </w:r>
      <w:r>
        <w:rPr>
          <w:rFonts w:hint="eastAsia" w:ascii="宋体" w:hAnsi="宋体" w:cs="宋体"/>
          <w:sz w:val="24"/>
        </w:rPr>
        <w:t>磋商小组将要求通过评审的供应商在规定时间内提交最终报价，在规定时间内没有提交最终报价的磋商供应商，视同退出磋商。未通过实质性响应的供应商将不再进行最终报价。经磋商确定最终采购需求和提交最终报价的供应商后，由磋商小组采用综合评分法对提交最终报价的供应商的响应文件和最终报价进行综合评分。</w:t>
      </w:r>
      <w:r>
        <w:rPr>
          <w:rFonts w:hint="eastAsia" w:ascii="宋体" w:hAnsi="宋体" w:cs="宋体"/>
          <w:b/>
          <w:bCs/>
          <w:sz w:val="24"/>
        </w:rPr>
        <w:t>供应商报价明显低于市场价格和其他供应商报价的,须出具书面说明其报价详情,否则磋商小组有权按恶意竞争处理,其报价无效。</w:t>
      </w:r>
    </w:p>
    <w:p>
      <w:pPr>
        <w:spacing w:before="46" w:line="375" w:lineRule="auto"/>
        <w:ind w:right="35" w:firstLine="546" w:firstLineChars="200"/>
        <w:rPr>
          <w:rFonts w:ascii="宋体" w:hAnsi="宋体" w:cs="宋体"/>
          <w:sz w:val="23"/>
          <w:szCs w:val="23"/>
        </w:rPr>
      </w:pPr>
      <w:r>
        <w:rPr>
          <w:rFonts w:ascii="宋体" w:hAnsi="宋体" w:cs="宋体"/>
          <w:spacing w:val="21"/>
          <w:sz w:val="23"/>
          <w:szCs w:val="23"/>
        </w:rPr>
        <w:t>注</w:t>
      </w:r>
      <w:r>
        <w:rPr>
          <w:rFonts w:ascii="宋体" w:hAnsi="宋体" w:cs="宋体"/>
          <w:spacing w:val="12"/>
          <w:sz w:val="23"/>
          <w:szCs w:val="23"/>
        </w:rPr>
        <w:t>：磋商小组发起磋商后，供应商需在该项目的操作台“评标澄清”-"</w:t>
      </w:r>
      <w:r>
        <w:rPr>
          <w:rFonts w:ascii="宋体" w:hAnsi="宋体" w:cs="宋体"/>
          <w:spacing w:val="26"/>
          <w:sz w:val="23"/>
          <w:szCs w:val="23"/>
        </w:rPr>
        <w:t>报价</w:t>
      </w:r>
      <w:r>
        <w:rPr>
          <w:rFonts w:ascii="宋体" w:hAnsi="宋体" w:cs="宋体"/>
          <w:spacing w:val="14"/>
          <w:sz w:val="23"/>
          <w:szCs w:val="23"/>
        </w:rPr>
        <w:t>”</w:t>
      </w:r>
      <w:r>
        <w:rPr>
          <w:rFonts w:ascii="宋体" w:hAnsi="宋体" w:cs="宋体"/>
          <w:spacing w:val="13"/>
          <w:sz w:val="23"/>
          <w:szCs w:val="23"/>
        </w:rPr>
        <w:t>界面右下角聊天窗口进行磋商，磋商后立即在磋商截止时间前进行报价。栏目</w:t>
      </w:r>
      <w:r>
        <w:rPr>
          <w:rFonts w:ascii="宋体" w:hAnsi="宋体" w:cs="宋体"/>
          <w:spacing w:val="26"/>
          <w:sz w:val="23"/>
          <w:szCs w:val="23"/>
        </w:rPr>
        <w:t>所传</w:t>
      </w:r>
      <w:r>
        <w:rPr>
          <w:rFonts w:ascii="宋体" w:hAnsi="宋体" w:cs="宋体"/>
          <w:spacing w:val="14"/>
          <w:sz w:val="23"/>
          <w:szCs w:val="23"/>
        </w:rPr>
        <w:t>输</w:t>
      </w:r>
      <w:r>
        <w:rPr>
          <w:rFonts w:ascii="宋体" w:hAnsi="宋体" w:cs="宋体"/>
          <w:spacing w:val="13"/>
          <w:sz w:val="23"/>
          <w:szCs w:val="23"/>
        </w:rPr>
        <w:t>的文本、数字等信息及其附件为供应商的承诺，具有法律效力，供应商必须按其承诺执行，否则视为虚假应标，将追究相关责任</w:t>
      </w:r>
      <w:r>
        <w:rPr>
          <w:rFonts w:ascii="宋体" w:hAnsi="宋体" w:cs="宋体"/>
          <w:spacing w:val="10"/>
          <w:sz w:val="23"/>
          <w:szCs w:val="23"/>
        </w:rPr>
        <w:t>。</w:t>
      </w:r>
    </w:p>
    <w:p>
      <w:pPr>
        <w:spacing w:line="500" w:lineRule="exact"/>
        <w:ind w:firstLine="435"/>
        <w:rPr>
          <w:rFonts w:ascii="宋体" w:hAnsi="宋体" w:cs="宋体"/>
          <w:b/>
          <w:sz w:val="24"/>
        </w:rPr>
      </w:pPr>
      <w:r>
        <w:rPr>
          <w:rFonts w:hint="eastAsia" w:ascii="宋体" w:hAnsi="宋体" w:cs="宋体"/>
          <w:sz w:val="24"/>
        </w:rPr>
        <w:t>3.4.5</w:t>
      </w:r>
      <w:r>
        <w:rPr>
          <w:rFonts w:hint="eastAsia" w:ascii="宋体" w:hAnsi="宋体" w:cs="宋体"/>
          <w:b/>
          <w:sz w:val="24"/>
        </w:rPr>
        <w:t>响应文件的澄清和补正</w:t>
      </w:r>
    </w:p>
    <w:p>
      <w:pPr>
        <w:spacing w:line="500" w:lineRule="exact"/>
        <w:ind w:firstLine="411" w:firstLineChars="171"/>
        <w:rPr>
          <w:rFonts w:ascii="宋体" w:hAnsi="宋体" w:cs="宋体"/>
          <w:sz w:val="24"/>
        </w:rPr>
      </w:pPr>
      <w:r>
        <w:rPr>
          <w:rFonts w:hint="eastAsia" w:ascii="宋体" w:hAnsi="宋体" w:cs="宋体"/>
          <w:sz w:val="24"/>
        </w:rPr>
        <w:t>（1）在磋商过程中，磋商小组可以书面形式要求供应商对所提交的响应文件中不明确的内容进行书面澄清或说明，或者对细微偏差进行补正。磋商小组不接受供应商主动提出的澄清、说明或补正。磋商小组对供应商提交的澄清、说明或补正有疑问的，可以要求供应商进一步澄清、说明或补正，直至满足磋商小组的要求。</w:t>
      </w:r>
    </w:p>
    <w:p>
      <w:pPr>
        <w:spacing w:line="500" w:lineRule="exact"/>
        <w:ind w:firstLine="411" w:firstLineChars="171"/>
        <w:rPr>
          <w:rFonts w:ascii="宋体" w:hAnsi="宋体" w:cs="宋体"/>
          <w:sz w:val="24"/>
        </w:rPr>
      </w:pPr>
      <w:r>
        <w:rPr>
          <w:rFonts w:hint="eastAsia" w:ascii="宋体" w:hAnsi="宋体" w:cs="宋体"/>
          <w:sz w:val="24"/>
        </w:rPr>
        <w:t>（2）供应商的书面澄清、说明和补正属于响应文件的组成部分。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500" w:lineRule="exact"/>
        <w:rPr>
          <w:rFonts w:ascii="宋体" w:hAnsi="宋体" w:cs="宋体"/>
          <w:b/>
          <w:sz w:val="24"/>
        </w:rPr>
      </w:pPr>
      <w:bookmarkStart w:id="82" w:name="_Toc30304"/>
      <w:bookmarkStart w:id="83" w:name="_Toc489390346"/>
      <w:r>
        <w:rPr>
          <w:rFonts w:hint="eastAsia" w:ascii="宋体" w:hAnsi="宋体" w:cs="宋体"/>
          <w:b/>
          <w:sz w:val="24"/>
        </w:rPr>
        <w:t>二、评审方法及标准：</w:t>
      </w:r>
      <w:bookmarkEnd w:id="82"/>
      <w:bookmarkEnd w:id="83"/>
    </w:p>
    <w:p>
      <w:pPr>
        <w:spacing w:line="360" w:lineRule="auto"/>
        <w:ind w:firstLine="482" w:firstLineChars="200"/>
        <w:rPr>
          <w:rFonts w:ascii="宋体" w:hAnsi="宋体" w:cs="宋体"/>
          <w:color w:val="000000"/>
          <w:sz w:val="24"/>
        </w:rPr>
      </w:pPr>
      <w:bookmarkStart w:id="84" w:name="_Toc489390347"/>
      <w:bookmarkStart w:id="85" w:name="_Toc6851"/>
      <w:r>
        <w:rPr>
          <w:rFonts w:hint="eastAsia" w:ascii="宋体" w:hAnsi="宋体" w:cs="宋体"/>
          <w:sz w:val="24"/>
        </w:rPr>
        <w:t>采用综合评分法，总分为100分。磋商小组按照磋商文件的要求和条件，根据各供应商的项目管理人员配备、技术总体要求、报价等评分因素进行综合评估、打分，按综合得分由高到低的顺序进行排</w:t>
      </w:r>
      <w:r>
        <w:rPr>
          <w:rFonts w:hint="eastAsia" w:ascii="宋体" w:hAnsi="宋体" w:cs="宋体"/>
          <w:color w:val="000000"/>
          <w:sz w:val="24"/>
        </w:rPr>
        <w:t>列，推选出前三名作为成交候选人，但投标报价低于其成本的除外。评审得分相同的，按照最终报价由低到高的顺序推荐，评审得分且最终报价相同的，按照技术指标优劣顺序推荐。</w:t>
      </w:r>
    </w:p>
    <w:p>
      <w:pPr>
        <w:spacing w:line="500" w:lineRule="exact"/>
        <w:outlineLvl w:val="1"/>
        <w:rPr>
          <w:rFonts w:ascii="宋体" w:hAnsi="宋体" w:cs="宋体"/>
          <w:b/>
          <w:sz w:val="24"/>
        </w:rPr>
      </w:pPr>
      <w:r>
        <w:rPr>
          <w:rFonts w:hint="eastAsia" w:ascii="宋体" w:hAnsi="宋体" w:cs="宋体"/>
          <w:b/>
          <w:sz w:val="24"/>
        </w:rPr>
        <w:t>三、磋商结果</w:t>
      </w:r>
      <w:bookmarkEnd w:id="84"/>
      <w:bookmarkEnd w:id="85"/>
    </w:p>
    <w:p>
      <w:pPr>
        <w:spacing w:line="360" w:lineRule="auto"/>
        <w:ind w:firstLine="482" w:firstLineChars="200"/>
        <w:rPr>
          <w:rFonts w:ascii="宋体" w:hAnsi="宋体" w:cs="宋体"/>
          <w:b/>
          <w:sz w:val="24"/>
        </w:rPr>
      </w:pPr>
      <w:r>
        <w:rPr>
          <w:rFonts w:hint="eastAsia" w:ascii="宋体" w:hAnsi="宋体" w:cs="宋体"/>
          <w:b/>
          <w:sz w:val="24"/>
        </w:rPr>
        <w:t>1.磋商小组应当根据综合评分情况，按照评审得分由高到低顺序推荐3名成交候选供应商。</w:t>
      </w:r>
    </w:p>
    <w:p>
      <w:pPr>
        <w:pStyle w:val="44"/>
        <w:ind w:firstLine="484"/>
      </w:pPr>
      <w:r>
        <w:rPr>
          <w:rFonts w:hint="eastAsia"/>
          <w:color w:val="000000"/>
          <w:sz w:val="24"/>
        </w:rPr>
        <w:t>2.磋商小组完成磋商后，应当向采购人提交书面报告。</w:t>
      </w:r>
    </w:p>
    <w:p>
      <w:bookmarkStart w:id="86" w:name="_Toc469342432"/>
      <w:bookmarkStart w:id="87" w:name="_Toc469904855"/>
    </w:p>
    <w:p/>
    <w:p/>
    <w:p/>
    <w:p/>
    <w:p/>
    <w:p/>
    <w:p/>
    <w:p/>
    <w:p/>
    <w:p>
      <w:r>
        <w:br w:type="page"/>
      </w:r>
      <w:bookmarkEnd w:id="86"/>
      <w:bookmarkEnd w:id="87"/>
      <w:bookmarkStart w:id="88" w:name="_Toc5525"/>
      <w:bookmarkStart w:id="89" w:name="_Toc17659"/>
      <w:bookmarkStart w:id="90" w:name="_Toc16726"/>
    </w:p>
    <w:p>
      <w:pPr>
        <w:pStyle w:val="5"/>
        <w:rPr>
          <w:rFonts w:ascii="宋体" w:hAnsi="宋体" w:eastAsia="宋体" w:cs="宋体"/>
          <w:spacing w:val="-6"/>
          <w:kern w:val="2"/>
          <w:sz w:val="32"/>
          <w:szCs w:val="32"/>
        </w:rPr>
      </w:pPr>
      <w:r>
        <w:rPr>
          <w:rFonts w:hint="eastAsia" w:ascii="宋体" w:hAnsi="宋体" w:eastAsia="宋体" w:cs="宋体"/>
          <w:spacing w:val="-6"/>
          <w:kern w:val="2"/>
          <w:sz w:val="32"/>
          <w:szCs w:val="32"/>
        </w:rPr>
        <w:t>第四章  合同条款及格式</w:t>
      </w:r>
      <w:bookmarkEnd w:id="88"/>
      <w:bookmarkEnd w:id="89"/>
    </w:p>
    <w:p/>
    <w:p/>
    <w:p/>
    <w:p/>
    <w:p/>
    <w:p/>
    <w:p/>
    <w:p/>
    <w:p/>
    <w:p/>
    <w:p/>
    <w:p/>
    <w:p>
      <w:pPr>
        <w:spacing w:before="75" w:line="227" w:lineRule="auto"/>
        <w:ind w:left="2086" w:firstLine="562" w:firstLineChars="200"/>
        <w:outlineLvl w:val="0"/>
        <w:rPr>
          <w:rFonts w:ascii="宋体" w:hAnsi="宋体" w:cs="宋体"/>
          <w:sz w:val="23"/>
          <w:szCs w:val="23"/>
        </w:rPr>
      </w:pPr>
      <w:r>
        <w:rPr>
          <w:rFonts w:ascii="宋体" w:hAnsi="宋体" w:cs="宋体"/>
          <w:spacing w:val="25"/>
          <w:sz w:val="23"/>
          <w:szCs w:val="23"/>
          <w14:textOutline w14:w="4356" w14:cap="sq" w14:cmpd="sng" w14:algn="ctr">
            <w14:solidFill>
              <w14:srgbClr w14:val="000000"/>
            </w14:solidFill>
            <w14:prstDash w14:val="solid"/>
            <w14:bevel/>
          </w14:textOutline>
        </w:rPr>
        <w:t>(</w:t>
      </w:r>
      <w:r>
        <w:rPr>
          <w:rFonts w:ascii="宋体" w:hAnsi="宋体" w:cs="宋体"/>
          <w:spacing w:val="17"/>
          <w:sz w:val="23"/>
          <w:szCs w:val="23"/>
          <w14:textOutline w14:w="4356" w14:cap="sq" w14:cmpd="sng" w14:algn="ctr">
            <w14:solidFill>
              <w14:srgbClr w14:val="000000"/>
            </w14:solidFill>
            <w14:prstDash w14:val="solid"/>
            <w14:bevel/>
          </w14:textOutline>
        </w:rPr>
        <w:t>详见中国山东政府采购网合同模板)</w:t>
      </w:r>
    </w:p>
    <w:p>
      <w:pPr>
        <w:pStyle w:val="44"/>
        <w:ind w:firstLine="424"/>
      </w:pPr>
    </w:p>
    <w:p>
      <w:pPr>
        <w:rPr>
          <w:rFonts w:ascii="宋体" w:hAnsi="宋体" w:cs="宋体"/>
          <w:sz w:val="32"/>
          <w:szCs w:val="32"/>
        </w:rPr>
      </w:pPr>
      <w:bookmarkStart w:id="91" w:name="_Toc26555"/>
      <w:r>
        <w:rPr>
          <w:rFonts w:hint="eastAsia" w:ascii="宋体" w:hAnsi="宋体" w:cs="宋体"/>
          <w:sz w:val="32"/>
          <w:szCs w:val="32"/>
        </w:rPr>
        <w:br w:type="page"/>
      </w:r>
    </w:p>
    <w:p>
      <w:pPr>
        <w:pStyle w:val="5"/>
        <w:rPr>
          <w:rFonts w:ascii="宋体" w:hAnsi="宋体" w:eastAsia="宋体" w:cs="宋体"/>
          <w:sz w:val="32"/>
          <w:szCs w:val="32"/>
        </w:rPr>
      </w:pPr>
      <w:r>
        <w:rPr>
          <w:rFonts w:hint="eastAsia" w:ascii="宋体" w:hAnsi="宋体" w:eastAsia="宋体" w:cs="宋体"/>
          <w:sz w:val="32"/>
          <w:szCs w:val="32"/>
        </w:rPr>
        <w:t xml:space="preserve">第五章  </w:t>
      </w:r>
      <w:bookmarkStart w:id="92" w:name="_Toc24593"/>
      <w:bookmarkStart w:id="93" w:name="_Toc2782"/>
      <w:r>
        <w:rPr>
          <w:rFonts w:hint="eastAsia" w:ascii="宋体" w:hAnsi="宋体" w:eastAsia="宋体" w:cs="宋体"/>
          <w:sz w:val="32"/>
          <w:szCs w:val="32"/>
        </w:rPr>
        <w:t>项目说明及要求</w:t>
      </w:r>
      <w:bookmarkEnd w:id="91"/>
      <w:bookmarkEnd w:id="92"/>
      <w:bookmarkEnd w:id="93"/>
    </w:p>
    <w:bookmarkEnd w:id="90"/>
    <w:p>
      <w:pPr>
        <w:pStyle w:val="6"/>
      </w:pPr>
      <w:bookmarkStart w:id="94" w:name="_Toc4754"/>
      <w:r>
        <w:rPr>
          <w:rFonts w:hint="eastAsia"/>
        </w:rPr>
        <w:t>李孟油幼儿园厨房设备</w:t>
      </w:r>
    </w:p>
    <w:tbl>
      <w:tblPr>
        <w:tblStyle w:val="25"/>
        <w:tblW w:w="9091" w:type="dxa"/>
        <w:tblInd w:w="93" w:type="dxa"/>
        <w:tblLayout w:type="fixed"/>
        <w:tblCellMar>
          <w:top w:w="0" w:type="dxa"/>
          <w:left w:w="108" w:type="dxa"/>
          <w:bottom w:w="0" w:type="dxa"/>
          <w:right w:w="108" w:type="dxa"/>
        </w:tblCellMar>
      </w:tblPr>
      <w:tblGrid>
        <w:gridCol w:w="817"/>
        <w:gridCol w:w="1115"/>
        <w:gridCol w:w="1134"/>
        <w:gridCol w:w="718"/>
        <w:gridCol w:w="743"/>
        <w:gridCol w:w="4564"/>
      </w:tblGrid>
      <w:tr>
        <w:tblPrEx>
          <w:tblCellMar>
            <w:top w:w="0" w:type="dxa"/>
            <w:left w:w="108" w:type="dxa"/>
            <w:bottom w:w="0" w:type="dxa"/>
            <w:right w:w="108" w:type="dxa"/>
          </w:tblCellMar>
        </w:tblPrEx>
        <w:trPr>
          <w:trHeight w:val="27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序号</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设备名称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规格型号</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数量</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单位</w:t>
            </w:r>
          </w:p>
        </w:tc>
        <w:tc>
          <w:tcPr>
            <w:tcW w:w="4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技术参数</w:t>
            </w:r>
          </w:p>
        </w:tc>
      </w:tr>
      <w:tr>
        <w:tblPrEx>
          <w:tblCellMar>
            <w:top w:w="0" w:type="dxa"/>
            <w:left w:w="108" w:type="dxa"/>
            <w:bottom w:w="0" w:type="dxa"/>
            <w:right w:w="108" w:type="dxa"/>
          </w:tblCellMar>
        </w:tblPrEx>
        <w:trPr>
          <w:trHeight w:val="27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FF0000"/>
                <w:sz w:val="22"/>
                <w:szCs w:val="22"/>
              </w:rPr>
            </w:pPr>
            <w:r>
              <w:rPr>
                <w:rFonts w:hint="eastAsia" w:ascii="宋体" w:hAnsi="宋体" w:cs="宋体"/>
                <w:b/>
                <w:bCs/>
                <w:color w:val="FF0000"/>
                <w:kern w:val="0"/>
                <w:sz w:val="22"/>
                <w:szCs w:val="22"/>
                <w:lang w:bidi="ar"/>
              </w:rPr>
              <w:t>仓库</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45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135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AA01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平板车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900*600*900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56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规格：900*600*900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2.层面为≥1.2mm不锈钢，层面底采用38*38*1.2mm不锈钢方管加固，φ38*1.2mm钢管冷弯成型把手；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3.带两个定向轮，两个转向轮，转向轮带刹车。</w:t>
            </w:r>
          </w:p>
        </w:tc>
      </w:tr>
      <w:tr>
        <w:tblPrEx>
          <w:tblCellMar>
            <w:top w:w="0" w:type="dxa"/>
            <w:left w:w="108" w:type="dxa"/>
            <w:bottom w:w="0" w:type="dxa"/>
            <w:right w:w="108" w:type="dxa"/>
          </w:tblCellMar>
        </w:tblPrEx>
        <w:trPr>
          <w:trHeight w:val="54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AA02</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米面架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1200*600*300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56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1.采用304不锈钢；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2.台面及支架均为38*38*1.2mm厚不锈钢方管；</w:t>
            </w:r>
          </w:p>
        </w:tc>
      </w:tr>
      <w:tr>
        <w:tblPrEx>
          <w:tblCellMar>
            <w:top w:w="0" w:type="dxa"/>
            <w:left w:w="108" w:type="dxa"/>
            <w:bottom w:w="0" w:type="dxa"/>
            <w:right w:w="108" w:type="dxa"/>
          </w:tblCellMar>
        </w:tblPrEx>
        <w:trPr>
          <w:trHeight w:val="135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AA03</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四层货架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1200*500*1550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56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2.层板采用≥1.2mm不锈钢，三折边工艺处理；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3.腿采用Ф43*1.2mm不锈钢圆管；层板下用不锈钢60*40*1.2mm U型加强筋加固，间距≤500mm；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4.带四个可调节子弹脚。</w:t>
            </w:r>
          </w:p>
        </w:tc>
      </w:tr>
      <w:tr>
        <w:tblPrEx>
          <w:tblCellMar>
            <w:top w:w="0" w:type="dxa"/>
            <w:left w:w="108" w:type="dxa"/>
            <w:bottom w:w="0" w:type="dxa"/>
            <w:right w:w="108" w:type="dxa"/>
          </w:tblCellMar>
        </w:tblPrEx>
        <w:trPr>
          <w:trHeight w:val="297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AA04</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四门冰柜</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双温</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56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规格：1200*705*1965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1.食品冷柜用料：优质不锈钢板，柜门配有不锈钢门铰链（自动回门）、门锁及磁力胶边，雪柜内冷凝铜管Ф8mm。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2.板材：内外板≥0.6mm。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3.保温层：环戊烷。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4.总有效容积：910L。</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5.制冷剂：R134A。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6.双压缩机。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7.工作温度：冷藏+4℃～-5℃，冷冻-3℃～-20℃。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8.电压：220V，额定功率：370W。</w:t>
            </w:r>
          </w:p>
        </w:tc>
      </w:tr>
      <w:tr>
        <w:tblPrEx>
          <w:tblCellMar>
            <w:top w:w="0" w:type="dxa"/>
            <w:left w:w="108" w:type="dxa"/>
            <w:bottom w:w="0" w:type="dxa"/>
            <w:right w:w="108" w:type="dxa"/>
          </w:tblCellMar>
        </w:tblPrEx>
        <w:trPr>
          <w:trHeight w:val="216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AA05</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灭蝇灯</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1.电压220v，20w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2.有效面积90-120平方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3.诱虫灯管：10W*2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本机设有环保挡板和防滑收集盘。 环保挡板能基本防止蚊蝇残骸飞溅， 也能减少紫外光线对人体的直接照 射，挡板内部还设有铝制反射层，增强光线反射，诱虫效果更佳。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环保型灭蝇器有效防止蚊蝇残骸落到机外，造成二次污染现象，环保卫生，稳健可靠。</w:t>
            </w:r>
          </w:p>
        </w:tc>
      </w:tr>
      <w:tr>
        <w:tblPrEx>
          <w:tblCellMar>
            <w:top w:w="0" w:type="dxa"/>
            <w:left w:w="108" w:type="dxa"/>
            <w:bottom w:w="0" w:type="dxa"/>
            <w:right w:w="108" w:type="dxa"/>
          </w:tblCellMar>
        </w:tblPrEx>
        <w:trPr>
          <w:trHeight w:val="567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AA06</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直饮机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1、电压功率:220V/4.5kw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2、出水方式:两开两温开。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3、尺寸:1500x400x1300mm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4、不锈钢304椭圆形内胆容量:35L</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5、净水系统:内置400G净水机+11G压力桶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6、出水量:开水60L/H;温开水100L/H</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7、温开水出水水温:45℃~60℃可调节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8、微电脑程控设计，个性化仰角，LED高亮显示屏，集滤芯寿命、当前时间、故障提示、温度显示于一体，可设定定时开关机，定时开关机可设置到24小时的开启与关闭，更智能、更人性化;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9、采用五级过滤系统，有效去除水中重金属、余氯、细菌、水垢等有害物质，水质达到直饮水标准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10、采用304不锈钢冷热交换器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11、采用触摸式出水按键设计，取水方便，使用寿命长，简约美观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12、整机内部涉水部件均为304材质，外观采用耐指纹不锈钢，黑钛拉丝不锈钢材质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13、设备具有接地和漏保防漏电、加热内胆设有溢流孔在前方防蒸汽、控制板带有温度显示，并且可设定加热温度防超温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14、设备具有漏电报警并且显示代码防触日、控制板具有高低水位探针水到低水位探针且水位没过加热管后才开始加热工作防干烧、进水管无水设备则报警并停止工作防缺水</w:t>
            </w:r>
          </w:p>
        </w:tc>
      </w:tr>
      <w:tr>
        <w:tblPrEx>
          <w:tblCellMar>
            <w:top w:w="0" w:type="dxa"/>
            <w:left w:w="108" w:type="dxa"/>
            <w:bottom w:w="0" w:type="dxa"/>
            <w:right w:w="108" w:type="dxa"/>
          </w:tblCellMar>
        </w:tblPrEx>
        <w:trPr>
          <w:trHeight w:val="162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AA07</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口杯消毒柜</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所用板材须为304食品级材质，无重金属污染，微量元素理化指标符合国标GB4806.9-2016标准。厚度1.2mm，多重保护装置，能有效杀灭细菌、及病毒（如大肠杆菌、金黄色葡萄球菌、肝炎病毒等）；采用远红外线对食具进行物理高温消毒，无化学物残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▲所用板材须为食品级材质，无重金属污染，微量元素理化指标符合国标GB4806.9-2016标准。</w:t>
            </w:r>
          </w:p>
        </w:tc>
      </w:tr>
      <w:tr>
        <w:tblPrEx>
          <w:tblCellMar>
            <w:top w:w="0" w:type="dxa"/>
            <w:left w:w="108" w:type="dxa"/>
            <w:bottom w:w="0" w:type="dxa"/>
            <w:right w:w="108" w:type="dxa"/>
          </w:tblCellMar>
        </w:tblPrEx>
        <w:trPr>
          <w:trHeight w:val="27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主厨房</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45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270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AB01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双门电蒸饭车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24盘</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56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规格：24盘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1.双门竖盘,材质采用304不锈钢磨砂板，蒸车内外采用≥0.8mm不锈钢板；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2.蒸车内含支撑的钢柱，下配万向轮，便于移动；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3.装有自动供水功能的不锈钢水箱、带定时、定温控制开关及电源开关、带蒸气温度表，缺水报警和蒸汽过压自动释放系统，安全汽压0.02MPA，电热管采用防爆不锈钢制作；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4.阻热式不锈钢门把手，箱体为整体发泡；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5.功率：2*12kw /380V。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6，配备材质为304食品级不锈钢的米饭和馒头蒸饭盘各一套。</w:t>
            </w:r>
          </w:p>
        </w:tc>
      </w:tr>
      <w:tr>
        <w:tblPrEx>
          <w:tblCellMar>
            <w:top w:w="0" w:type="dxa"/>
            <w:left w:w="108" w:type="dxa"/>
            <w:bottom w:w="0" w:type="dxa"/>
            <w:right w:w="108" w:type="dxa"/>
          </w:tblCellMar>
        </w:tblPrEx>
        <w:trPr>
          <w:trHeight w:val="351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AB02</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电烤箱</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三层六盘</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564" w:type="dxa"/>
            <w:tcBorders>
              <w:top w:val="single" w:color="auto" w:sz="4" w:space="0"/>
              <w:left w:val="single" w:color="auto" w:sz="4" w:space="0"/>
              <w:bottom w:val="single" w:color="auto" w:sz="4" w:space="0"/>
              <w:right w:val="single" w:color="auto" w:sz="4" w:space="0"/>
            </w:tcBorders>
            <w:shd w:val="clear" w:color="auto" w:fill="FFFFFF"/>
          </w:tcPr>
          <w:p>
            <w:pPr>
              <w:widowControl/>
              <w:spacing w:after="220"/>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规格：三层六盘；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1.额定电压/功率：380V/19KW；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2.温度范围：0-380℃；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3.微电脑数显控制烘烤系统。带有安全保护装置；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4.超温安全保护等；底部带有四个万向脚轮；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5.三项五线电源线，带有可视窗口，内带照明灯，全封闭式整体环保耐高温材料；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6.外壳面板采用优质不锈钢板，因操作间门口尺寸限制，烤箱须为可拆分式，设备分体到货进入操作间后组装为一体，要求组装后安全、牢固、完整。</w:t>
            </w:r>
            <w:r>
              <w:rPr>
                <w:rFonts w:hint="eastAsia" w:ascii="宋体" w:hAnsi="宋体" w:cs="宋体"/>
                <w:color w:val="000000"/>
                <w:kern w:val="0"/>
                <w:sz w:val="22"/>
                <w:szCs w:val="22"/>
                <w:lang w:bidi="ar"/>
              </w:rPr>
              <w:br w:type="textWrapping"/>
            </w:r>
          </w:p>
        </w:tc>
      </w:tr>
      <w:tr>
        <w:tblPrEx>
          <w:tblCellMar>
            <w:top w:w="0" w:type="dxa"/>
            <w:left w:w="108" w:type="dxa"/>
            <w:bottom w:w="0" w:type="dxa"/>
            <w:right w:w="108" w:type="dxa"/>
          </w:tblCellMar>
        </w:tblPrEx>
        <w:trPr>
          <w:trHeight w:val="162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AB03</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电饼铛</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650*750*800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规格：650*750*800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1.电热铛全部采用优质不锈钢板，上盖及把手可采用锈钢材质。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2.锅体采用特殊处理不粘锅，涂层永不掉，采用智能温控，精准温控。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3.额定电压 380v/220v，额定 50Hz，温度范围 0℃-250℃，输入功率 5kw。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4.锅沿高度3cm，配有超温保护，温度误差小。</w:t>
            </w:r>
          </w:p>
        </w:tc>
      </w:tr>
      <w:tr>
        <w:tblPrEx>
          <w:tblCellMar>
            <w:top w:w="0" w:type="dxa"/>
            <w:left w:w="108" w:type="dxa"/>
            <w:bottom w:w="0" w:type="dxa"/>
            <w:right w:w="108" w:type="dxa"/>
          </w:tblCellMar>
        </w:tblPrEx>
        <w:trPr>
          <w:trHeight w:val="54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AB04</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拼台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300*1000*800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564"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规格：500*1200*800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采用304不锈钢拉丝板，台面板厚1.2mm。</w:t>
            </w:r>
          </w:p>
        </w:tc>
      </w:tr>
      <w:tr>
        <w:tblPrEx>
          <w:tblCellMar>
            <w:top w:w="0" w:type="dxa"/>
            <w:left w:w="108" w:type="dxa"/>
            <w:bottom w:w="0" w:type="dxa"/>
            <w:right w:w="108" w:type="dxa"/>
          </w:tblCellMar>
        </w:tblPrEx>
        <w:trPr>
          <w:trHeight w:val="189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AB05</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1.2米电磁大锅灶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1500*1400*800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1.采用304不锈钢板材，面板1.5mm，侧板及背板1.2mm；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2.采用摇摆水龙头上水；高标准防漏电处理，防静电设计；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3.具有多重保护功能：电压高低保护，过流保护，线盘开路保护，输出短路保护，开关故障报警，线盘过温保护，机芯过温保护。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4.彩色数字多功能显示屏,八档横推电磁控制器，有分段式加热工功能，火力动态显示，火候精准掌控；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5、功率：35KW/380V。</w:t>
            </w:r>
          </w:p>
        </w:tc>
      </w:tr>
      <w:tr>
        <w:tblPrEx>
          <w:tblCellMar>
            <w:top w:w="0" w:type="dxa"/>
            <w:left w:w="108" w:type="dxa"/>
            <w:bottom w:w="0" w:type="dxa"/>
            <w:right w:w="108" w:type="dxa"/>
          </w:tblCellMar>
        </w:tblPrEx>
        <w:trPr>
          <w:trHeight w:val="54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AB06</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拼台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500*1250*800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564"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规格：500*1250*800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采用304不锈钢拉丝板，台面板厚1.2mm。</w:t>
            </w:r>
          </w:p>
        </w:tc>
      </w:tr>
      <w:tr>
        <w:tblPrEx>
          <w:tblCellMar>
            <w:top w:w="0" w:type="dxa"/>
            <w:left w:w="108" w:type="dxa"/>
            <w:bottom w:w="0" w:type="dxa"/>
            <w:right w:w="108" w:type="dxa"/>
          </w:tblCellMar>
        </w:tblPrEx>
        <w:trPr>
          <w:trHeight w:val="243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AB07</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油烟净化一体机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7700*1300*500（可根据位置分散布局）</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组</w:t>
            </w:r>
          </w:p>
        </w:tc>
        <w:tc>
          <w:tcPr>
            <w:tcW w:w="456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规格：按需定制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烟罩在离心风机的抽吸力的作用下,油烟经隔油栅进行初级过滤。剩余细微油烟进入高效滤筒进行二次净化，固态颗粒和液态油沉积在净化材料上；净化后的气体经风机排入烟道井中。净化效果符合饮食业油烟净化设备要求及检测技术规范（HJ/T62-2001）。 每节烟罩含2个LED照明灯，含风机和照明；功率：1.8kw,380V；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2、用料：304/2B不锈钢板；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3、板材：不锈钢1.2㎜。除油达到95%，除味达到90%。净化标准:低空净化直排。</w:t>
            </w:r>
          </w:p>
        </w:tc>
      </w:tr>
      <w:tr>
        <w:tblPrEx>
          <w:tblCellMar>
            <w:top w:w="0" w:type="dxa"/>
            <w:left w:w="108" w:type="dxa"/>
            <w:bottom w:w="0" w:type="dxa"/>
            <w:right w:w="108" w:type="dxa"/>
          </w:tblCellMar>
        </w:tblPrEx>
        <w:trPr>
          <w:trHeight w:val="162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AB08</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留样柜</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定型</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56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规格：600*705*1650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1.留样冰箱，单门玻璃门，容积410L；</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2.箱体内外均采用≥0.6mm  304不锈钢磨砂板；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3.整体发泡、铜管,双锁；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4.制冷剂：R134A。温度范围：0℃—+8℃；</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5.功率：0.2KW，220V。</w:t>
            </w:r>
          </w:p>
        </w:tc>
      </w:tr>
      <w:tr>
        <w:tblPrEx>
          <w:tblCellMar>
            <w:top w:w="0" w:type="dxa"/>
            <w:left w:w="108" w:type="dxa"/>
            <w:bottom w:w="0" w:type="dxa"/>
            <w:right w:w="108" w:type="dxa"/>
          </w:tblCellMar>
        </w:tblPrEx>
        <w:trPr>
          <w:trHeight w:val="135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AB09</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双层工作台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1800*800*800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56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规格：1800*800*800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2.工作台台面采用≥1.5mm不锈钢；下层板采用≥1.2mm不锈钢；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3.面板及层板下覆80*40*1.2mmU型加固筋。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4.支架通脚采用Φ48*1.2mm不锈钢管，下配可调子弹脚。</w:t>
            </w:r>
          </w:p>
        </w:tc>
      </w:tr>
      <w:tr>
        <w:tblPrEx>
          <w:tblCellMar>
            <w:top w:w="0" w:type="dxa"/>
            <w:left w:w="108" w:type="dxa"/>
            <w:bottom w:w="0" w:type="dxa"/>
            <w:right w:w="108" w:type="dxa"/>
          </w:tblCellMar>
        </w:tblPrEx>
        <w:trPr>
          <w:trHeight w:val="135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AB10</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木案工作台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1800*800*800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56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规格：1800*800*800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2.工作台台面采用≥1.5mm不锈钢；下层板采用≥1.2mm不锈钢；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3.面板及层板下覆80*40*1.2mmU型加固筋。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4.支架通脚采用Φ48*1.2mm不锈钢管，下配可调子弹脚。</w:t>
            </w:r>
          </w:p>
        </w:tc>
      </w:tr>
      <w:tr>
        <w:tblPrEx>
          <w:tblCellMar>
            <w:top w:w="0" w:type="dxa"/>
            <w:left w:w="108" w:type="dxa"/>
            <w:bottom w:w="0" w:type="dxa"/>
            <w:right w:w="108" w:type="dxa"/>
          </w:tblCellMar>
        </w:tblPrEx>
        <w:trPr>
          <w:trHeight w:val="162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AB11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面粉车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500*500*500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56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规格：500*500*500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2.层板≥1.2mm不锈钢；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2.边框折成25*25方管状；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3.采用25*25*1.0mm不锈钢冷弯成型把手；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4.带两个定向轮，两个转向轮，转向轮带刹车。</w:t>
            </w:r>
          </w:p>
        </w:tc>
      </w:tr>
      <w:tr>
        <w:tblPrEx>
          <w:tblCellMar>
            <w:top w:w="0" w:type="dxa"/>
            <w:left w:w="108" w:type="dxa"/>
            <w:bottom w:w="0" w:type="dxa"/>
            <w:right w:w="108" w:type="dxa"/>
          </w:tblCellMar>
        </w:tblPrEx>
        <w:trPr>
          <w:trHeight w:val="216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AB12</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压面机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56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规格：350型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1.全自动型；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2.采用防水防潮铜制电机；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3.铜制电机；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4.功率：3KW/380V；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5.生产能力：400KG/H；</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6.面团输送、折叠和揉压自动连续完成，既卫生又安全。</w:t>
            </w:r>
          </w:p>
        </w:tc>
      </w:tr>
      <w:tr>
        <w:tblPrEx>
          <w:tblCellMar>
            <w:top w:w="0" w:type="dxa"/>
            <w:left w:w="108" w:type="dxa"/>
            <w:bottom w:w="0" w:type="dxa"/>
            <w:right w:w="108" w:type="dxa"/>
          </w:tblCellMar>
        </w:tblPrEx>
        <w:trPr>
          <w:trHeight w:val="46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AB13</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双门消毒柜</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热风循环</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产品材质:内外胆采用304优质不锈钢，内胆1.0mm，外胆0.8mm,加厚不锈钢层架，消毒方式:热风循环高温消毒和中温烘干两种模式，远红外石英电加热管加热，加热温度达130℃以上; 高温热风360度循环杀菌于无形之中，实现彻底杀菌，健康无忧;国际化设计，全不锈钢打造;立体高温热风循环，直达柜内每个角落，消毒碗筷光亮无积水;全不锈钢导轨式层架，收放轻松，清洗方便;特大消毒保洁储物空间，可同时容纳快餐盘、碗筷等不同的餐饮用具消毒;也可自选模式调节温度范围和消毒时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消毒时间:≥30分钟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电源:220V-50Hz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额定功率:4.4KW</w:t>
            </w:r>
          </w:p>
        </w:tc>
      </w:tr>
      <w:tr>
        <w:tblPrEx>
          <w:tblCellMar>
            <w:top w:w="0" w:type="dxa"/>
            <w:left w:w="108" w:type="dxa"/>
            <w:bottom w:w="0" w:type="dxa"/>
            <w:right w:w="108" w:type="dxa"/>
          </w:tblCellMar>
        </w:tblPrEx>
        <w:trPr>
          <w:trHeight w:val="81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AB14</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挂墙热水器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80L</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配防电墙和漏电声光报警系统，双重安全保护，减少漏电、触电隐患。智能高纯镁芯，抵御腐蚀。高密度聚氨酯发泡层，保温更持久。功率：220V/3KW。</w:t>
            </w:r>
          </w:p>
        </w:tc>
      </w:tr>
      <w:tr>
        <w:tblPrEx>
          <w:tblCellMar>
            <w:top w:w="0" w:type="dxa"/>
            <w:left w:w="108" w:type="dxa"/>
            <w:bottom w:w="0" w:type="dxa"/>
            <w:right w:w="108" w:type="dxa"/>
          </w:tblCellMar>
        </w:tblPrEx>
        <w:trPr>
          <w:trHeight w:val="544"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AB15</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三星水池</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1800*760*800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56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规格：1800*760*800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1.采用304不锈钢拉丝板，台面1.2mm，星盆1.2mm不锈钢，水池两侧及前脸用1.0mm不锈钢封挡，便于卫生清理；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2.支架通脚采用Φ38*1.2mm不锈钢管；支架横通采用Φ32*1.2mm不锈钢管；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3.四个Ф38mm可调不锈钢子弹脚。</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4.每一个星盆配不锈钢下水系统，配星盆龙头；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5.含304不锈钢上下水配件，进水自行链接主水管，下水链接下水口负责墙体开槽及修复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配防臭型下水器</w:t>
            </w:r>
          </w:p>
        </w:tc>
      </w:tr>
      <w:tr>
        <w:tblPrEx>
          <w:tblCellMar>
            <w:top w:w="0" w:type="dxa"/>
            <w:left w:w="108" w:type="dxa"/>
            <w:bottom w:w="0" w:type="dxa"/>
            <w:right w:w="108" w:type="dxa"/>
          </w:tblCellMar>
        </w:tblPrEx>
        <w:trPr>
          <w:trHeight w:val="243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AB16</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紫外线消毒灯</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功率：31-40W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电压：220V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灯头接口（灯头型号）：2G11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光源类型：紫外线光源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作用时间：30分钟、60分钟、120分钟三种时间选择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杀螨率：100%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消毒灯管表层有玻璃涂层，玻璃涂层会把产生臭氧的波长为185nm的辐射过滤掉，不会对人体产生伤害。可以隔着门、墙、柜子遥控操作，没有角度限制，操作时完全不被紫外线照射，安全便捷。</w:t>
            </w:r>
          </w:p>
        </w:tc>
      </w:tr>
      <w:tr>
        <w:tblPrEx>
          <w:tblCellMar>
            <w:top w:w="0" w:type="dxa"/>
            <w:left w:w="108" w:type="dxa"/>
            <w:bottom w:w="0" w:type="dxa"/>
            <w:right w:w="108" w:type="dxa"/>
          </w:tblCellMar>
        </w:tblPrEx>
        <w:trPr>
          <w:trHeight w:val="27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AB17</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菜刀</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4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国家行业标准</w:t>
            </w:r>
          </w:p>
        </w:tc>
      </w:tr>
      <w:tr>
        <w:tblPrEx>
          <w:tblCellMar>
            <w:top w:w="0" w:type="dxa"/>
            <w:left w:w="108" w:type="dxa"/>
            <w:bottom w:w="0" w:type="dxa"/>
            <w:right w:w="108" w:type="dxa"/>
          </w:tblCellMar>
        </w:tblPrEx>
        <w:trPr>
          <w:trHeight w:val="27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AB18</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砍刀</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4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国家行业标准</w:t>
            </w:r>
          </w:p>
        </w:tc>
      </w:tr>
      <w:tr>
        <w:tblPrEx>
          <w:tblCellMar>
            <w:top w:w="0" w:type="dxa"/>
            <w:left w:w="108" w:type="dxa"/>
            <w:bottom w:w="0" w:type="dxa"/>
            <w:right w:w="108" w:type="dxa"/>
          </w:tblCellMar>
        </w:tblPrEx>
        <w:trPr>
          <w:trHeight w:val="27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AB19</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菜墩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4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国家行业标准</w:t>
            </w:r>
          </w:p>
        </w:tc>
      </w:tr>
      <w:tr>
        <w:tblPrEx>
          <w:tblCellMar>
            <w:top w:w="0" w:type="dxa"/>
            <w:left w:w="108" w:type="dxa"/>
            <w:bottom w:w="0" w:type="dxa"/>
            <w:right w:w="108" w:type="dxa"/>
          </w:tblCellMar>
        </w:tblPrEx>
        <w:trPr>
          <w:trHeight w:val="27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AB20</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餐盘</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4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304优质食品级不锈钢</w:t>
            </w:r>
          </w:p>
        </w:tc>
      </w:tr>
      <w:tr>
        <w:tblPrEx>
          <w:tblCellMar>
            <w:top w:w="0" w:type="dxa"/>
            <w:left w:w="108" w:type="dxa"/>
            <w:bottom w:w="0" w:type="dxa"/>
            <w:right w:w="108" w:type="dxa"/>
          </w:tblCellMar>
        </w:tblPrEx>
        <w:trPr>
          <w:trHeight w:val="27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AB21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4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304优质食品级不锈钢</w:t>
            </w:r>
          </w:p>
        </w:tc>
      </w:tr>
      <w:tr>
        <w:tblPrEx>
          <w:tblCellMar>
            <w:top w:w="0" w:type="dxa"/>
            <w:left w:w="108" w:type="dxa"/>
            <w:bottom w:w="0" w:type="dxa"/>
            <w:right w:w="108" w:type="dxa"/>
          </w:tblCellMar>
        </w:tblPrEx>
        <w:trPr>
          <w:trHeight w:val="27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AB22</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双层碗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4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304优质食品级不锈钢</w:t>
            </w:r>
          </w:p>
        </w:tc>
      </w:tr>
      <w:tr>
        <w:tblPrEx>
          <w:tblCellMar>
            <w:top w:w="0" w:type="dxa"/>
            <w:left w:w="108" w:type="dxa"/>
            <w:bottom w:w="0" w:type="dxa"/>
            <w:right w:w="108" w:type="dxa"/>
          </w:tblCellMar>
        </w:tblPrEx>
        <w:trPr>
          <w:trHeight w:val="27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AB23</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口杯</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4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304优质食品级不锈钢</w:t>
            </w:r>
          </w:p>
        </w:tc>
      </w:tr>
      <w:tr>
        <w:tblPrEx>
          <w:tblCellMar>
            <w:top w:w="0" w:type="dxa"/>
            <w:left w:w="108" w:type="dxa"/>
            <w:bottom w:w="0" w:type="dxa"/>
            <w:right w:w="108" w:type="dxa"/>
          </w:tblCellMar>
        </w:tblPrEx>
        <w:trPr>
          <w:trHeight w:val="27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油烟净化一体机排烟方案</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45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108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90°弯头</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满足使用</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4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采用优质不锈钢板≥1.2mm厚，排烟管道所有涂层及密封胶均采用耐高温、阻燃材料，以防安全隐患，符合GB/T9978.1-2008,耐火完整性≥60min时，试件背火面未出现持续性达10s或10s以上火焰。试件未丧失耐火完整性。管道之间用法兰连接，打胶密封紧密，无烟气泄露。</w:t>
            </w:r>
          </w:p>
        </w:tc>
      </w:tr>
      <w:tr>
        <w:tblPrEx>
          <w:tblCellMar>
            <w:top w:w="0" w:type="dxa"/>
            <w:left w:w="108" w:type="dxa"/>
            <w:bottom w:w="0" w:type="dxa"/>
            <w:right w:w="108" w:type="dxa"/>
          </w:tblCellMar>
        </w:tblPrEx>
        <w:trPr>
          <w:trHeight w:val="108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三通管道</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满足使用</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4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采用优质不锈钢板≥1.2mm厚，排烟管道所有涂层及密封胶均采用耐高温、阻燃材料，以防安全隐患，符合GB/T9978.1-2008,耐火完整性≥60min时，试件背火面未出现持续性达10s或10s以上火焰。试件未丧失耐火完整性。管道之间用法兰连接，打胶密封紧密，无烟气泄露。</w:t>
            </w:r>
          </w:p>
        </w:tc>
      </w:tr>
      <w:tr>
        <w:tblPrEx>
          <w:tblCellMar>
            <w:top w:w="0" w:type="dxa"/>
            <w:left w:w="108" w:type="dxa"/>
            <w:bottom w:w="0" w:type="dxa"/>
            <w:right w:w="108" w:type="dxa"/>
          </w:tblCellMar>
        </w:tblPrEx>
        <w:trPr>
          <w:trHeight w:val="108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管道</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500*500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4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采用优质不锈钢板≥1.2mm厚，排烟管道所有涂层及密封胶均采用耐高温、阻燃材料，以防安全隐患，符合GB/T9978.1-2008,耐火完整性≥60min时，试件背火面未出现持续性达10s或10s以上火焰。试件未丧失耐火完整性。管道之间用法兰连接，打胶密封紧密，无烟气泄露。</w:t>
            </w:r>
          </w:p>
        </w:tc>
      </w:tr>
      <w:tr>
        <w:tblPrEx>
          <w:tblCellMar>
            <w:top w:w="0" w:type="dxa"/>
            <w:left w:w="108" w:type="dxa"/>
            <w:bottom w:w="0" w:type="dxa"/>
            <w:right w:w="108" w:type="dxa"/>
          </w:tblCellMar>
        </w:tblPrEx>
        <w:trPr>
          <w:trHeight w:val="27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安装辅料</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满足使用</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45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FF0000"/>
                <w:sz w:val="22"/>
                <w:szCs w:val="22"/>
              </w:rPr>
            </w:pPr>
            <w:r>
              <w:rPr>
                <w:rFonts w:hint="eastAsia" w:ascii="宋体" w:hAnsi="宋体" w:cs="宋体"/>
                <w:color w:val="FF0000"/>
                <w:kern w:val="0"/>
                <w:sz w:val="22"/>
                <w:szCs w:val="22"/>
                <w:lang w:bidi="ar"/>
              </w:rPr>
              <w:t xml:space="preserve">    其他费用</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FF000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FF0000"/>
                <w:sz w:val="22"/>
                <w:szCs w:val="22"/>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FF0000"/>
                <w:sz w:val="22"/>
                <w:szCs w:val="22"/>
              </w:rPr>
            </w:pP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FF0000"/>
                <w:sz w:val="22"/>
                <w:szCs w:val="22"/>
              </w:rPr>
            </w:pPr>
          </w:p>
        </w:tc>
        <w:tc>
          <w:tcPr>
            <w:tcW w:w="45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FF0000"/>
                <w:sz w:val="22"/>
                <w:szCs w:val="22"/>
              </w:rPr>
            </w:pPr>
          </w:p>
        </w:tc>
      </w:tr>
      <w:tr>
        <w:tblPrEx>
          <w:tblCellMar>
            <w:top w:w="0" w:type="dxa"/>
            <w:left w:w="108" w:type="dxa"/>
            <w:bottom w:w="0" w:type="dxa"/>
            <w:right w:w="108" w:type="dxa"/>
          </w:tblCellMar>
        </w:tblPrEx>
        <w:trPr>
          <w:trHeight w:val="54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安装费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4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所有从配电箱至各个房间的电线、配件、桥架等，供水排水材料等，包含必要的地面、墙面改造、破损修复等</w:t>
            </w:r>
          </w:p>
        </w:tc>
      </w:tr>
    </w:tbl>
    <w:p>
      <w:pPr>
        <w:rPr>
          <w:b/>
          <w:bCs/>
          <w:sz w:val="32"/>
          <w:szCs w:val="40"/>
        </w:rPr>
      </w:pPr>
      <w:r>
        <w:rPr>
          <w:rFonts w:hint="eastAsia"/>
          <w:b/>
          <w:bCs/>
          <w:sz w:val="32"/>
          <w:szCs w:val="40"/>
        </w:rPr>
        <w:br w:type="page"/>
      </w:r>
    </w:p>
    <w:p>
      <w:pPr>
        <w:pStyle w:val="6"/>
      </w:pPr>
      <w:r>
        <w:rPr>
          <w:rFonts w:hint="eastAsia"/>
        </w:rPr>
        <w:t>中达广场幼儿园厨房设备</w:t>
      </w:r>
    </w:p>
    <w:tbl>
      <w:tblPr>
        <w:tblStyle w:val="25"/>
        <w:tblW w:w="9154" w:type="dxa"/>
        <w:tblInd w:w="93" w:type="dxa"/>
        <w:tblLayout w:type="fixed"/>
        <w:tblCellMar>
          <w:top w:w="0" w:type="dxa"/>
          <w:left w:w="108" w:type="dxa"/>
          <w:bottom w:w="0" w:type="dxa"/>
          <w:right w:w="108" w:type="dxa"/>
        </w:tblCellMar>
      </w:tblPr>
      <w:tblGrid>
        <w:gridCol w:w="784"/>
        <w:gridCol w:w="1135"/>
        <w:gridCol w:w="1134"/>
        <w:gridCol w:w="718"/>
        <w:gridCol w:w="769"/>
        <w:gridCol w:w="4614"/>
      </w:tblGrid>
      <w:tr>
        <w:tblPrEx>
          <w:tblCellMar>
            <w:top w:w="0" w:type="dxa"/>
            <w:left w:w="108" w:type="dxa"/>
            <w:bottom w:w="0" w:type="dxa"/>
            <w:right w:w="108" w:type="dxa"/>
          </w:tblCellMar>
        </w:tblPrEx>
        <w:trPr>
          <w:trHeight w:val="270" w:hRule="atLeast"/>
        </w:trPr>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设备名称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规格型号</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数量</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4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技术参数</w:t>
            </w:r>
          </w:p>
        </w:tc>
      </w:tr>
      <w:tr>
        <w:tblPrEx>
          <w:tblCellMar>
            <w:top w:w="0" w:type="dxa"/>
            <w:left w:w="108" w:type="dxa"/>
            <w:bottom w:w="0" w:type="dxa"/>
            <w:right w:w="108" w:type="dxa"/>
          </w:tblCellMar>
        </w:tblPrEx>
        <w:trPr>
          <w:trHeight w:val="270" w:hRule="atLeast"/>
        </w:trPr>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主副食加工间</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p>
        </w:tc>
        <w:tc>
          <w:tcPr>
            <w:tcW w:w="461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452" w:hRule="atLeast"/>
        </w:trPr>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AA01</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四层货架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1500*500*1800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2.层板采用≥1.2mm不锈钢，三折边工艺处理；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3.腿采用Ф43*1.2mm不锈钢圆管；层板下用不锈钢60*40*1.2mm U型加强筋加固，间距≤500mm；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4.带四个可调节子弹脚。</w:t>
            </w:r>
          </w:p>
        </w:tc>
      </w:tr>
      <w:tr>
        <w:tblPrEx>
          <w:tblCellMar>
            <w:top w:w="0" w:type="dxa"/>
            <w:left w:w="108" w:type="dxa"/>
            <w:bottom w:w="0" w:type="dxa"/>
            <w:right w:w="108" w:type="dxa"/>
          </w:tblCellMar>
        </w:tblPrEx>
        <w:trPr>
          <w:trHeight w:val="2430" w:hRule="atLeast"/>
        </w:trPr>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AA02</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1米大锅灶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1300*1200*800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规格：1300*1200*800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1.燃气大锅灶，采用优质304不锈钢磨砂板，台面板厚≥1.2mm，侧面板厚≥1.2mm；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2.炉体骨架40*40*4mm角钢，钢板炉膛，厚度≥3mm，炉通脚含支撑炉身的钢柱及可调炉身的高度的不锈钢子弹脚；</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3.炉膛与台面钢板加装隔热棉；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4.自动安全装置，配安全点火棒。功率：280W/220V。</w:t>
            </w:r>
          </w:p>
        </w:tc>
      </w:tr>
      <w:tr>
        <w:tblPrEx>
          <w:tblCellMar>
            <w:top w:w="0" w:type="dxa"/>
            <w:left w:w="108" w:type="dxa"/>
            <w:bottom w:w="0" w:type="dxa"/>
            <w:right w:w="108" w:type="dxa"/>
          </w:tblCellMar>
        </w:tblPrEx>
        <w:trPr>
          <w:trHeight w:val="2160" w:hRule="atLeast"/>
        </w:trPr>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AA03</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电饼铛</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650*750*800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规格：650*750*800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1.电热铛全部采用优质不锈钢板，上盖及把手可采用锈钢材质。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2.锅体采用特殊处理不粘锅，涂层永不掉，采用智能温控，精准温控。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3.额定电压 380v/220v，额定 50Hz，温度范围 0℃-250℃，输入功率 5kw。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4.锅沿高度3cm，配有超温保护，温度误差小。</w:t>
            </w:r>
          </w:p>
        </w:tc>
      </w:tr>
      <w:tr>
        <w:tblPrEx>
          <w:tblCellMar>
            <w:top w:w="0" w:type="dxa"/>
            <w:left w:w="108" w:type="dxa"/>
            <w:bottom w:w="0" w:type="dxa"/>
            <w:right w:w="108" w:type="dxa"/>
          </w:tblCellMar>
        </w:tblPrEx>
        <w:trPr>
          <w:trHeight w:val="1890" w:hRule="atLeast"/>
        </w:trPr>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AA04</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燃气双门蒸饭车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24盘</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规格：24盘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1.双门竖盘,材质采用304不锈钢磨砂板，蒸车内外采用≥0.8mm不锈钢板；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2.蒸车内含支撑的钢柱，下配万向轮，便于移动；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3.阻热式不锈钢门把手，箱体为整体发泡；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4，配备材质为304食品级不锈钢的米饭和馒头蒸饭盘各一套。</w:t>
            </w:r>
          </w:p>
        </w:tc>
      </w:tr>
      <w:tr>
        <w:tblPrEx>
          <w:tblCellMar>
            <w:top w:w="0" w:type="dxa"/>
            <w:left w:w="108" w:type="dxa"/>
            <w:bottom w:w="0" w:type="dxa"/>
            <w:right w:w="108" w:type="dxa"/>
          </w:tblCellMar>
        </w:tblPrEx>
        <w:trPr>
          <w:trHeight w:val="2700" w:hRule="atLeast"/>
        </w:trPr>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AA05</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油烟净化一体机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4400*1300*500（可适当布局，总米数相等即可）</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组</w:t>
            </w:r>
          </w:p>
        </w:tc>
        <w:tc>
          <w:tcPr>
            <w:tcW w:w="461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规格：按需定制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烟罩在离心风机的抽吸力的作用下,油烟经隔油栅进行初级过滤。剩余细微油烟进入高效滤筒进行二次净化，固态颗粒和液态油沉积在净化材料上；净化后的气体经风机排入烟道井中。净化效果符合饮食业油烟净化设备要求及检测技术规范（HJ/T62-2001）。每节烟罩含2个LED照明灯，含风机和照明；功率：1.8kw,380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2、用料：304/2B不锈钢板；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3、板材：不锈钢≥1.2㎜。除油达到95%，除味达到90%。净化标准:低空净化直排。</w:t>
            </w:r>
          </w:p>
        </w:tc>
      </w:tr>
      <w:tr>
        <w:tblPrEx>
          <w:tblCellMar>
            <w:top w:w="0" w:type="dxa"/>
            <w:left w:w="108" w:type="dxa"/>
            <w:bottom w:w="0" w:type="dxa"/>
            <w:right w:w="108" w:type="dxa"/>
          </w:tblCellMar>
        </w:tblPrEx>
        <w:trPr>
          <w:trHeight w:val="2430" w:hRule="atLeast"/>
        </w:trPr>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AA06</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压面机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规格：350型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1.全自动型；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2.采用防水防潮铜制电机；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3.铜制电机；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4.功率：3KW/380V；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5.生产能力：400KG/H；</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6.面团输送、折叠和揉压自动连续完成，既卫生又安全。</w:t>
            </w:r>
          </w:p>
        </w:tc>
      </w:tr>
      <w:tr>
        <w:tblPrEx>
          <w:tblCellMar>
            <w:top w:w="0" w:type="dxa"/>
            <w:left w:w="108" w:type="dxa"/>
            <w:bottom w:w="0" w:type="dxa"/>
            <w:right w:w="108" w:type="dxa"/>
          </w:tblCellMar>
        </w:tblPrEx>
        <w:trPr>
          <w:trHeight w:val="1890" w:hRule="atLeast"/>
        </w:trPr>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AA07</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单通工作台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1800*800*800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规格：1800*800*800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2.工作台台面采用≥1.5mm不锈钢；下层板采用≥1.2mm不锈钢；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3.面板及层板下覆80*40*1.2mmU型加固筋。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4.支架通脚采用Φ48*1.2mm不锈钢管，下配可调子弹脚。</w:t>
            </w:r>
          </w:p>
        </w:tc>
      </w:tr>
      <w:tr>
        <w:tblPrEx>
          <w:tblCellMar>
            <w:top w:w="0" w:type="dxa"/>
            <w:left w:w="108" w:type="dxa"/>
            <w:bottom w:w="0" w:type="dxa"/>
            <w:right w:w="108" w:type="dxa"/>
          </w:tblCellMar>
        </w:tblPrEx>
        <w:trPr>
          <w:trHeight w:val="1890" w:hRule="atLeast"/>
        </w:trPr>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AA08</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木案工作台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1800*800*800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规格：1800*800*800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2.工作台台面采用≥1.5mm不锈钢；下层板采用≥1.2mm不锈钢；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3.面板及层板下覆80*40*1.2mmU型加固筋。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4.支架通脚采用Φ48*1.2mm不锈钢管，下配可调子弹脚。</w:t>
            </w:r>
          </w:p>
        </w:tc>
      </w:tr>
      <w:tr>
        <w:tblPrEx>
          <w:tblCellMar>
            <w:top w:w="0" w:type="dxa"/>
            <w:left w:w="108" w:type="dxa"/>
            <w:bottom w:w="0" w:type="dxa"/>
            <w:right w:w="108" w:type="dxa"/>
          </w:tblCellMar>
        </w:tblPrEx>
        <w:trPr>
          <w:trHeight w:val="3510" w:hRule="atLeast"/>
        </w:trPr>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AA09</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电烤箱</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三层六盘</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FFFFFF"/>
          </w:tcPr>
          <w:p>
            <w:pPr>
              <w:widowControl/>
              <w:spacing w:after="220"/>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规格：三层六盘；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1.额定电压/功率：380V/19KW；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2.温度范围：0-380℃；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3.微电脑数显控制烘烤系统。带有安全保护装置；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4.超温安全保护等；底部带有四个万向脚轮；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5.三项五线电源线，带有可视窗口，内带照明灯，全封闭式整体环保耐高温材料；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6.外壳面板采用优质不锈钢板，因操作间门口尺寸限制，烤箱须为可拆分式，设备分体到货进入操作间后组装为一体，要求组装后安全、牢固、完整。</w:t>
            </w:r>
            <w:r>
              <w:rPr>
                <w:rFonts w:hint="eastAsia" w:ascii="宋体" w:hAnsi="宋体" w:cs="宋体"/>
                <w:color w:val="000000"/>
                <w:kern w:val="0"/>
                <w:sz w:val="22"/>
                <w:szCs w:val="22"/>
                <w:lang w:bidi="ar"/>
              </w:rPr>
              <w:br w:type="textWrapping"/>
            </w:r>
          </w:p>
        </w:tc>
      </w:tr>
      <w:tr>
        <w:tblPrEx>
          <w:tblCellMar>
            <w:top w:w="0" w:type="dxa"/>
            <w:left w:w="108" w:type="dxa"/>
            <w:bottom w:w="0" w:type="dxa"/>
            <w:right w:w="108" w:type="dxa"/>
          </w:tblCellMar>
        </w:tblPrEx>
        <w:trPr>
          <w:trHeight w:val="2700" w:hRule="atLeast"/>
        </w:trPr>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AA10</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油烟净化一体机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2200*1300*500（可适当布局，总米数相等即可）</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组</w:t>
            </w:r>
          </w:p>
        </w:tc>
        <w:tc>
          <w:tcPr>
            <w:tcW w:w="461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规格：按需定制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烟罩在离心风机的抽吸力的作用下,油烟经隔油栅进行初级过滤。剩余细微油烟进入高效滤筒进行二次净化，固态颗粒和液态油沉积在净化材料上；净化后的气体经风机排入烟道井中。净化效果符合饮食业油烟净化设备要求及检测技术规范（HJ/T62-2001）。 每节烟罩含2个LED照明灯，含风机和照明；功率：1.8kw,380V；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2、用料：304/2B不锈钢板；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3、板材：不锈钢≥1.2㎜。除油达到95%，除味达到90%。净化标准:低空净化直排。</w:t>
            </w:r>
          </w:p>
        </w:tc>
      </w:tr>
      <w:tr>
        <w:tblPrEx>
          <w:tblCellMar>
            <w:top w:w="0" w:type="dxa"/>
            <w:left w:w="108" w:type="dxa"/>
            <w:bottom w:w="0" w:type="dxa"/>
            <w:right w:w="108" w:type="dxa"/>
          </w:tblCellMar>
        </w:tblPrEx>
        <w:trPr>
          <w:trHeight w:val="4320" w:hRule="atLeast"/>
        </w:trPr>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AA11</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开水器连底座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12KW</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规格：100L</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1.步进水式电开水器，出水设定温度100度，自动保温；故障即时自动保护，智能显示屏，制水饮水、供水全自动控制；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2.步进水加热技术，速度1:3，增容1:3，程控恒温出水，100%纯开水；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3.防漏电、防干烧、防火、防开盖、防蒸汽五防安全设计；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4.产品内胆材质为304不锈钢；全铜进水管口，带不锈钢底座；加热管为304不锈钢材质；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5.加热管、内胆不锈钢，不锈钢迁移物指标（铅、铬、镉、砷、镍）符合GB 4806.9-2016 《食品安全国家标准 食品接触用金属材料及制品》；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6.额定功率：12KW、额定电压：380V、额定容量：≥100L、防护等级≥IPX3.额定压力：</w:t>
            </w:r>
          </w:p>
        </w:tc>
      </w:tr>
      <w:tr>
        <w:tblPrEx>
          <w:tblCellMar>
            <w:top w:w="0" w:type="dxa"/>
            <w:left w:w="108" w:type="dxa"/>
            <w:bottom w:w="0" w:type="dxa"/>
            <w:right w:w="108" w:type="dxa"/>
          </w:tblCellMar>
        </w:tblPrEx>
        <w:trPr>
          <w:trHeight w:val="730" w:hRule="atLeast"/>
        </w:trPr>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AA12</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三星水池</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1800*760*800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规格：1800*760*860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1.采用304不锈钢拉丝板，台面1.2mm，星盆1.2mm不锈钢，水池两侧及前脸用≥1.0mm不锈钢封挡，便于卫生清理；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2.支架通脚采用Φ38*1.2mm不锈钢管；支架横通采用Φ32*1.2mm不锈钢管；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3.四个Ф38mm可调不锈钢子弹脚。</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4.每一个星盆配不锈钢下水系统，配龙头；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5.含304不锈钢上下水配件，进水自行链接主水管，下水链接下水口负责墙体开槽及修复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配防臭型下水器</w:t>
            </w:r>
          </w:p>
        </w:tc>
      </w:tr>
      <w:tr>
        <w:tblPrEx>
          <w:tblCellMar>
            <w:top w:w="0" w:type="dxa"/>
            <w:left w:w="108" w:type="dxa"/>
            <w:bottom w:w="0" w:type="dxa"/>
            <w:right w:w="108" w:type="dxa"/>
          </w:tblCellMar>
        </w:tblPrEx>
        <w:trPr>
          <w:trHeight w:val="1890" w:hRule="atLeast"/>
        </w:trPr>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AA13</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工作台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700*760*800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规格：700*760*800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2.工作台台面采用≥1.5mm不锈钢；下层板采用≥1.2mm不锈钢；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3.面板及层板下覆80*40*1.2mmU型加固筋。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4.支架通脚采用Φ48*1.2mm不锈钢管，下配可调子弹脚。</w:t>
            </w:r>
          </w:p>
        </w:tc>
      </w:tr>
      <w:tr>
        <w:tblPrEx>
          <w:tblCellMar>
            <w:top w:w="0" w:type="dxa"/>
            <w:left w:w="108" w:type="dxa"/>
            <w:bottom w:w="0" w:type="dxa"/>
            <w:right w:w="108" w:type="dxa"/>
          </w:tblCellMar>
        </w:tblPrEx>
        <w:trPr>
          <w:trHeight w:val="1080" w:hRule="atLeast"/>
        </w:trPr>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AA14</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洗地龙头</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10M</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1.长液压管≥10M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2.耐高温 80-120 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3.可拉伸，自动回收；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4.配置水枪头。</w:t>
            </w:r>
          </w:p>
        </w:tc>
      </w:tr>
      <w:tr>
        <w:tblPrEx>
          <w:tblCellMar>
            <w:top w:w="0" w:type="dxa"/>
            <w:left w:w="108" w:type="dxa"/>
            <w:bottom w:w="0" w:type="dxa"/>
            <w:right w:w="108" w:type="dxa"/>
          </w:tblCellMar>
        </w:tblPrEx>
        <w:trPr>
          <w:trHeight w:val="2970" w:hRule="atLeast"/>
        </w:trPr>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AA15</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双门消毒柜</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热风循环</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功率0.9kw/220v,30-70℃可自由调节，1、箱体采用无磁304不锈钢材料制作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2、采用高效能紫外线+高效率远红外管和超静音风机，实现热风循环，多重消毒无死角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3、优质保温材料，节能环保，</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4、可移动式大筛篮结构，收放更方便，更加人性化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5、人性化控制，用户可根据需要自行设定温度和时间，达到杀菌保洁的要求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6、全新欧式外观，透明视窗设计，全视角消毒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7、采用中温烘干技术，特设超高温保护功能，适合不耐高温易变形的塑料、竹木质餐具消毒</w:t>
            </w:r>
          </w:p>
        </w:tc>
      </w:tr>
      <w:tr>
        <w:tblPrEx>
          <w:tblCellMar>
            <w:top w:w="0" w:type="dxa"/>
            <w:left w:w="108" w:type="dxa"/>
            <w:bottom w:w="0" w:type="dxa"/>
            <w:right w:w="108" w:type="dxa"/>
          </w:tblCellMar>
        </w:tblPrEx>
        <w:trPr>
          <w:trHeight w:val="270" w:hRule="atLeast"/>
        </w:trPr>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备餐间</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461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1620" w:hRule="atLeast"/>
        </w:trPr>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AB01</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留样柜</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600*705*1650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规格：600*705*1650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1.留样冰箱，单门玻璃门，容积410L；</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2.箱体内外均采用≥0.6mm  304不锈钢磨砂板；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3.整体发泡、铜管,双锁；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4.制冷剂：R134A。温度范围：0℃—+8℃；</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5.功率：0.2KW，220V。</w:t>
            </w:r>
          </w:p>
        </w:tc>
      </w:tr>
      <w:tr>
        <w:tblPrEx>
          <w:tblCellMar>
            <w:top w:w="0" w:type="dxa"/>
            <w:left w:w="108" w:type="dxa"/>
            <w:bottom w:w="0" w:type="dxa"/>
            <w:right w:w="108" w:type="dxa"/>
          </w:tblCellMar>
        </w:tblPrEx>
        <w:trPr>
          <w:trHeight w:val="653" w:hRule="atLeast"/>
        </w:trPr>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AB02</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工作台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1500*760*800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规格：1500*760*800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2.工作台台面采用≥1.5mm不锈钢；下层板采用≥1.2mm不锈钢；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3.面板及层板下覆80*40*1.2mmU型加固筋。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4.支架通脚采用Φ48*1.2mm不锈钢管，下配可调子弹脚。</w:t>
            </w:r>
          </w:p>
        </w:tc>
      </w:tr>
      <w:tr>
        <w:tblPrEx>
          <w:tblCellMar>
            <w:top w:w="0" w:type="dxa"/>
            <w:left w:w="108" w:type="dxa"/>
            <w:bottom w:w="0" w:type="dxa"/>
            <w:right w:w="108" w:type="dxa"/>
          </w:tblCellMar>
        </w:tblPrEx>
        <w:trPr>
          <w:trHeight w:val="1890" w:hRule="atLeast"/>
        </w:trPr>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AB03</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送餐车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900*600*900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规格：900*600*900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1.材质：304不锈钢，层板为≥1.2mm 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2.层面底加强筋，材料为38*38mm厚1.2mm 不锈钢方管；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3.底部带刹车尼龙轮；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4.Φ32*1.2mm弯管扶手，斗深400mm,带放水阀门，方便清洗。</w:t>
            </w:r>
          </w:p>
        </w:tc>
      </w:tr>
      <w:tr>
        <w:tblPrEx>
          <w:tblCellMar>
            <w:top w:w="0" w:type="dxa"/>
            <w:left w:w="108" w:type="dxa"/>
            <w:bottom w:w="0" w:type="dxa"/>
            <w:right w:w="108" w:type="dxa"/>
          </w:tblCellMar>
        </w:tblPrEx>
        <w:trPr>
          <w:trHeight w:val="2430" w:hRule="atLeast"/>
        </w:trPr>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AB04</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灭蝇灯</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1.电压220v，20w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2.有效面积90-120平方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3.诱虫灯管：10W*2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本机设有环保挡板和防滑收集盘。 环保挡板能基本防止蚊蝇残骸飞溅， 也能减少紫外光线对人体的直接照 射，挡板内部还设有铝制反射层，增强光线反射，诱虫效果更佳。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环保型灭蝇器有效防止蚊蝇残骸落到机外，造成二次污染现象，环保卫生，稳健可靠。</w:t>
            </w:r>
          </w:p>
        </w:tc>
      </w:tr>
      <w:tr>
        <w:tblPrEx>
          <w:tblCellMar>
            <w:top w:w="0" w:type="dxa"/>
            <w:left w:w="108" w:type="dxa"/>
            <w:bottom w:w="0" w:type="dxa"/>
            <w:right w:w="108" w:type="dxa"/>
          </w:tblCellMar>
        </w:tblPrEx>
        <w:trPr>
          <w:trHeight w:val="1111" w:hRule="atLeast"/>
        </w:trPr>
        <w:tc>
          <w:tcPr>
            <w:tcW w:w="78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AB05</w:t>
            </w:r>
          </w:p>
        </w:tc>
        <w:tc>
          <w:tcPr>
            <w:tcW w:w="1135"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直饮机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1、电压功率:220V/4.5kw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2、出水方式:两开两温开。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3、尺寸:1500x400x1300mm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4、不锈钢304椭圆形内胆容量:35L</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5、净水系统:内置400G净水机+11G压力桶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6、出水量:开水60L/H;温开水100L/H</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7、温开水出水水温:45℃~60℃可调节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8、微电脑程控设计，个性化仰角，LED高亮显示屏，集滤芯寿命、当前时间、故障提示、温度显示于一体，可设定定时开关机，定时开关机可设置到24小时的开启与关闭，更智能、更人性化;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9、采用五级过滤系统，有效去除水中重金属、余氯、细菌、水垢等有害物质，水质达到直饮水标准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10、采用304不锈钢冷热交换器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11、采用触摸式出水按键设计，取水方便，使用寿命长，简约美观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12、整机内部涉水部件均为304材质，外观采用耐指纹不锈钢，黑钛拉丝不锈钢材质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13、设备具有接地和漏保防漏电、加热内胆设有溢流孔在前方防蒸汽、控制板带有温度显示，并且可设定加热温度防超温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14、设备具有漏电报警并且显示代码防触日、控制板具有高低水位探针水到低水位探针且水位没过加热管后才开始加热工作防干烧、进水管无水设备则报警并停止工作防缺水</w:t>
            </w:r>
          </w:p>
        </w:tc>
      </w:tr>
      <w:tr>
        <w:tblPrEx>
          <w:tblCellMar>
            <w:top w:w="0" w:type="dxa"/>
            <w:left w:w="108" w:type="dxa"/>
            <w:bottom w:w="0" w:type="dxa"/>
            <w:right w:w="108" w:type="dxa"/>
          </w:tblCellMar>
        </w:tblPrEx>
        <w:trPr>
          <w:trHeight w:val="18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AB06</w:t>
            </w:r>
          </w:p>
        </w:tc>
        <w:tc>
          <w:tcPr>
            <w:tcW w:w="11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口杯消毒柜</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所用板材须为304食品级材质，无重金属污染，微量元素理化指标符合国标GB4806.9-2016标准。厚度1.2mm，多重保护装置，能有效杀灭细菌、及病毒（如大肠杆菌、金黄色葡萄球菌、肝炎病毒等）；采用远红外线对食具进行物理高温消毒，无化学物残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▲所用板材须为食品级材质，无重金属污染，微量元素理化指标符合国标GB4806.9-2016标准。</w:t>
            </w:r>
          </w:p>
        </w:tc>
      </w:tr>
      <w:tr>
        <w:tblPrEx>
          <w:tblCellMar>
            <w:top w:w="0" w:type="dxa"/>
            <w:left w:w="108" w:type="dxa"/>
            <w:bottom w:w="0" w:type="dxa"/>
            <w:right w:w="108" w:type="dxa"/>
          </w:tblCellMar>
        </w:tblPrEx>
        <w:trPr>
          <w:trHeight w:val="2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1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男女更衣</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461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AC01</w:t>
            </w:r>
          </w:p>
        </w:tc>
        <w:tc>
          <w:tcPr>
            <w:tcW w:w="11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更衣柜</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900*400*1800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采用优质304不锈钢板材，珐纹处理，层板厚度≥1.2mm，侧板厚度≥1.0mm，每个门配独立锁钥匙；</w:t>
            </w:r>
          </w:p>
        </w:tc>
      </w:tr>
      <w:tr>
        <w:tblPrEx>
          <w:tblCellMar>
            <w:top w:w="0" w:type="dxa"/>
            <w:left w:w="108" w:type="dxa"/>
            <w:bottom w:w="0" w:type="dxa"/>
            <w:right w:w="108" w:type="dxa"/>
          </w:tblCellMar>
        </w:tblPrEx>
        <w:trPr>
          <w:trHeight w:val="5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AC02</w:t>
            </w:r>
          </w:p>
        </w:tc>
        <w:tc>
          <w:tcPr>
            <w:tcW w:w="11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更衣柜</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900*400*1800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2"/>
                <w:szCs w:val="22"/>
                <w:lang w:bidi="ar"/>
              </w:rPr>
              <w:t>采用优质304不锈钢板材，珐纹处理，层板厚度≥1.2mm，侧板厚度≥1.0mm，每个门配独立锁钥匙；</w:t>
            </w:r>
          </w:p>
        </w:tc>
      </w:tr>
      <w:tr>
        <w:tblPrEx>
          <w:tblCellMar>
            <w:top w:w="0" w:type="dxa"/>
            <w:left w:w="108" w:type="dxa"/>
            <w:bottom w:w="0" w:type="dxa"/>
            <w:right w:w="108" w:type="dxa"/>
          </w:tblCellMar>
        </w:tblPrEx>
        <w:trPr>
          <w:trHeight w:val="2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1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主副食库</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461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324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AD01</w:t>
            </w:r>
          </w:p>
        </w:tc>
        <w:tc>
          <w:tcPr>
            <w:tcW w:w="11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四门冰柜</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双温</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规格：1200*705*1965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1.食品冷柜用料：优质不锈钢板，柜门配有不锈钢门铰链（自动回门）、门锁及磁力胶边，雪柜内冷凝铜管Ф8mm。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2.板材：内外板≥0.6mm。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3.保温层：环戊烷。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4.总有效容积：910L。</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5.制冷剂：R134A。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6.双压缩机。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7.工作温度：冷藏+4℃～-5℃，冷冻-3℃～-20℃。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8.电压：220V，额定功率：370W。</w:t>
            </w:r>
          </w:p>
        </w:tc>
      </w:tr>
      <w:tr>
        <w:tblPrEx>
          <w:tblCellMar>
            <w:top w:w="0" w:type="dxa"/>
            <w:left w:w="108" w:type="dxa"/>
            <w:bottom w:w="0" w:type="dxa"/>
            <w:right w:w="108" w:type="dxa"/>
          </w:tblCellMar>
        </w:tblPrEx>
        <w:trPr>
          <w:trHeight w:val="1362"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AD02</w:t>
            </w:r>
          </w:p>
        </w:tc>
        <w:tc>
          <w:tcPr>
            <w:tcW w:w="11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四层货架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1500*500*1800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2.层板采用≥1.2mm不锈钢，三折边工艺处理；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3.腿采用Ф43*1.2mm不锈钢圆管；层板下用不锈钢60*40*1.2mm U型加强筋加固，间距≤500mm；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4.带四个可调节子弹脚。</w:t>
            </w:r>
          </w:p>
        </w:tc>
      </w:tr>
      <w:tr>
        <w:tblPrEx>
          <w:tblCellMar>
            <w:top w:w="0" w:type="dxa"/>
            <w:left w:w="108" w:type="dxa"/>
            <w:bottom w:w="0" w:type="dxa"/>
            <w:right w:w="108" w:type="dxa"/>
          </w:tblCellMar>
        </w:tblPrEx>
        <w:trPr>
          <w:trHeight w:val="1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AD03</w:t>
            </w:r>
          </w:p>
        </w:tc>
        <w:tc>
          <w:tcPr>
            <w:tcW w:w="11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四层货架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1200*500*1800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2.层板采用≥1.2mm不锈钢，三折边工艺处理；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3.腿采用Ф43*1.2mm不锈钢圆管；层板下用不锈钢60*40*1.2mm U型加强筋加固，间距≤500mm；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4.带四个可调节子弹脚。</w:t>
            </w:r>
          </w:p>
        </w:tc>
      </w:tr>
      <w:tr>
        <w:tblPrEx>
          <w:tblCellMar>
            <w:top w:w="0" w:type="dxa"/>
            <w:left w:w="108" w:type="dxa"/>
            <w:bottom w:w="0" w:type="dxa"/>
            <w:right w:w="108" w:type="dxa"/>
          </w:tblCellMar>
        </w:tblPrEx>
        <w:trPr>
          <w:trHeight w:val="8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AD04</w:t>
            </w:r>
          </w:p>
        </w:tc>
        <w:tc>
          <w:tcPr>
            <w:tcW w:w="11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米面架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1200*600*300</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2.台面及支架均为38*38*1.2mm厚不锈钢方管；</w:t>
            </w:r>
          </w:p>
        </w:tc>
      </w:tr>
      <w:tr>
        <w:tblPrEx>
          <w:tblCellMar>
            <w:top w:w="0" w:type="dxa"/>
            <w:left w:w="108" w:type="dxa"/>
            <w:bottom w:w="0" w:type="dxa"/>
            <w:right w:w="108" w:type="dxa"/>
          </w:tblCellMar>
        </w:tblPrEx>
        <w:trPr>
          <w:trHeight w:val="1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AD05</w:t>
            </w:r>
          </w:p>
        </w:tc>
        <w:tc>
          <w:tcPr>
            <w:tcW w:w="11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平板车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定型</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规格：900*600*900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2.层面为1.2mm不锈钢，层面底采用38*38*1.2mm不锈钢方管加固，φ38*1.2mm钢管冷弯成型把手；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3.带两个定向轮，两个转向轮，转向轮带刹车。</w:t>
            </w:r>
          </w:p>
        </w:tc>
      </w:tr>
      <w:tr>
        <w:tblPrEx>
          <w:tblCellMar>
            <w:top w:w="0" w:type="dxa"/>
            <w:left w:w="108" w:type="dxa"/>
            <w:bottom w:w="0" w:type="dxa"/>
            <w:right w:w="108" w:type="dxa"/>
          </w:tblCellMar>
        </w:tblPrEx>
        <w:trPr>
          <w:trHeight w:val="270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AD06</w:t>
            </w:r>
          </w:p>
        </w:tc>
        <w:tc>
          <w:tcPr>
            <w:tcW w:w="11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紫外线消毒灯</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功率：31-40W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电压：220V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灯头接口（灯头型号）：2G11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光源类型：紫外线光源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作用时间：30分钟、60分钟、120分钟三种时间选择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杀螨率：100%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消毒灯管表层有玻璃涂层，玻璃涂层会把产生臭氧的波长为185nm的辐射过滤掉，不会对人体产生伤害。可以隔着门、墙、柜子遥控操作，没有角度限制，操作时完全不被紫外线照射，安全便捷。</w:t>
            </w:r>
          </w:p>
        </w:tc>
      </w:tr>
      <w:tr>
        <w:tblPrEx>
          <w:tblCellMar>
            <w:top w:w="0" w:type="dxa"/>
            <w:left w:w="108" w:type="dxa"/>
            <w:bottom w:w="0" w:type="dxa"/>
            <w:right w:w="108" w:type="dxa"/>
          </w:tblCellMar>
        </w:tblPrEx>
        <w:trPr>
          <w:trHeight w:val="2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AD07</w:t>
            </w:r>
          </w:p>
        </w:tc>
        <w:tc>
          <w:tcPr>
            <w:tcW w:w="11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菜刀</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常规</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4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国家行业标准</w:t>
            </w:r>
          </w:p>
        </w:tc>
      </w:tr>
      <w:tr>
        <w:tblPrEx>
          <w:tblCellMar>
            <w:top w:w="0" w:type="dxa"/>
            <w:left w:w="108" w:type="dxa"/>
            <w:bottom w:w="0" w:type="dxa"/>
            <w:right w:w="108" w:type="dxa"/>
          </w:tblCellMar>
        </w:tblPrEx>
        <w:trPr>
          <w:trHeight w:val="2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AD08</w:t>
            </w:r>
          </w:p>
        </w:tc>
        <w:tc>
          <w:tcPr>
            <w:tcW w:w="11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砍刀</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常规</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4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国家行业标准</w:t>
            </w:r>
          </w:p>
        </w:tc>
      </w:tr>
      <w:tr>
        <w:tblPrEx>
          <w:tblCellMar>
            <w:top w:w="0" w:type="dxa"/>
            <w:left w:w="108" w:type="dxa"/>
            <w:bottom w:w="0" w:type="dxa"/>
            <w:right w:w="108" w:type="dxa"/>
          </w:tblCellMar>
        </w:tblPrEx>
        <w:trPr>
          <w:trHeight w:val="2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AD09</w:t>
            </w:r>
          </w:p>
        </w:tc>
        <w:tc>
          <w:tcPr>
            <w:tcW w:w="11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菜墩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常规</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4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国家行业标准</w:t>
            </w:r>
          </w:p>
        </w:tc>
      </w:tr>
      <w:tr>
        <w:tblPrEx>
          <w:tblCellMar>
            <w:top w:w="0" w:type="dxa"/>
            <w:left w:w="108" w:type="dxa"/>
            <w:bottom w:w="0" w:type="dxa"/>
            <w:right w:w="108" w:type="dxa"/>
          </w:tblCellMar>
        </w:tblPrEx>
        <w:trPr>
          <w:trHeight w:val="2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AD10</w:t>
            </w:r>
          </w:p>
        </w:tc>
        <w:tc>
          <w:tcPr>
            <w:tcW w:w="11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常规</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4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优质304食品级不锈钢</w:t>
            </w:r>
          </w:p>
        </w:tc>
      </w:tr>
      <w:tr>
        <w:tblPrEx>
          <w:tblCellMar>
            <w:top w:w="0" w:type="dxa"/>
            <w:left w:w="108" w:type="dxa"/>
            <w:bottom w:w="0" w:type="dxa"/>
            <w:right w:w="108" w:type="dxa"/>
          </w:tblCellMar>
        </w:tblPrEx>
        <w:trPr>
          <w:trHeight w:val="2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AD11</w:t>
            </w:r>
          </w:p>
        </w:tc>
        <w:tc>
          <w:tcPr>
            <w:tcW w:w="11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筷子</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常规</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w:t>
            </w:r>
          </w:p>
        </w:tc>
        <w:tc>
          <w:tcPr>
            <w:tcW w:w="4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优质304食品级不锈钢</w:t>
            </w:r>
          </w:p>
        </w:tc>
      </w:tr>
      <w:tr>
        <w:tblPrEx>
          <w:tblCellMar>
            <w:top w:w="0" w:type="dxa"/>
            <w:left w:w="108" w:type="dxa"/>
            <w:bottom w:w="0" w:type="dxa"/>
            <w:right w:w="108" w:type="dxa"/>
          </w:tblCellMar>
        </w:tblPrEx>
        <w:trPr>
          <w:trHeight w:val="2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AD12</w:t>
            </w:r>
          </w:p>
        </w:tc>
        <w:tc>
          <w:tcPr>
            <w:tcW w:w="11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常规</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4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优质304食品级不锈钢</w:t>
            </w:r>
          </w:p>
        </w:tc>
      </w:tr>
      <w:tr>
        <w:tblPrEx>
          <w:tblCellMar>
            <w:top w:w="0" w:type="dxa"/>
            <w:left w:w="108" w:type="dxa"/>
            <w:bottom w:w="0" w:type="dxa"/>
            <w:right w:w="108" w:type="dxa"/>
          </w:tblCellMar>
        </w:tblPrEx>
        <w:trPr>
          <w:trHeight w:val="2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AD13</w:t>
            </w:r>
          </w:p>
        </w:tc>
        <w:tc>
          <w:tcPr>
            <w:tcW w:w="11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餐盘</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常规</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4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优质304食品级不锈钢</w:t>
            </w:r>
          </w:p>
        </w:tc>
      </w:tr>
      <w:tr>
        <w:tblPrEx>
          <w:tblCellMar>
            <w:top w:w="0" w:type="dxa"/>
            <w:left w:w="108" w:type="dxa"/>
            <w:bottom w:w="0" w:type="dxa"/>
            <w:right w:w="108" w:type="dxa"/>
          </w:tblCellMar>
        </w:tblPrEx>
        <w:trPr>
          <w:trHeight w:val="2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1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油烟净化一体机排烟方案</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461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1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1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90°弯头</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4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采用优质不锈钢板≥1.2mm厚，排烟管道所有涂层及密封胶均采用耐高温、阻燃材料，以防安全隐患，符合GB/T9978.1-2008,耐火完整性≥60min时，试件背火面未出现持续性达10s或10s以上火焰。试件未丧失耐火完整性。管道之间用法兰连接，打胶密封紧密，无烟气泄露。</w:t>
            </w:r>
          </w:p>
        </w:tc>
      </w:tr>
      <w:tr>
        <w:tblPrEx>
          <w:tblCellMar>
            <w:top w:w="0" w:type="dxa"/>
            <w:left w:w="108" w:type="dxa"/>
            <w:bottom w:w="0" w:type="dxa"/>
            <w:right w:w="108" w:type="dxa"/>
          </w:tblCellMar>
        </w:tblPrEx>
        <w:trPr>
          <w:trHeight w:val="3318"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1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三通管道</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4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采用优质不锈钢板≥1.2mm厚，排烟管道所有涂层及密封胶均采用耐高温、阻燃材料，以防安全隐患，符合GB/T9978.1-2008,耐火完整性≥60min时，试件背火面未出现持续性达10s或10s以上火焰。试件未丧失耐火完整性。管道之间用法兰连接，打胶密封紧密，无烟气泄露。</w:t>
            </w:r>
          </w:p>
        </w:tc>
      </w:tr>
      <w:tr>
        <w:tblPrEx>
          <w:tblCellMar>
            <w:top w:w="0" w:type="dxa"/>
            <w:left w:w="108" w:type="dxa"/>
            <w:bottom w:w="0" w:type="dxa"/>
            <w:right w:w="108" w:type="dxa"/>
          </w:tblCellMar>
        </w:tblPrEx>
        <w:trPr>
          <w:trHeight w:val="1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管道</w:t>
            </w:r>
          </w:p>
        </w:tc>
        <w:tc>
          <w:tcPr>
            <w:tcW w:w="113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500*500</w:t>
            </w:r>
          </w:p>
        </w:tc>
        <w:tc>
          <w:tcPr>
            <w:tcW w:w="71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76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4614" w:type="dxa"/>
            <w:tcBorders>
              <w:top w:val="single" w:color="auto"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采用优质不锈钢板≥1.2mm厚，排烟管道所有涂层及密封胶均采用耐高温、阻燃材料，以防安全隐患，符合GB/T9978.1-2008,耐火完整性≥60min时，试件背火面未出现持续性达10s或10s以上火焰。试件未丧失耐火完整性。管道之间用法兰连接，打胶密封紧密，无烟气泄露。</w:t>
            </w:r>
          </w:p>
        </w:tc>
      </w:tr>
      <w:tr>
        <w:tblPrEx>
          <w:tblCellMar>
            <w:top w:w="0" w:type="dxa"/>
            <w:left w:w="108" w:type="dxa"/>
            <w:bottom w:w="0" w:type="dxa"/>
            <w:right w:w="108" w:type="dxa"/>
          </w:tblCellMar>
        </w:tblPrEx>
        <w:trPr>
          <w:trHeight w:val="2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安装辅料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4614" w:type="dxa"/>
            <w:tcBorders>
              <w:top w:val="single" w:color="000000" w:sz="4" w:space="0"/>
              <w:left w:val="single" w:color="000000" w:sz="4" w:space="0"/>
              <w:bottom w:val="single" w:color="000000" w:sz="4" w:space="0"/>
              <w:right w:val="nil"/>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784" w:type="dxa"/>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FF0000"/>
                <w:sz w:val="22"/>
                <w:szCs w:val="22"/>
              </w:rPr>
            </w:pPr>
            <w:r>
              <w:rPr>
                <w:rFonts w:hint="eastAsia" w:ascii="宋体" w:hAnsi="宋体" w:cs="宋体"/>
                <w:color w:val="FF0000"/>
                <w:kern w:val="0"/>
                <w:sz w:val="22"/>
                <w:szCs w:val="22"/>
                <w:lang w:bidi="ar"/>
              </w:rPr>
              <w:t>其他费用</w:t>
            </w:r>
          </w:p>
        </w:tc>
        <w:tc>
          <w:tcPr>
            <w:tcW w:w="1135" w:type="dxa"/>
            <w:tcBorders>
              <w:top w:val="single" w:color="000000" w:sz="4" w:space="0"/>
              <w:left w:val="nil"/>
              <w:bottom w:val="single" w:color="000000" w:sz="4" w:space="0"/>
              <w:right w:val="nil"/>
            </w:tcBorders>
            <w:shd w:val="clear" w:color="auto" w:fill="auto"/>
            <w:noWrap/>
            <w:vAlign w:val="center"/>
          </w:tcPr>
          <w:p>
            <w:pPr>
              <w:jc w:val="left"/>
              <w:rPr>
                <w:rFonts w:ascii="宋体" w:hAnsi="宋体" w:cs="宋体"/>
                <w:color w:val="FF0000"/>
                <w:sz w:val="22"/>
                <w:szCs w:val="22"/>
              </w:rPr>
            </w:pPr>
          </w:p>
        </w:tc>
        <w:tc>
          <w:tcPr>
            <w:tcW w:w="1134" w:type="dxa"/>
            <w:tcBorders>
              <w:top w:val="single" w:color="000000" w:sz="4" w:space="0"/>
              <w:left w:val="nil"/>
              <w:bottom w:val="single" w:color="000000" w:sz="4" w:space="0"/>
              <w:right w:val="nil"/>
            </w:tcBorders>
            <w:shd w:val="clear" w:color="auto" w:fill="auto"/>
            <w:vAlign w:val="center"/>
          </w:tcPr>
          <w:p>
            <w:pPr>
              <w:jc w:val="left"/>
              <w:rPr>
                <w:rFonts w:ascii="宋体" w:hAnsi="宋体" w:cs="宋体"/>
                <w:color w:val="FF0000"/>
                <w:sz w:val="22"/>
                <w:szCs w:val="22"/>
              </w:rPr>
            </w:pPr>
          </w:p>
        </w:tc>
        <w:tc>
          <w:tcPr>
            <w:tcW w:w="718" w:type="dxa"/>
            <w:tcBorders>
              <w:top w:val="single" w:color="000000" w:sz="4" w:space="0"/>
              <w:left w:val="nil"/>
              <w:bottom w:val="single" w:color="000000" w:sz="4" w:space="0"/>
              <w:right w:val="nil"/>
            </w:tcBorders>
            <w:shd w:val="clear" w:color="auto" w:fill="auto"/>
            <w:noWrap/>
            <w:vAlign w:val="center"/>
          </w:tcPr>
          <w:p>
            <w:pPr>
              <w:jc w:val="left"/>
              <w:rPr>
                <w:rFonts w:ascii="宋体" w:hAnsi="宋体" w:cs="宋体"/>
                <w:color w:val="FF0000"/>
                <w:sz w:val="22"/>
                <w:szCs w:val="22"/>
              </w:rPr>
            </w:pPr>
          </w:p>
        </w:tc>
        <w:tc>
          <w:tcPr>
            <w:tcW w:w="769" w:type="dxa"/>
            <w:tcBorders>
              <w:top w:val="single" w:color="000000" w:sz="4" w:space="0"/>
              <w:left w:val="nil"/>
              <w:bottom w:val="single" w:color="000000" w:sz="4" w:space="0"/>
              <w:right w:val="nil"/>
            </w:tcBorders>
            <w:shd w:val="clear" w:color="auto" w:fill="auto"/>
            <w:noWrap/>
            <w:vAlign w:val="center"/>
          </w:tcPr>
          <w:p>
            <w:pPr>
              <w:jc w:val="left"/>
              <w:rPr>
                <w:rFonts w:ascii="宋体" w:hAnsi="宋体" w:cs="宋体"/>
                <w:color w:val="FF0000"/>
                <w:sz w:val="22"/>
                <w:szCs w:val="22"/>
              </w:rPr>
            </w:pPr>
          </w:p>
        </w:tc>
        <w:tc>
          <w:tcPr>
            <w:tcW w:w="4614" w:type="dxa"/>
            <w:tcBorders>
              <w:top w:val="single" w:color="000000" w:sz="4" w:space="0"/>
              <w:left w:val="nil"/>
              <w:bottom w:val="single" w:color="000000" w:sz="4" w:space="0"/>
              <w:right w:val="nil"/>
            </w:tcBorders>
            <w:shd w:val="clear" w:color="auto" w:fill="auto"/>
            <w:vAlign w:val="center"/>
          </w:tcPr>
          <w:p>
            <w:pPr>
              <w:jc w:val="left"/>
              <w:rPr>
                <w:rFonts w:ascii="宋体" w:hAnsi="宋体" w:cs="宋体"/>
                <w:color w:val="FF0000"/>
                <w:sz w:val="22"/>
                <w:szCs w:val="22"/>
              </w:rPr>
            </w:pPr>
          </w:p>
        </w:tc>
      </w:tr>
      <w:tr>
        <w:tblPrEx>
          <w:tblCellMar>
            <w:top w:w="0" w:type="dxa"/>
            <w:left w:w="108" w:type="dxa"/>
            <w:bottom w:w="0" w:type="dxa"/>
            <w:right w:w="108" w:type="dxa"/>
          </w:tblCellMar>
        </w:tblPrEx>
        <w:trPr>
          <w:trHeight w:val="54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安装费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4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所有从配电箱至各个房间的电线、配件、桥架等，供水排水材料等，包含必要的地面、墙面改造、破损修复等</w:t>
            </w:r>
          </w:p>
        </w:tc>
      </w:tr>
    </w:tbl>
    <w:p>
      <w:pPr>
        <w:rPr>
          <w:b/>
          <w:bCs/>
          <w:sz w:val="28"/>
          <w:szCs w:val="36"/>
        </w:rPr>
      </w:pPr>
      <w:r>
        <w:rPr>
          <w:rFonts w:hint="eastAsia"/>
          <w:b/>
          <w:bCs/>
          <w:sz w:val="28"/>
          <w:szCs w:val="36"/>
        </w:rPr>
        <w:br w:type="page"/>
      </w:r>
    </w:p>
    <w:p>
      <w:pPr>
        <w:pStyle w:val="6"/>
      </w:pPr>
      <w:r>
        <w:rPr>
          <w:rFonts w:hint="eastAsia"/>
        </w:rPr>
        <w:t>融邦中山苑厨房设备</w:t>
      </w:r>
    </w:p>
    <w:tbl>
      <w:tblPr>
        <w:tblStyle w:val="25"/>
        <w:tblW w:w="8453" w:type="dxa"/>
        <w:tblInd w:w="93" w:type="dxa"/>
        <w:tblLayout w:type="fixed"/>
        <w:tblCellMar>
          <w:top w:w="0" w:type="dxa"/>
          <w:left w:w="108" w:type="dxa"/>
          <w:bottom w:w="0" w:type="dxa"/>
          <w:right w:w="108" w:type="dxa"/>
        </w:tblCellMar>
      </w:tblPr>
      <w:tblGrid>
        <w:gridCol w:w="797"/>
        <w:gridCol w:w="1096"/>
        <w:gridCol w:w="1160"/>
        <w:gridCol w:w="692"/>
        <w:gridCol w:w="795"/>
        <w:gridCol w:w="3913"/>
      </w:tblGrid>
      <w:tr>
        <w:tblPrEx>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设备名称</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规格型号</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技术参数</w:t>
            </w:r>
          </w:p>
        </w:tc>
      </w:tr>
      <w:tr>
        <w:tblPrEx>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FF0000"/>
                <w:sz w:val="22"/>
                <w:szCs w:val="22"/>
              </w:rPr>
            </w:pPr>
            <w:r>
              <w:rPr>
                <w:rFonts w:hint="eastAsia" w:ascii="宋体" w:hAnsi="宋体" w:cs="宋体"/>
                <w:b/>
                <w:bCs/>
                <w:color w:val="FF0000"/>
                <w:kern w:val="0"/>
                <w:sz w:val="22"/>
                <w:szCs w:val="22"/>
                <w:lang w:bidi="ar"/>
              </w:rPr>
              <w:t>主食库/副食库</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135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AA01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平板车</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定型</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规格：900*600*900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2.层面为≥1.2mm不锈钢，层面底采用38*38*1.2mm不锈钢方管加固，φ38*1.2mm钢管冷弯成型把手；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3.带两个定向轮，两个转向轮，转向轮带刹车。</w:t>
            </w:r>
          </w:p>
        </w:tc>
      </w:tr>
      <w:tr>
        <w:tblPrEx>
          <w:tblCellMar>
            <w:top w:w="0" w:type="dxa"/>
            <w:left w:w="108" w:type="dxa"/>
            <w:bottom w:w="0" w:type="dxa"/>
            <w:right w:w="108" w:type="dxa"/>
          </w:tblCellMar>
        </w:tblPrEx>
        <w:trPr>
          <w:trHeight w:val="8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AA02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米面架</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1200*600*300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2.台面及支架均为38*38*1.2mm厚不锈钢方管；</w:t>
            </w:r>
          </w:p>
        </w:tc>
      </w:tr>
      <w:tr>
        <w:tblPrEx>
          <w:tblCellMar>
            <w:top w:w="0" w:type="dxa"/>
            <w:left w:w="108" w:type="dxa"/>
            <w:bottom w:w="0" w:type="dxa"/>
            <w:right w:w="108" w:type="dxa"/>
          </w:tblCellMar>
        </w:tblPrEx>
        <w:trPr>
          <w:trHeight w:val="162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AA03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四层货架</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1200*500*1550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2.层板采用≥1.2mm不锈钢，三折边工艺处理；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3.腿采用Ф43*1.2mm不锈钢圆管；层板下用不锈钢60*40*1.2mm U型加强筋加固，间距≤500mm；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4.带四个可调节子弹脚。</w:t>
            </w:r>
          </w:p>
        </w:tc>
      </w:tr>
      <w:tr>
        <w:tblPrEx>
          <w:tblCellMar>
            <w:top w:w="0" w:type="dxa"/>
            <w:left w:w="108" w:type="dxa"/>
            <w:bottom w:w="0" w:type="dxa"/>
            <w:right w:w="108" w:type="dxa"/>
          </w:tblCellMar>
        </w:tblPrEx>
        <w:trPr>
          <w:trHeight w:val="162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AA04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四层货架</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1100*500*1550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2.层板采用≥1.2mm不锈钢，三折边工艺处理；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3.腿采用Ф43*1.2mm不锈钢圆管；层板下用不锈钢60*40*1.2mm U型加强筋加固，间距≤500mm；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4.带四个可调节子弹脚。</w:t>
            </w:r>
          </w:p>
        </w:tc>
      </w:tr>
      <w:tr>
        <w:tblPrEx>
          <w:tblCellMar>
            <w:top w:w="0" w:type="dxa"/>
            <w:left w:w="108" w:type="dxa"/>
            <w:bottom w:w="0" w:type="dxa"/>
            <w:right w:w="108" w:type="dxa"/>
          </w:tblCellMar>
        </w:tblPrEx>
        <w:trPr>
          <w:trHeight w:val="32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AA05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四门冰柜</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双温</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规格：1200*705*1965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1.食品冷柜用料：304不锈钢板，柜门配有不锈钢门铰链（自动回门）、门锁及磁力胶边，雪柜内冷凝铜管Ф8mm。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2.板材：内外板≥0.6mm。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3.保温层：环戊烷。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4.总有效容积：910L。</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5.制冷剂：R134A。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6.双压缩机。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7.工作温度：冷藏+4℃～-5℃，冷冻-3℃～-20℃。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8.电压：220V，额定功率：370W。</w:t>
            </w:r>
          </w:p>
        </w:tc>
      </w:tr>
      <w:tr>
        <w:tblPrEx>
          <w:tblCellMar>
            <w:top w:w="0" w:type="dxa"/>
            <w:left w:w="108" w:type="dxa"/>
            <w:bottom w:w="0" w:type="dxa"/>
            <w:right w:w="108" w:type="dxa"/>
          </w:tblCellMar>
        </w:tblPrEx>
        <w:trPr>
          <w:trHeight w:val="4235"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AA06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直饮机</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1、电压功率:220V/4.5kw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2、出水方式:两开两温开。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3、尺寸:1500x400x1300mm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4、不锈钢304椭圆形内胆容量:35L</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5、净水系统:内置400G净水机+11G压力桶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6、出水量:开水60L/H;温开水100L/H</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7、温开水出水水温:45℃~60℃可调节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8、微电脑程控设计，个性化仰角，LED高亮显示屏，集滤芯寿命、当前时间、故障提示、温度显示于一体，可设定定时开关机，定时开关机可设置到24小时的开启与关闭，更智能、更人性化;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9、采用五级过滤系统，有效去除水中重金属、余氯、细菌、水垢等有害物质，水质达到直饮水标准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10、采用304不锈钢冷热交换器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11、采用触摸式出水按键设计，取水方便，使用寿命长，简约美观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12、整机内部涉水部件均为304材质，外观采用耐指纹不锈钢，黑钛拉丝不锈钢材质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13、设备具有接地和漏保防漏电、加热内胆设有溢流孔在前方防蒸汽、控制板带有温度显示，并且可设定加热温度防超温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14、设备具有漏电报警并且显示代码防触日、控制板具有高低水位探针水到低水位探针且水位没过加热管后才开始加热工作防干烧、进水管无水设备则报警并停止工作防缺水</w:t>
            </w:r>
          </w:p>
        </w:tc>
      </w:tr>
      <w:tr>
        <w:tblPrEx>
          <w:tblCellMar>
            <w:top w:w="0" w:type="dxa"/>
            <w:left w:w="108" w:type="dxa"/>
            <w:bottom w:w="0" w:type="dxa"/>
            <w:right w:w="108" w:type="dxa"/>
          </w:tblCellMar>
        </w:tblPrEx>
        <w:trPr>
          <w:trHeight w:val="18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AA07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口杯消毒柜</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所用板材须为304食品级材质，无重金属污染，微量元素理化指标符合国标GB4806.9-2016标准。厚度1.2mm，多重保护装置，能有效杀灭细菌、及病毒（如大肠杆菌、金黄色葡萄球菌、肝炎病毒等）；采用远红外线对食具进行物理高温消毒，无化学物残留。</w:t>
            </w:r>
          </w:p>
        </w:tc>
      </w:tr>
      <w:tr>
        <w:tblPrEx>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开水间/洗消室</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19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AB01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开水器连底座</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12KW</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规格：100L</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1.步进水式电开水器，出水设定温度100度，自动保温；故障即时自动保护，智能显示屏，制水饮水、供水全自动控制；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2.步进水加热技术，速度1:3，增容1:3，程控恒温出水，100%纯开水；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3.防漏电、防干烧、防火、防开盖、防蒸汽五防安全设计；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4.产品内胆材质为304不锈钢；全铜进水管口，带不锈钢底座；加热管为304不锈钢材质；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5.加热管、内胆不锈钢，不锈钢迁移物指标（铅、铬、镉、砷、镍）符合GB 4806.9-2016 《食品安全国家标准 食品接触用金属材料及制品》；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6.额定功率：12KW、额定电压：380V、额定容量：≥100L、防护等级≥IPX3.额定压力：</w:t>
            </w:r>
          </w:p>
        </w:tc>
      </w:tr>
      <w:tr>
        <w:tblPrEx>
          <w:tblCellMar>
            <w:top w:w="0" w:type="dxa"/>
            <w:left w:w="108" w:type="dxa"/>
            <w:bottom w:w="0" w:type="dxa"/>
            <w:right w:w="108" w:type="dxa"/>
          </w:tblCellMar>
        </w:tblPrEx>
        <w:trPr>
          <w:trHeight w:val="18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AB02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收残台</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1000*700*800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规格：1000*700*800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1.采用304不锈钢拉丝板，工作台面采用 ≥1.2mm不锈钢；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2.支架通脚采用Φ48*1.2mm不锈钢管，可调子弹脚采用Φ48*1.2mm不锈钢管；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3.层板≥1.2mm不锈钢，加强筋三道；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4.三侧封闭，前面带台车。</w:t>
            </w:r>
          </w:p>
        </w:tc>
      </w:tr>
      <w:tr>
        <w:tblPrEx>
          <w:tblCellMar>
            <w:top w:w="0" w:type="dxa"/>
            <w:left w:w="108" w:type="dxa"/>
            <w:bottom w:w="0" w:type="dxa"/>
            <w:right w:w="108" w:type="dxa"/>
          </w:tblCellMar>
        </w:tblPrEx>
        <w:trPr>
          <w:trHeight w:val="32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AB03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三星水池</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1800*700*800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规格：1800*700*800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1.采用304不锈钢拉丝板，台面≥1.2mm，星盆≥1.2mm不锈钢，水池两侧及前脸用1.0mm不锈钢封挡，便于卫生清理；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2.支架通脚采用Φ38*1.2mm不锈钢管；支架横通采用Φ32*1.2mm不锈钢管；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3.四个Ф38mm可调不锈钢子弹脚。</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4.每一个星盆配不锈钢下水系统，配星盆龙头；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5.含304不锈钢上下水配件，进水自行链接主水管，下水链接下水口负责墙体开槽及修复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配防臭型下水器</w:t>
            </w:r>
          </w:p>
        </w:tc>
      </w:tr>
      <w:tr>
        <w:tblPrEx>
          <w:tblCellMar>
            <w:top w:w="0" w:type="dxa"/>
            <w:left w:w="108" w:type="dxa"/>
            <w:bottom w:w="0" w:type="dxa"/>
            <w:right w:w="108" w:type="dxa"/>
          </w:tblCellMar>
        </w:tblPrEx>
        <w:trPr>
          <w:trHeight w:val="18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AB04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双层工作台</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1000*700*800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规格：1000*700*800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2.工作台台面采用≥1.5mm不锈钢；下层板采用≥1.2mm不锈钢；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3.面板及层板下覆80*40*1.2mmU型加固筋。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4.支架通脚采用Φ48*1.2mm不锈钢管，下配可调子弹脚。</w:t>
            </w:r>
          </w:p>
        </w:tc>
      </w:tr>
      <w:tr>
        <w:tblPrEx>
          <w:tblCellMar>
            <w:top w:w="0" w:type="dxa"/>
            <w:left w:w="108" w:type="dxa"/>
            <w:bottom w:w="0" w:type="dxa"/>
            <w:right w:w="108" w:type="dxa"/>
          </w:tblCellMar>
        </w:tblPrEx>
        <w:trPr>
          <w:trHeight w:val="108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AB05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洗地龙头</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10M</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1.长液压管≥10M；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2.耐高温 80-120 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3.可拉伸，自动回收；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4.配置水枪头。</w:t>
            </w:r>
          </w:p>
        </w:tc>
      </w:tr>
      <w:tr>
        <w:tblPrEx>
          <w:tblCellMar>
            <w:top w:w="0" w:type="dxa"/>
            <w:left w:w="108" w:type="dxa"/>
            <w:bottom w:w="0" w:type="dxa"/>
            <w:right w:w="108" w:type="dxa"/>
          </w:tblCellMar>
        </w:tblPrEx>
        <w:trPr>
          <w:trHeight w:val="29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AB06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玻璃门消毒柜</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双门</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功率0.9kw/220v,30-70℃可自由调节，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1、箱体采用无磁304不锈钢材料制作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2、采用高效能紫外线+高效率远红外管和超静音风机，实现热风循环，多重消毒无死角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3、优质保温材料，节能环保，</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4、可移动式大筛篮结构，收放更方便，更加人性化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5、人性化控制，用户可根据需要自行设定温度和时间，达到杀菌保洁的要求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6、全新欧式外观，透明视窗设计，全视角消毒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7、采用中温烘干技术，特设超高温保护功能，适合不耐高温易变形的塑料、竹木质餐具消毒</w:t>
            </w:r>
          </w:p>
        </w:tc>
      </w:tr>
      <w:tr>
        <w:tblPrEx>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主厨房</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18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AC01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双门燃气蒸车</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24盘</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规格：24盘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1.双门竖盘,材质采用304不锈钢磨砂板，蒸车内外采用≥0.8mm不锈钢板；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2.蒸车内含支撑的钢柱，下配万向轮，便于移动；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3.阻热式不锈钢门把手，箱体为整体发泡；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4，配备材质为304食品级不锈钢的米饭和馒头蒸饭盘各一套。</w:t>
            </w:r>
          </w:p>
        </w:tc>
      </w:tr>
      <w:tr>
        <w:tblPrEx>
          <w:tblCellMar>
            <w:top w:w="0" w:type="dxa"/>
            <w:left w:w="108" w:type="dxa"/>
            <w:bottom w:w="0" w:type="dxa"/>
            <w:right w:w="108" w:type="dxa"/>
          </w:tblCellMar>
        </w:tblPrEx>
        <w:trPr>
          <w:trHeight w:val="4356"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AC02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电烤箱</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三层六盘</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after="220"/>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规格：三层六盘；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1.额定电压/功率：380V/19KW；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2.温度范围：0-380℃；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3.微电脑数显控制烘烤系统。带有安全保护装置；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4.超温安全保护等；底部带有四个万向脚轮；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5.三项五线电源线，带有可视窗口，内带照明灯，全封闭式整体环保耐高温材料；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6.外壳面板采用优质不锈钢板，因操作间门口尺寸限制，烤箱须为可拆分式，设备分体到货进入操作间后组装为一体，要求组装后安全、牢固、完整。</w:t>
            </w:r>
            <w:r>
              <w:rPr>
                <w:rFonts w:hint="eastAsia" w:ascii="宋体" w:hAnsi="宋体" w:cs="宋体"/>
                <w:color w:val="000000"/>
                <w:kern w:val="0"/>
                <w:sz w:val="22"/>
                <w:szCs w:val="22"/>
                <w:lang w:bidi="ar"/>
              </w:rPr>
              <w:br w:type="textWrapping"/>
            </w:r>
          </w:p>
        </w:tc>
      </w:tr>
      <w:tr>
        <w:tblPrEx>
          <w:tblCellMar>
            <w:top w:w="0" w:type="dxa"/>
            <w:left w:w="108" w:type="dxa"/>
            <w:bottom w:w="0" w:type="dxa"/>
            <w:right w:w="108" w:type="dxa"/>
          </w:tblCellMar>
        </w:tblPrEx>
        <w:trPr>
          <w:trHeight w:val="216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AC03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电饼铛</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650*750*800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规格：650*750*800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1.电热铛全部采用优质不锈钢板，上盖及把手可采用锈钢材质。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2.锅体采用特殊处理不粘锅，涂层永不掉，采用智能温控，精准温控。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3.额定电压 380v/220v，额定 50Hz，温度范围 0℃-250℃，输入功率 5kw。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4.锅沿高度3cm，配有超温保护，温度误差小。</w:t>
            </w:r>
          </w:p>
        </w:tc>
      </w:tr>
      <w:tr>
        <w:tblPrEx>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AC04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拼台</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400*750*800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规格：500*1200*800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采用304不锈钢拉丝板，台面板厚≥1.2mm。</w:t>
            </w:r>
          </w:p>
        </w:tc>
      </w:tr>
      <w:tr>
        <w:tblPrEx>
          <w:tblCellMar>
            <w:top w:w="0" w:type="dxa"/>
            <w:left w:w="108" w:type="dxa"/>
            <w:bottom w:w="0" w:type="dxa"/>
            <w:right w:w="108" w:type="dxa"/>
          </w:tblCellMar>
        </w:tblPrEx>
        <w:trPr>
          <w:trHeight w:val="1086"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AC05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1米大锅灶</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1300*1200*800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规格：1300*1200*800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1.燃气大锅灶，采用优质304不锈钢磨砂板，台面板厚≥1.2mm，侧面板厚≥1.2mm；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2.炉体骨架40*40*4mm角钢，钢板炉膛，厚度≥3mm，炉通脚含支撑炉身的钢柱及可调炉身的高度的不锈钢子弹脚；</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3.炉膛与台面钢板加装隔热棉；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4.自动安全装置，配安全点火棒。功率：280W/220V。</w:t>
            </w:r>
          </w:p>
        </w:tc>
      </w:tr>
      <w:tr>
        <w:tblPrEx>
          <w:tblCellMar>
            <w:top w:w="0" w:type="dxa"/>
            <w:left w:w="108" w:type="dxa"/>
            <w:bottom w:w="0" w:type="dxa"/>
            <w:right w:w="108" w:type="dxa"/>
          </w:tblCellMar>
        </w:tblPrEx>
        <w:trPr>
          <w:trHeight w:val="29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AC06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油烟净化一体机</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5900*1300*500（可根据房间，合理分割布局，总米数不变）</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组</w:t>
            </w:r>
          </w:p>
        </w:tc>
        <w:tc>
          <w:tcPr>
            <w:tcW w:w="391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规格：按需定制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烟罩在离心风机的抽吸力的作用下,油烟经隔油栅进行初级过滤。剩余细微油烟进入高效滤筒进行二次净化，固态颗粒和液态油沉积在净化材料上；净化后的气体经风机排入烟道井中。净化效果符合饮食业油烟净化设备要求及检测技术规范（HJ/T62-2001）。 每节烟罩含2个LED照明灯，含风机和照明；功率：1.8kw,380V；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2、用料：304/2B不锈钢板；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3、板材：不锈钢≥1.2㎜。除油达到95%，除味达到90%。净化标准:低空净化直排。</w:t>
            </w:r>
          </w:p>
        </w:tc>
      </w:tr>
      <w:tr>
        <w:tblPrEx>
          <w:tblCellMar>
            <w:top w:w="0" w:type="dxa"/>
            <w:left w:w="108" w:type="dxa"/>
            <w:bottom w:w="0" w:type="dxa"/>
            <w:right w:w="108" w:type="dxa"/>
          </w:tblCellMar>
        </w:tblPrEx>
        <w:trPr>
          <w:trHeight w:val="18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AC07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双通工作台</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1800*800*800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规格：1800*800*800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2.工作台台面采用≥1.5mm不锈钢；下层板采用≥1.2mm不锈钢；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3.面板及层板下覆80*40*1.2mmU型加固筋。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4.支架通脚采用Φ48*1.2mm不锈钢管，下配可调子弹脚。</w:t>
            </w:r>
          </w:p>
        </w:tc>
      </w:tr>
      <w:tr>
        <w:tblPrEx>
          <w:tblCellMar>
            <w:top w:w="0" w:type="dxa"/>
            <w:left w:w="108" w:type="dxa"/>
            <w:bottom w:w="0" w:type="dxa"/>
            <w:right w:w="108" w:type="dxa"/>
          </w:tblCellMar>
        </w:tblPrEx>
        <w:trPr>
          <w:trHeight w:val="421"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AC08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四门冰柜</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双温</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after="220"/>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规格：1200*705*1965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1.食品冷柜用料：优质不锈钢板，柜门配有不锈钢门铰链（自动回门）、门锁及磁力胶边，雪柜内冷凝铜管Ф8mm。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2.板材：内外板≥0.6mm。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3.保温层：环戊烷。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4.总有效容积：910L。</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5.制冷剂：R134A。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6.双压缩机。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7.工作温度：冷藏+4℃～-5℃，冷冻-3℃～-20℃。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8.电压：220V，额定功率：370W。</w:t>
            </w:r>
          </w:p>
        </w:tc>
      </w:tr>
      <w:tr>
        <w:tblPrEx>
          <w:tblCellMar>
            <w:top w:w="0" w:type="dxa"/>
            <w:left w:w="108" w:type="dxa"/>
            <w:bottom w:w="0" w:type="dxa"/>
            <w:right w:w="108" w:type="dxa"/>
          </w:tblCellMar>
        </w:tblPrEx>
        <w:trPr>
          <w:trHeight w:val="162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AC09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四层货架</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1500*500*1550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2.层板采用≥1.2mm不锈钢，三折边工艺处理；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3.腿采用Ф43*1.2mm不锈钢圆管；层板下用不锈钢60*40*1.2mm U型加强筋加固，间距≤500mm；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4.带四个可调节子弹脚。</w:t>
            </w:r>
          </w:p>
        </w:tc>
      </w:tr>
      <w:tr>
        <w:tblPrEx>
          <w:tblCellMar>
            <w:top w:w="0" w:type="dxa"/>
            <w:left w:w="108" w:type="dxa"/>
            <w:bottom w:w="0" w:type="dxa"/>
            <w:right w:w="108" w:type="dxa"/>
          </w:tblCellMar>
        </w:tblPrEx>
        <w:trPr>
          <w:trHeight w:val="18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AC10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木案工作台</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1800*800*800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规格：1800*800*800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2.工作台台面采用≥1.5mm不锈钢；下层板采用≥1.2mm不锈钢；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3.面板及层板下覆80*40*1.2mmU型加固筋。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4.支架通脚采用Φ48*1.2mm不锈钢管，下配可调子弹脚。</w:t>
            </w:r>
          </w:p>
        </w:tc>
      </w:tr>
      <w:tr>
        <w:tblPrEx>
          <w:tblCellMar>
            <w:top w:w="0" w:type="dxa"/>
            <w:left w:w="108" w:type="dxa"/>
            <w:bottom w:w="0" w:type="dxa"/>
            <w:right w:w="108" w:type="dxa"/>
          </w:tblCellMar>
        </w:tblPrEx>
        <w:trPr>
          <w:trHeight w:val="243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AC11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压面机</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规格：350型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1.全自动型；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2.采用防水防潮铜制电机；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3.铜制电机；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4.功率：3KW/380V；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5.生产能力：400KG/H；</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6.面团输送、折叠和揉压自动连续完成，既卫生又安全。</w:t>
            </w:r>
          </w:p>
        </w:tc>
      </w:tr>
      <w:tr>
        <w:tblPrEx>
          <w:tblCellMar>
            <w:top w:w="0" w:type="dxa"/>
            <w:left w:w="108" w:type="dxa"/>
            <w:bottom w:w="0" w:type="dxa"/>
            <w:right w:w="108" w:type="dxa"/>
          </w:tblCellMar>
        </w:tblPrEx>
        <w:trPr>
          <w:trHeight w:val="18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AC12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双层工作台</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1500*700*800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规格：1500*700*800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2.工作台台面采用≥1.5mm不锈钢；下层板采用≥1.2mm不锈钢；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3.面板及层板下覆80*40*1.2mmU型加固筋。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4.支架通脚采用Φ48*1.2mm不锈钢管，下配可调子弹脚。</w:t>
            </w:r>
          </w:p>
        </w:tc>
      </w:tr>
      <w:tr>
        <w:tblPrEx>
          <w:tblCellMar>
            <w:top w:w="0" w:type="dxa"/>
            <w:left w:w="108" w:type="dxa"/>
            <w:bottom w:w="0" w:type="dxa"/>
            <w:right w:w="108" w:type="dxa"/>
          </w:tblCellMar>
        </w:tblPrEx>
        <w:trPr>
          <w:trHeight w:val="29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AC13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三星水池</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1800*760*800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规格：1800*760*800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1.采用304不锈钢拉丝板，台面≥1.2mm，星盆≥1.2mm不锈钢，水池两侧及前脸用≥1.0mm不锈钢封挡，便于卫生清理；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2.支架通脚采用Φ38*1.2mm不锈钢管；支架横通采用Φ32*1.2mm不锈钢管；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3.四个Ф38mm可调不锈钢子弹脚。</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4.每一个星盆配不锈钢下水系统，配星盆龙头；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5.含304不锈钢上下水配件，进水自行链接主水管，下水链接下水口负责墙体开槽及修复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配防臭型下水器</w:t>
            </w:r>
          </w:p>
        </w:tc>
      </w:tr>
      <w:tr>
        <w:tblPrEx>
          <w:tblCellMar>
            <w:top w:w="0" w:type="dxa"/>
            <w:left w:w="108" w:type="dxa"/>
            <w:bottom w:w="0" w:type="dxa"/>
            <w:right w:w="108" w:type="dxa"/>
          </w:tblCellMar>
        </w:tblPrEx>
        <w:trPr>
          <w:trHeight w:val="8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AC14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热水器</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80L</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配防电墙和漏电声光报警系统，双重安全保护，减少漏电、触电隐患。智能高纯镁芯，抵御腐蚀。高密度聚氨酯发泡层，保温更持久。功率：220V/3KW。</w:t>
            </w:r>
          </w:p>
        </w:tc>
      </w:tr>
      <w:tr>
        <w:tblPrEx>
          <w:tblCellMar>
            <w:top w:w="0" w:type="dxa"/>
            <w:left w:w="108" w:type="dxa"/>
            <w:bottom w:w="0" w:type="dxa"/>
            <w:right w:w="108" w:type="dxa"/>
          </w:tblCellMar>
        </w:tblPrEx>
        <w:trPr>
          <w:trHeight w:val="243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AC15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灭蝇灯</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1.电压220v，20w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2.有效面积90-120平方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3.诱虫灯管：10W*2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本机设有环保挡板和防滑收集盘。 环保挡板能基本防止蚊蝇残骸飞溅， 也能减少紫外光线对人体的直接照 射，挡板内部还设有铝制反射层，增强光线反射，诱虫效果更佳。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环保型灭蝇器有效防止蚊蝇残骸落到机外，造成二次污染现象，环保卫生，稳健可靠。</w:t>
            </w:r>
          </w:p>
        </w:tc>
      </w:tr>
      <w:tr>
        <w:tblPrEx>
          <w:tblCellMar>
            <w:top w:w="0" w:type="dxa"/>
            <w:left w:w="108" w:type="dxa"/>
            <w:bottom w:w="0" w:type="dxa"/>
            <w:right w:w="108" w:type="dxa"/>
          </w:tblCellMar>
        </w:tblPrEx>
        <w:trPr>
          <w:trHeight w:val="1089"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AC16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留样柜</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600*705*1650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规格：600*705*1650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1.留样冰箱，单门玻璃门，容积410L；</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2.箱体内外均采用≥0.6mm  304不锈钢磨砂板；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3.整体发泡、铜管,双锁；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4.制冷剂：R134A。温度范围：0℃—+8℃；</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5.功率：0.2KW，220V。</w:t>
            </w:r>
          </w:p>
        </w:tc>
      </w:tr>
      <w:tr>
        <w:tblPrEx>
          <w:tblCellMar>
            <w:top w:w="0" w:type="dxa"/>
            <w:left w:w="108" w:type="dxa"/>
            <w:bottom w:w="0" w:type="dxa"/>
            <w:right w:w="108" w:type="dxa"/>
          </w:tblCellMar>
        </w:tblPrEx>
        <w:trPr>
          <w:trHeight w:val="216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AC17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送餐车</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900*600*900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规格：900*600*900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1.材质：304不锈钢，层板为≥1.2mm 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2.层面底加强筋，材料为38*38mm厚≥1.2mm 不锈钢方管；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3.底部带刹车尼龙轮；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4.Φ32*1.2mm弯管扶手，斗深400mm,带放水阀门，方便清洗。</w:t>
            </w:r>
          </w:p>
        </w:tc>
      </w:tr>
      <w:tr>
        <w:tblPrEx>
          <w:tblCellMar>
            <w:top w:w="0" w:type="dxa"/>
            <w:left w:w="108" w:type="dxa"/>
            <w:bottom w:w="0" w:type="dxa"/>
            <w:right w:w="108" w:type="dxa"/>
          </w:tblCellMar>
        </w:tblPrEx>
        <w:trPr>
          <w:trHeight w:val="243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AC18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紫外线消毒灯</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功率：31-40W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电压：220V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灯头接口（灯头型号）：2G11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光源类型：紫外线光源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杀螨率：100%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消毒灯管表层有玻璃涂层，玻璃涂层会把产生臭氧的波长为185nm的辐射过滤掉，不会对人体产生伤害。可以隔着门、墙、柜子遥控操作，没有角度限制，操作时完全不被紫外线照射，安全便捷。</w:t>
            </w:r>
          </w:p>
        </w:tc>
      </w:tr>
      <w:tr>
        <w:tblPrEx>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AC19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菜刀</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常规</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把</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国家行业标准</w:t>
            </w:r>
          </w:p>
        </w:tc>
      </w:tr>
      <w:tr>
        <w:tblPrEx>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AC20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砍刀</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常规</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把</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国家行业标准</w:t>
            </w:r>
          </w:p>
        </w:tc>
      </w:tr>
      <w:tr>
        <w:tblPrEx>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AC21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菜墩</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常规</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台</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国家行业标准</w:t>
            </w:r>
          </w:p>
        </w:tc>
      </w:tr>
      <w:tr>
        <w:tblPrEx>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AC22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餐盘</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常规</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个</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优质304不锈钢</w:t>
            </w:r>
          </w:p>
        </w:tc>
      </w:tr>
      <w:tr>
        <w:tblPrEx>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AC23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小勺</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常规</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个</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优质304不锈钢</w:t>
            </w:r>
          </w:p>
        </w:tc>
      </w:tr>
      <w:tr>
        <w:tblPrEx>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AC24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双层碗</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常规</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个</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优质304不锈钢</w:t>
            </w:r>
          </w:p>
        </w:tc>
      </w:tr>
      <w:tr>
        <w:tblPrEx>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AC25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口杯</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常规</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个</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优质304不锈钢</w:t>
            </w:r>
          </w:p>
        </w:tc>
      </w:tr>
      <w:tr>
        <w:tblPrEx>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color w:val="000000"/>
                <w:sz w:val="22"/>
                <w:szCs w:val="22"/>
              </w:rPr>
            </w:pPr>
          </w:p>
        </w:tc>
        <w:tc>
          <w:tcPr>
            <w:tcW w:w="1096" w:type="dxa"/>
            <w:tcBorders>
              <w:top w:val="single" w:color="000000" w:sz="4" w:space="0"/>
              <w:left w:val="nil"/>
              <w:bottom w:val="single" w:color="000000" w:sz="4" w:space="0"/>
              <w:right w:val="nil"/>
            </w:tcBorders>
            <w:shd w:val="clear" w:color="auto" w:fill="auto"/>
            <w:noWrap/>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油烟净化一体机排烟方案</w:t>
            </w:r>
          </w:p>
        </w:tc>
        <w:tc>
          <w:tcPr>
            <w:tcW w:w="1160" w:type="dxa"/>
            <w:tcBorders>
              <w:top w:val="single" w:color="000000" w:sz="4" w:space="0"/>
              <w:left w:val="nil"/>
              <w:bottom w:val="single" w:color="000000" w:sz="4" w:space="0"/>
              <w:right w:val="nil"/>
            </w:tcBorders>
            <w:shd w:val="clear" w:color="auto" w:fill="auto"/>
            <w:vAlign w:val="center"/>
          </w:tcPr>
          <w:p>
            <w:pPr>
              <w:jc w:val="center"/>
              <w:rPr>
                <w:rFonts w:ascii="宋体" w:hAnsi="宋体" w:cs="宋体"/>
                <w:color w:val="000000"/>
                <w:sz w:val="22"/>
                <w:szCs w:val="22"/>
              </w:rPr>
            </w:pPr>
          </w:p>
        </w:tc>
        <w:tc>
          <w:tcPr>
            <w:tcW w:w="692" w:type="dxa"/>
            <w:tcBorders>
              <w:top w:val="single" w:color="000000" w:sz="4" w:space="0"/>
              <w:left w:val="nil"/>
              <w:bottom w:val="single" w:color="000000" w:sz="4" w:space="0"/>
              <w:right w:val="nil"/>
            </w:tcBorders>
            <w:shd w:val="clear" w:color="auto" w:fill="auto"/>
            <w:noWrap/>
            <w:vAlign w:val="center"/>
          </w:tcPr>
          <w:p>
            <w:pPr>
              <w:jc w:val="center"/>
              <w:rPr>
                <w:rFonts w:ascii="宋体" w:hAnsi="宋体" w:cs="宋体"/>
                <w:color w:val="000000"/>
                <w:sz w:val="22"/>
                <w:szCs w:val="22"/>
              </w:rPr>
            </w:pPr>
          </w:p>
        </w:tc>
        <w:tc>
          <w:tcPr>
            <w:tcW w:w="795" w:type="dxa"/>
            <w:tcBorders>
              <w:top w:val="single" w:color="000000" w:sz="4" w:space="0"/>
              <w:left w:val="nil"/>
              <w:bottom w:val="single" w:color="000000" w:sz="4" w:space="0"/>
              <w:right w:val="nil"/>
            </w:tcBorders>
            <w:shd w:val="clear" w:color="auto" w:fill="auto"/>
            <w:noWrap/>
            <w:vAlign w:val="center"/>
          </w:tcPr>
          <w:p>
            <w:pPr>
              <w:jc w:val="center"/>
              <w:rPr>
                <w:rFonts w:ascii="宋体" w:hAnsi="宋体" w:cs="宋体"/>
                <w:color w:val="000000"/>
                <w:sz w:val="22"/>
                <w:szCs w:val="22"/>
              </w:rPr>
            </w:pPr>
          </w:p>
        </w:tc>
        <w:tc>
          <w:tcPr>
            <w:tcW w:w="3913" w:type="dxa"/>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674"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90°弯头</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满足使用</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采用优质不锈钢板≥1.2mm厚，排烟管道所有涂层及密封胶均采用耐高温、阻燃材料，以防安全隐患，符合GB/T9978.1-2008,耐火完整性≥60min时，试件背火面未出现持续性达10s或10s以上火焰。试件未丧失耐火完整性。管道之间用法兰连接，打胶密封紧密，无烟气泄露。</w:t>
            </w:r>
          </w:p>
        </w:tc>
      </w:tr>
      <w:tr>
        <w:tblPrEx>
          <w:tblCellMar>
            <w:top w:w="0" w:type="dxa"/>
            <w:left w:w="108" w:type="dxa"/>
            <w:bottom w:w="0" w:type="dxa"/>
            <w:right w:w="108" w:type="dxa"/>
          </w:tblCellMar>
        </w:tblPrEx>
        <w:trPr>
          <w:trHeight w:val="162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三通管道</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满足使用</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采用优质不锈钢板≥1.2mm厚，排烟管道所有涂层及密封胶均采用耐高温、阻燃材料，以防安全隐患，符合GB/T9978.1-2008,耐火完整性≥60min时，试件背火面未出现持续性达10s或10s以上火焰。试件未丧失耐火完整性。管道之间用法兰连接，打胶密封紧密，无烟气泄露。</w:t>
            </w:r>
          </w:p>
        </w:tc>
      </w:tr>
      <w:tr>
        <w:tblPrEx>
          <w:tblCellMar>
            <w:top w:w="0" w:type="dxa"/>
            <w:left w:w="108" w:type="dxa"/>
            <w:bottom w:w="0" w:type="dxa"/>
            <w:right w:w="108" w:type="dxa"/>
          </w:tblCellMar>
        </w:tblPrEx>
        <w:trPr>
          <w:trHeight w:val="162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管道</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500*500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采用优质不锈钢板≥1.2mm厚，排烟管道所有涂层及密封胶均采用耐高温、阻燃材料，以防安全隐患，符合GB/T9978.1-2008,耐火完整性≥60min时，试件背火面未出现持续性达10s或10s以上火焰。试件未丧失耐火完整性。管道之间用法兰连接，打胶密封紧密，无烟气泄露。</w:t>
            </w:r>
          </w:p>
        </w:tc>
      </w:tr>
      <w:tr>
        <w:tblPrEx>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安装辅料</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满足使用</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FF0000"/>
                <w:sz w:val="22"/>
                <w:szCs w:val="22"/>
              </w:rPr>
            </w:pPr>
            <w:r>
              <w:rPr>
                <w:rFonts w:hint="eastAsia" w:ascii="宋体" w:hAnsi="宋体" w:cs="宋体"/>
                <w:color w:val="FF0000"/>
                <w:kern w:val="0"/>
                <w:sz w:val="22"/>
                <w:szCs w:val="22"/>
                <w:lang w:bidi="ar"/>
              </w:rPr>
              <w:t>其他费用</w:t>
            </w:r>
          </w:p>
        </w:tc>
        <w:tc>
          <w:tcPr>
            <w:tcW w:w="1096" w:type="dxa"/>
            <w:tcBorders>
              <w:top w:val="single" w:color="000000" w:sz="4" w:space="0"/>
              <w:left w:val="nil"/>
              <w:bottom w:val="single" w:color="000000" w:sz="4" w:space="0"/>
              <w:right w:val="nil"/>
            </w:tcBorders>
            <w:shd w:val="clear" w:color="auto" w:fill="auto"/>
            <w:noWrap/>
            <w:vAlign w:val="center"/>
          </w:tcPr>
          <w:p>
            <w:pPr>
              <w:rPr>
                <w:rFonts w:ascii="宋体" w:hAnsi="宋体" w:cs="宋体"/>
                <w:color w:val="FF0000"/>
                <w:sz w:val="22"/>
                <w:szCs w:val="22"/>
              </w:rPr>
            </w:pPr>
          </w:p>
        </w:tc>
        <w:tc>
          <w:tcPr>
            <w:tcW w:w="1160" w:type="dxa"/>
            <w:tcBorders>
              <w:top w:val="single" w:color="000000" w:sz="4" w:space="0"/>
              <w:left w:val="nil"/>
              <w:bottom w:val="single" w:color="000000" w:sz="4" w:space="0"/>
              <w:right w:val="nil"/>
            </w:tcBorders>
            <w:shd w:val="clear" w:color="auto" w:fill="auto"/>
            <w:vAlign w:val="center"/>
          </w:tcPr>
          <w:p>
            <w:pPr>
              <w:rPr>
                <w:rFonts w:ascii="宋体" w:hAnsi="宋体" w:cs="宋体"/>
                <w:color w:val="FF0000"/>
                <w:sz w:val="22"/>
                <w:szCs w:val="22"/>
              </w:rPr>
            </w:pPr>
          </w:p>
        </w:tc>
        <w:tc>
          <w:tcPr>
            <w:tcW w:w="692" w:type="dxa"/>
            <w:tcBorders>
              <w:top w:val="single" w:color="000000" w:sz="4" w:space="0"/>
              <w:left w:val="nil"/>
              <w:bottom w:val="single" w:color="000000" w:sz="4" w:space="0"/>
              <w:right w:val="nil"/>
            </w:tcBorders>
            <w:shd w:val="clear" w:color="auto" w:fill="auto"/>
            <w:noWrap/>
            <w:vAlign w:val="center"/>
          </w:tcPr>
          <w:p>
            <w:pPr>
              <w:rPr>
                <w:rFonts w:ascii="宋体" w:hAnsi="宋体" w:cs="宋体"/>
                <w:color w:val="FF0000"/>
                <w:sz w:val="22"/>
                <w:szCs w:val="22"/>
              </w:rPr>
            </w:pPr>
          </w:p>
        </w:tc>
        <w:tc>
          <w:tcPr>
            <w:tcW w:w="795" w:type="dxa"/>
            <w:tcBorders>
              <w:top w:val="single" w:color="000000" w:sz="4" w:space="0"/>
              <w:left w:val="nil"/>
              <w:bottom w:val="single" w:color="000000" w:sz="4" w:space="0"/>
              <w:right w:val="nil"/>
            </w:tcBorders>
            <w:shd w:val="clear" w:color="auto" w:fill="auto"/>
            <w:noWrap/>
            <w:vAlign w:val="center"/>
          </w:tcPr>
          <w:p>
            <w:pPr>
              <w:rPr>
                <w:rFonts w:ascii="宋体" w:hAnsi="宋体" w:cs="宋体"/>
                <w:color w:val="FF0000"/>
                <w:sz w:val="22"/>
                <w:szCs w:val="22"/>
              </w:rPr>
            </w:pPr>
          </w:p>
        </w:tc>
        <w:tc>
          <w:tcPr>
            <w:tcW w:w="3913" w:type="dxa"/>
            <w:tcBorders>
              <w:top w:val="single" w:color="000000" w:sz="4" w:space="0"/>
              <w:left w:val="nil"/>
              <w:bottom w:val="single" w:color="000000" w:sz="4" w:space="0"/>
              <w:right w:val="nil"/>
            </w:tcBorders>
            <w:shd w:val="clear" w:color="auto" w:fill="auto"/>
            <w:vAlign w:val="center"/>
          </w:tcPr>
          <w:p>
            <w:pPr>
              <w:jc w:val="left"/>
              <w:rPr>
                <w:rFonts w:ascii="宋体" w:hAnsi="宋体" w:cs="宋体"/>
                <w:color w:val="FF0000"/>
                <w:sz w:val="22"/>
                <w:szCs w:val="22"/>
              </w:rPr>
            </w:pPr>
          </w:p>
        </w:tc>
      </w:tr>
      <w:tr>
        <w:tblPrEx>
          <w:tblCellMar>
            <w:top w:w="0" w:type="dxa"/>
            <w:left w:w="108" w:type="dxa"/>
            <w:bottom w:w="0" w:type="dxa"/>
            <w:right w:w="108" w:type="dxa"/>
          </w:tblCellMar>
        </w:tblPrEx>
        <w:trPr>
          <w:trHeight w:val="8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安装费</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所有从配电箱至各个房间的电线、配件、桥架等，供水排水材料等，包含必要的地面、墙面改造、破损修复等</w:t>
            </w:r>
          </w:p>
        </w:tc>
      </w:tr>
    </w:tbl>
    <w:p>
      <w:pPr>
        <w:rPr>
          <w:b/>
          <w:bCs/>
          <w:sz w:val="28"/>
          <w:szCs w:val="36"/>
        </w:rPr>
      </w:pPr>
      <w:r>
        <w:rPr>
          <w:rFonts w:hint="eastAsia"/>
          <w:b/>
          <w:bCs/>
          <w:sz w:val="28"/>
          <w:szCs w:val="36"/>
        </w:rPr>
        <w:br w:type="page"/>
      </w:r>
    </w:p>
    <w:p>
      <w:pPr>
        <w:pStyle w:val="6"/>
      </w:pPr>
      <w:r>
        <w:rPr>
          <w:rFonts w:hint="eastAsia"/>
        </w:rPr>
        <w:t>尚城一品厨房设备</w:t>
      </w:r>
    </w:p>
    <w:tbl>
      <w:tblPr>
        <w:tblStyle w:val="25"/>
        <w:tblW w:w="8480" w:type="dxa"/>
        <w:tblInd w:w="93" w:type="dxa"/>
        <w:tblLayout w:type="fixed"/>
        <w:tblCellMar>
          <w:top w:w="0" w:type="dxa"/>
          <w:left w:w="108" w:type="dxa"/>
          <w:bottom w:w="0" w:type="dxa"/>
          <w:right w:w="108" w:type="dxa"/>
        </w:tblCellMar>
      </w:tblPr>
      <w:tblGrid>
        <w:gridCol w:w="861"/>
        <w:gridCol w:w="1292"/>
        <w:gridCol w:w="1592"/>
        <w:gridCol w:w="848"/>
        <w:gridCol w:w="952"/>
        <w:gridCol w:w="2935"/>
      </w:tblGrid>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设备名称</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规格型号</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数量</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单位</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技术参数</w:t>
            </w: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423"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A01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单孔收餐柜连车</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700*700*800/100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2.工作台台面采用≥1.0mm不锈钢；下层板采用≥1.0mm不锈钢；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3.面板及层板下覆80*40*1.0mmU型加固筋。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4.支架通脚采用Φ48*1.0mm不锈钢管，下配可调子弹脚。</w:t>
            </w:r>
          </w:p>
        </w:tc>
      </w:tr>
      <w:tr>
        <w:tblPrEx>
          <w:tblCellMar>
            <w:top w:w="0" w:type="dxa"/>
            <w:left w:w="108" w:type="dxa"/>
            <w:bottom w:w="0" w:type="dxa"/>
            <w:right w:w="108" w:type="dxa"/>
          </w:tblCellMar>
        </w:tblPrEx>
        <w:trPr>
          <w:trHeight w:val="162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A02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平板车</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900*600*900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2.层面为≥1.0mm不锈钢，层面底采用38*38*1.0mm不锈钢方管加固，φ38*1.0mm钢管冷弯成型把手；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3.带两个定向轮，两个转向轮，转向轮带刹车。</w:t>
            </w:r>
          </w:p>
        </w:tc>
      </w:tr>
      <w:tr>
        <w:tblPrEx>
          <w:tblCellMar>
            <w:top w:w="0" w:type="dxa"/>
            <w:left w:w="108" w:type="dxa"/>
            <w:bottom w:w="0" w:type="dxa"/>
            <w:right w:w="108" w:type="dxa"/>
          </w:tblCellMar>
        </w:tblPrEx>
        <w:trPr>
          <w:trHeight w:val="162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A03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双层餐车</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1040*500*930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2.层面为≥1.0mm不锈钢，层面底采用38*38*1.0mm不锈钢方管加固，φ38*1.0mm钢管冷弯成型把手；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3.带两个定向轮，两个转向轮，转向轮带刹车。</w:t>
            </w:r>
          </w:p>
        </w:tc>
      </w:tr>
      <w:tr>
        <w:tblPrEx>
          <w:tblCellMar>
            <w:top w:w="0" w:type="dxa"/>
            <w:left w:w="108" w:type="dxa"/>
            <w:bottom w:w="0" w:type="dxa"/>
            <w:right w:w="108" w:type="dxa"/>
          </w:tblCellMar>
        </w:tblPrEx>
        <w:trPr>
          <w:trHeight w:val="162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A04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四格保温售饭</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1500*700*800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2.工作台台面采用≥1.0mm不锈钢；下层板采用≥1.0mm不锈钢；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3.面板及层板下覆80*40*1.0mmU型加固筋。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4.支架通脚采用Φ48*1.0mm不锈钢管，下配可调子弹脚。</w:t>
            </w:r>
          </w:p>
        </w:tc>
      </w:tr>
      <w:tr>
        <w:tblPrEx>
          <w:tblCellMar>
            <w:top w:w="0" w:type="dxa"/>
            <w:left w:w="108" w:type="dxa"/>
            <w:bottom w:w="0" w:type="dxa"/>
            <w:right w:w="108" w:type="dxa"/>
          </w:tblCellMar>
        </w:tblPrEx>
        <w:trPr>
          <w:trHeight w:val="162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A05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柜式保温菜台（大孔）</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1500*700*800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2.工作台台面采用≥1.0mm不锈钢；下层板采用≥1.0mm不锈钢；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3.面板及层板下覆80*40*1.0mmU型加固筋。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4.支架通脚采用Φ48*1.0mm不锈钢管，下配可调子弹脚。</w:t>
            </w:r>
          </w:p>
        </w:tc>
      </w:tr>
      <w:tr>
        <w:tblPrEx>
          <w:tblCellMar>
            <w:top w:w="0" w:type="dxa"/>
            <w:left w:w="108" w:type="dxa"/>
            <w:bottom w:w="0" w:type="dxa"/>
            <w:right w:w="108" w:type="dxa"/>
          </w:tblCellMar>
        </w:tblPrEx>
        <w:trPr>
          <w:trHeight w:val="162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A06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两层活动工作台</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1500*700*800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2.工作台台面采用≥1.0mm不锈钢；下层板采用≥1.0mm不锈钢；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3.面板及层板下覆80*40*1.0mmU型加固筋。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4.支架通脚采用Φ48*1.0mm不锈钢管，下配可调子弹脚。</w:t>
            </w:r>
          </w:p>
        </w:tc>
      </w:tr>
      <w:tr>
        <w:tblPrEx>
          <w:tblCellMar>
            <w:top w:w="0" w:type="dxa"/>
            <w:left w:w="108" w:type="dxa"/>
            <w:bottom w:w="0" w:type="dxa"/>
            <w:right w:w="108" w:type="dxa"/>
          </w:tblCellMar>
        </w:tblPrEx>
        <w:trPr>
          <w:trHeight w:val="67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A07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开水器带底座</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550*520*1350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1.电开水器外壳不锈钢，内胆材质优质不锈钢2.电开水器容积为100L，每小时出水不断。                            3.电开水器内胆保温采用阻燃材料。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4.电开水器具有缺水保护，防干烧，电流过载保护。                              </w:t>
            </w:r>
          </w:p>
        </w:tc>
      </w:tr>
      <w:tr>
        <w:tblPrEx>
          <w:tblCellMar>
            <w:top w:w="0" w:type="dxa"/>
            <w:left w:w="108" w:type="dxa"/>
            <w:bottom w:w="0" w:type="dxa"/>
            <w:right w:w="108" w:type="dxa"/>
          </w:tblCellMar>
        </w:tblPrEx>
        <w:trPr>
          <w:trHeight w:val="255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A08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双门消毒柜</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1300*630*1940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功率0.9kw/220v,30-70℃可自由调节，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1、箱体采用无磁不锈钢材料制作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2、采用高效能紫外线+高效率远红外管和超静音风机，实现热风循环，多重消毒无死角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3、优质保温材料，节能环保，</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4、可移动式大筛篮结构，收放更方便，更加人性化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5、人性化控制，用户可根据需要自行设定温度和时间，达到杀菌保洁的要求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6、全新欧式外观，透明视窗设计，全视角消毒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7、采用中温烘干技术，特设超高温保护功能，适合不耐高温易变形的塑料、竹木质餐具消毒</w:t>
            </w:r>
          </w:p>
        </w:tc>
      </w:tr>
      <w:tr>
        <w:tblPrEx>
          <w:tblCellMar>
            <w:top w:w="0" w:type="dxa"/>
            <w:left w:w="108" w:type="dxa"/>
            <w:bottom w:w="0" w:type="dxa"/>
            <w:right w:w="108" w:type="dxa"/>
          </w:tblCellMar>
        </w:tblPrEx>
        <w:trPr>
          <w:trHeight w:val="324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A09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单门消毒柜</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650*630*1940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功率0.9kw/220v,30-70℃可自由调节，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1、箱体采用无磁不锈钢材料制作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2、采用高效能紫外线+高效率远红外管和超静音风机，实现热风循环，多重消毒无死角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3、优质保温材料，节能环保，</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4、可移动式大筛篮结构，收放更方便，更加人性化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5、人性化控制，用户可根据需要自行设定温度和时间，达到杀菌保洁的要求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6、全新欧式外观，透明视窗设计，全视角消毒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7、采用中温烘干技术，特设超高温保护功能，适合不耐高温易变形的塑料、竹木质餐具消毒</w:t>
            </w:r>
          </w:p>
        </w:tc>
      </w:tr>
      <w:tr>
        <w:tblPrEx>
          <w:tblCellMar>
            <w:top w:w="0" w:type="dxa"/>
            <w:left w:w="108" w:type="dxa"/>
            <w:bottom w:w="0" w:type="dxa"/>
            <w:right w:w="108" w:type="dxa"/>
          </w:tblCellMar>
        </w:tblPrEx>
        <w:trPr>
          <w:trHeight w:val="351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A10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双星盆台(圆脚斜背）</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1200*700*800/150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规格：1200*700*800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1.采用304不锈钢拉丝板，台面≥1.2mm，星盆≥1.2mm不锈钢，水池两侧及前脸用≥1.0mm不锈钢封挡，便于卫生清理；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2.支架通脚采用Φ38*1.2mm不锈钢管；支架横通采用Φ32*1.2mm不锈钢管；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3.四个Ф38mm可调不锈钢子弹脚。</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4.每一个星盆配不锈钢下水系统，配星盆龙头；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5.含304不锈钢上下水配件，进水自行链接主水管，下水链接下水口负责墙体开槽及修复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配防臭型下水器</w:t>
            </w:r>
          </w:p>
        </w:tc>
      </w:tr>
      <w:tr>
        <w:tblPrEx>
          <w:tblCellMar>
            <w:top w:w="0" w:type="dxa"/>
            <w:left w:w="108" w:type="dxa"/>
            <w:bottom w:w="0" w:type="dxa"/>
            <w:right w:w="108" w:type="dxa"/>
          </w:tblCellMar>
        </w:tblPrEx>
        <w:trPr>
          <w:trHeight w:val="1064"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A11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圆脚四层倾斜货架</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1200*500*1550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2.工作台台面采用≥1.0mm不锈钢；下层板采用≥1.0mm不锈钢；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3.面板及层板下覆80*40*1.0mmU型加固筋。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4.支架通脚采用Φ48*1.0mm不锈钢管，下配可调子弹脚。</w:t>
            </w:r>
          </w:p>
        </w:tc>
      </w:tr>
      <w:tr>
        <w:tblPrEx>
          <w:tblCellMar>
            <w:top w:w="0" w:type="dxa"/>
            <w:left w:w="108" w:type="dxa"/>
            <w:bottom w:w="0" w:type="dxa"/>
            <w:right w:w="108" w:type="dxa"/>
          </w:tblCellMar>
        </w:tblPrEx>
        <w:trPr>
          <w:trHeight w:val="54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A12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电磁单头矮汤炉</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600*647*600/600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配φ500汤桶，可选15KW，设备带接线端子，安装时需电源线3*6㎡+1*4㎡</w:t>
            </w: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A13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台式单缸炸炉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278*480*360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采用优质不锈钢 功率：3kw/220V </w:t>
            </w:r>
          </w:p>
        </w:tc>
      </w:tr>
      <w:tr>
        <w:tblPrEx>
          <w:tblCellMar>
            <w:top w:w="0" w:type="dxa"/>
            <w:left w:w="108" w:type="dxa"/>
            <w:bottom w:w="0" w:type="dxa"/>
            <w:right w:w="108" w:type="dxa"/>
          </w:tblCellMar>
        </w:tblPrEx>
        <w:trPr>
          <w:trHeight w:val="189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A14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单向移门打荷柜连开口柜</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1500*800*800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1.采用304不锈钢拉丝板；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2.工作台台面采用≥1.0mm不锈钢；下层板采用≥1.0mm不锈钢；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3.面板及层板下覆80*40*1.0mmU型加固筋。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4.支架通脚采用Φ48*1.0mm不锈钢管，下配可调子弹脚。</w:t>
            </w:r>
          </w:p>
        </w:tc>
      </w:tr>
      <w:tr>
        <w:tblPrEx>
          <w:tblCellMar>
            <w:top w:w="0" w:type="dxa"/>
            <w:left w:w="108" w:type="dxa"/>
            <w:bottom w:w="0" w:type="dxa"/>
            <w:right w:w="108" w:type="dxa"/>
          </w:tblCellMar>
        </w:tblPrEx>
        <w:trPr>
          <w:trHeight w:val="54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A15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三门备餐柜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1200*480*860/60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采用优质不锈钢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面板为大理石面</w:t>
            </w:r>
          </w:p>
        </w:tc>
      </w:tr>
      <w:tr>
        <w:tblPrEx>
          <w:tblCellMar>
            <w:top w:w="0" w:type="dxa"/>
            <w:left w:w="108" w:type="dxa"/>
            <w:bottom w:w="0" w:type="dxa"/>
            <w:right w:w="108" w:type="dxa"/>
          </w:tblCellMar>
        </w:tblPrEx>
        <w:trPr>
          <w:trHeight w:val="135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A16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单门电蒸饭柜</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660*490*1450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1、材质采用不锈钢磨砂板；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2、蒸车内含支撑的钢柱，下配万向轮，便于移动；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3、阻热式不锈钢门把手，箱体为整体发泡；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4、功率：12kw /380V。</w:t>
            </w:r>
          </w:p>
        </w:tc>
      </w:tr>
      <w:tr>
        <w:tblPrEx>
          <w:tblCellMar>
            <w:top w:w="0" w:type="dxa"/>
            <w:left w:w="108" w:type="dxa"/>
            <w:bottom w:w="0" w:type="dxa"/>
            <w:right w:w="108" w:type="dxa"/>
          </w:tblCellMar>
        </w:tblPrEx>
        <w:trPr>
          <w:trHeight w:val="189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A17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电磁炉灶拼台</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207*1000*800/400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1.采用201不锈钢拉丝板；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2.工作台台面采用≥1.0mm不锈钢；下层板采用1.0mm不锈钢；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3.面板及层板下覆80*40*1.0mmU型加固筋。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4.支架通脚采用Φ48*1.0mm不锈钢管，下配可调子弹脚。</w:t>
            </w:r>
          </w:p>
        </w:tc>
      </w:tr>
      <w:tr>
        <w:tblPrEx>
          <w:tblCellMar>
            <w:top w:w="0" w:type="dxa"/>
            <w:left w:w="108" w:type="dxa"/>
            <w:bottom w:w="0" w:type="dxa"/>
            <w:right w:w="108" w:type="dxa"/>
          </w:tblCellMar>
        </w:tblPrEx>
        <w:trPr>
          <w:trHeight w:val="338"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A18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电磁单炒单尾小炒炉</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1100*1000*800/400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380v/15kw,三相四线设计.采用国内优质不锈钢板、国内知名品牌配件、安全保护通过国家3C认证、操作随心防水、防干烧保护、容易清洁、出菜率高、九档位人性化设计、面板1.0mm厚不锈钢板；余0.8mm厚不锈钢板；重力调节脚、拉伸面，配套Ø500双耳炒锅，含精致木包装</w:t>
            </w:r>
          </w:p>
        </w:tc>
      </w:tr>
      <w:tr>
        <w:tblPrEx>
          <w:tblCellMar>
            <w:top w:w="0" w:type="dxa"/>
            <w:left w:w="108" w:type="dxa"/>
            <w:bottom w:w="0" w:type="dxa"/>
            <w:right w:w="108" w:type="dxa"/>
          </w:tblCellMar>
        </w:tblPrEx>
        <w:trPr>
          <w:trHeight w:val="216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A19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四门高身雪柜</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1200*650*1950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1.食品冷柜用料：201不锈钢板，柜门配有不锈钢门铰链（自动回门）、门锁及磁力胶边，雪柜内冷凝铜管Ф8mm。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2.双压缩机。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3.工作温度：冷藏+4℃～-0℃，冷冻-0℃～-10℃。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4.电压：220V，额定功率：370W。</w:t>
            </w:r>
          </w:p>
        </w:tc>
      </w:tr>
      <w:tr>
        <w:tblPrEx>
          <w:tblCellMar>
            <w:top w:w="0" w:type="dxa"/>
            <w:left w:w="108" w:type="dxa"/>
            <w:bottom w:w="0" w:type="dxa"/>
            <w:right w:w="108" w:type="dxa"/>
          </w:tblCellMar>
        </w:tblPrEx>
        <w:trPr>
          <w:trHeight w:val="658"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A20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电磁单头大锅灶</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1100*1150*800/400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380v/20kw,φ840mm大锅、三相四线设计.采用国内优质不锈钢板、国内知名品牌配件、安全保护通过国家3C认 证、操作随心防水、防干烧保护、容易清洁、出菜率高、九档位人性化设计、面板1.0mm厚不锈钢 板；余0.8mm厚不锈钢板；重力调节脚、拉伸面，含精致木包装。</w:t>
            </w:r>
          </w:p>
        </w:tc>
      </w:tr>
      <w:tr>
        <w:tblPrEx>
          <w:tblCellMar>
            <w:top w:w="0" w:type="dxa"/>
            <w:left w:w="108" w:type="dxa"/>
            <w:bottom w:w="0" w:type="dxa"/>
            <w:right w:w="108" w:type="dxa"/>
          </w:tblCellMar>
        </w:tblPrEx>
        <w:trPr>
          <w:trHeight w:val="324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A21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净化一体机</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2200*1200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规格：按需定制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烟罩在离心风机的抽吸力的作用下,油烟经隔油栅进行初级过滤。剩余细微油烟进入高效滤筒进行二次净化，固态颗粒和液态油沉积在净化材料上；净化后的气体经风机排入烟道井中。净化效果符合饮食业油烟净化设备要求及检测技术规范（HJ/T62-2001）。 每节烟罩含2个LED照明灯，含风机和照明；功率：1.8kw,380V；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2、用料：304/2B不锈钢板；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3、板材：不锈钢1.2㎜。除油达到95%，除味达到90%。净化标准:低空净化直排。</w:t>
            </w:r>
          </w:p>
        </w:tc>
      </w:tr>
      <w:tr>
        <w:tblPrEx>
          <w:tblCellMar>
            <w:top w:w="0" w:type="dxa"/>
            <w:left w:w="108" w:type="dxa"/>
            <w:bottom w:w="0" w:type="dxa"/>
            <w:right w:w="108" w:type="dxa"/>
          </w:tblCellMar>
        </w:tblPrEx>
        <w:trPr>
          <w:trHeight w:val="162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A22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消音管道</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采用优质不锈钢板1.2mm厚，排烟管道所有涂层及密封胶均采用耐高温、阻燃材料，以防安全隐患，符合GB/T9978.1-2008,耐火完整性≥60min时，试件背火面未出现持续性达10s或10s以上火焰。试件未丧失耐火完整性。管道之间用法兰连接，打胶密封紧密，无烟气泄露。</w:t>
            </w: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A23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菜刀</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常规</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不锈钢4Cr13；</w:t>
            </w: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A24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砍刀</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常规</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斩切刀不锈钢4Cr13；</w:t>
            </w: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A25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磨刀石</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kern w:val="0"/>
                <w:sz w:val="22"/>
                <w:szCs w:val="22"/>
                <w:lang w:bidi="ar"/>
              </w:rPr>
              <w:t>200*100*55mm</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A26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菜墩（PE）白色</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直径500厚30mm</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PE砧板；</w:t>
            </w: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A27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打皮刀</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常规</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A28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冬瓜打皮刀</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打</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不锈钢</w:t>
            </w: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A29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打菜勺</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常规</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不锈钢</w:t>
            </w: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A30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大盆（加厚）</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不锈钢</w:t>
            </w: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A31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调料盆（盅）</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不锈钢3Cr13；直径16cm</w:t>
            </w: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A32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大盆（加厚）</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不锈钢</w:t>
            </w: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A33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大油鼓</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10寸</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不锈钢无磁；</w:t>
            </w: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A34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不锈钢水飘（大）</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18水舀</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不锈钢</w:t>
            </w: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A35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不锈钢水飘（小）</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600mm长把</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不锈钢14cm尖底圆柄勺</w:t>
            </w: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A36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炊帚</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竹制品</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圆筒竹刷</w:t>
            </w: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A37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三角铲子</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Style w:val="60"/>
                <w:rFonts w:hint="default"/>
                <w:lang w:bidi="ar"/>
              </w:rPr>
              <w:t>22.5*4.3cm</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64"/>
                <w:rFonts w:hint="default"/>
                <w:lang w:bidi="ar"/>
              </w:rPr>
              <w:t>不锈钢</w:t>
            </w:r>
            <w:r>
              <w:rPr>
                <w:rFonts w:hint="eastAsia" w:ascii="宋体" w:hAnsi="宋体" w:cs="宋体"/>
                <w:color w:val="000000"/>
                <w:kern w:val="0"/>
                <w:sz w:val="22"/>
                <w:szCs w:val="22"/>
                <w:lang w:bidi="ar"/>
              </w:rPr>
              <w:t>红把</w:t>
            </w: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A38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电子台秤</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30公斤</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A39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长柄打蛋器</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35MM</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不锈钢</w:t>
            </w:r>
          </w:p>
        </w:tc>
      </w:tr>
      <w:tr>
        <w:tblPrEx>
          <w:tblCellMar>
            <w:top w:w="0" w:type="dxa"/>
            <w:left w:w="108" w:type="dxa"/>
            <w:bottom w:w="0" w:type="dxa"/>
            <w:right w:w="108" w:type="dxa"/>
          </w:tblCellMar>
        </w:tblPrEx>
        <w:trPr>
          <w:trHeight w:val="54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A40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双耳菜筐（白色）密网</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加厚      500*700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白色</w:t>
            </w: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A41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周转箱（白）</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中号</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抗冲击低压高密度聚乙烯（全新料HDPE）加厚</w:t>
            </w: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A42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不锈钢桶</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50直径</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食品级不锈钢，厚度≥10.mm带盖</w:t>
            </w: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A43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六格餐盘</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1斤重</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59"/>
                <w:lang w:bidi="ar"/>
              </w:rPr>
              <w:t>304</w:t>
            </w:r>
            <w:r>
              <w:rPr>
                <w:rStyle w:val="61"/>
                <w:lang w:bidi="ar"/>
              </w:rPr>
              <w:t>材质，厚≥</w:t>
            </w:r>
            <w:r>
              <w:rPr>
                <w:rStyle w:val="59"/>
                <w:lang w:bidi="ar"/>
              </w:rPr>
              <w:t>1.0</w:t>
            </w:r>
            <w:r>
              <w:rPr>
                <w:rStyle w:val="59"/>
                <w:rFonts w:hint="eastAsia"/>
                <w:lang w:bidi="ar"/>
              </w:rPr>
              <w:t>mm</w:t>
            </w:r>
          </w:p>
        </w:tc>
      </w:tr>
      <w:tr>
        <w:tblPrEx>
          <w:tblCellMar>
            <w:top w:w="0" w:type="dxa"/>
            <w:left w:w="108" w:type="dxa"/>
            <w:bottom w:w="0" w:type="dxa"/>
            <w:right w:w="108" w:type="dxa"/>
          </w:tblCellMar>
        </w:tblPrEx>
        <w:trPr>
          <w:trHeight w:val="54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A44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不锈钢汤碗</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加厚，直径140mm（白金碗）</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304不锈钢磨砂加厚双层汤碗</w:t>
            </w: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A45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炒菜铲</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加长木把</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A46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筷子</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合金筷</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A47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围裙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r>
              <w:rPr>
                <w:rFonts w:hint="eastAsia" w:ascii="宋体" w:hAnsi="宋体" w:cs="宋体"/>
                <w:color w:val="000000"/>
                <w:kern w:val="0"/>
                <w:sz w:val="22"/>
                <w:szCs w:val="22"/>
                <w:lang w:bidi="ar"/>
              </w:rPr>
              <w:t>防水</w:t>
            </w: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A48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抹布</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A49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炒勺</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8两</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bl>
    <w:p>
      <w:pPr>
        <w:autoSpaceDE w:val="0"/>
        <w:autoSpaceDN w:val="0"/>
        <w:spacing w:line="340" w:lineRule="exact"/>
        <w:ind w:firstLine="11"/>
        <w:rPr>
          <w:rFonts w:ascii="宋体" w:hAnsi="宋体" w:cs="宋体"/>
          <w:b/>
          <w:bCs/>
          <w:szCs w:val="21"/>
        </w:rPr>
      </w:pPr>
    </w:p>
    <w:p>
      <w:pPr>
        <w:pStyle w:val="6"/>
      </w:pPr>
      <w:r>
        <w:rPr>
          <w:rFonts w:hint="eastAsia"/>
        </w:rPr>
        <w:t>空调设备参数</w:t>
      </w:r>
    </w:p>
    <w:tbl>
      <w:tblPr>
        <w:tblStyle w:val="25"/>
        <w:tblW w:w="8570" w:type="dxa"/>
        <w:tblInd w:w="93" w:type="dxa"/>
        <w:tblLayout w:type="fixed"/>
        <w:tblCellMar>
          <w:top w:w="0" w:type="dxa"/>
          <w:left w:w="108" w:type="dxa"/>
          <w:bottom w:w="0" w:type="dxa"/>
          <w:right w:w="108" w:type="dxa"/>
        </w:tblCellMar>
      </w:tblPr>
      <w:tblGrid>
        <w:gridCol w:w="596"/>
        <w:gridCol w:w="773"/>
        <w:gridCol w:w="727"/>
        <w:gridCol w:w="1058"/>
        <w:gridCol w:w="4279"/>
        <w:gridCol w:w="1137"/>
      </w:tblGrid>
      <w:tr>
        <w:tblPrEx>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名称</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数量</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单位</w:t>
            </w:r>
          </w:p>
        </w:tc>
        <w:tc>
          <w:tcPr>
            <w:tcW w:w="4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型号参数</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校区</w:t>
            </w:r>
          </w:p>
        </w:tc>
      </w:tr>
      <w:tr>
        <w:tblPrEx>
          <w:tblCellMar>
            <w:top w:w="0" w:type="dxa"/>
            <w:left w:w="108" w:type="dxa"/>
            <w:bottom w:w="0" w:type="dxa"/>
            <w:right w:w="108" w:type="dxa"/>
          </w:tblCellMar>
        </w:tblPrEx>
        <w:trPr>
          <w:trHeight w:val="324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63"/>
                <w:rFonts w:hint="default"/>
                <w:lang w:bidi="ar"/>
              </w:rPr>
            </w:pPr>
            <w:r>
              <w:rPr>
                <w:rStyle w:val="63"/>
                <w:rFonts w:hint="default"/>
                <w:lang w:bidi="ar"/>
              </w:rPr>
              <w:t>空调</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63"/>
                <w:rFonts w:hint="default"/>
                <w:lang w:bidi="ar"/>
              </w:rPr>
            </w:pPr>
            <w:r>
              <w:rPr>
                <w:rStyle w:val="63"/>
                <w:rFonts w:hint="default"/>
                <w:lang w:bidi="ar"/>
              </w:rPr>
              <w:t>6</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63"/>
                <w:rFonts w:hint="default"/>
                <w:lang w:bidi="ar"/>
              </w:rPr>
            </w:pPr>
            <w:r>
              <w:rPr>
                <w:rStyle w:val="63"/>
                <w:rFonts w:hint="default"/>
                <w:lang w:bidi="ar"/>
              </w:rPr>
              <w:t>台</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Style w:val="63"/>
                <w:rFonts w:hint="default"/>
                <w:lang w:bidi="ar"/>
              </w:rPr>
              <w:t>大1.5P变频挂机 空调类型：变频壁挂式空调，冷暖电辅，</w:t>
            </w:r>
            <w:r>
              <w:rPr>
                <w:rStyle w:val="63"/>
                <w:rFonts w:hint="default"/>
                <w:lang w:bidi="ar"/>
              </w:rPr>
              <w:br w:type="textWrapping"/>
            </w:r>
            <w:r>
              <w:rPr>
                <w:rStyle w:val="63"/>
                <w:rFonts w:hint="default"/>
                <w:lang w:bidi="ar"/>
              </w:rPr>
              <w:t>能效等级：二级及以上</w:t>
            </w:r>
            <w:r>
              <w:rPr>
                <w:rStyle w:val="63"/>
                <w:rFonts w:hint="default"/>
                <w:lang w:bidi="ar"/>
              </w:rPr>
              <w:br w:type="textWrapping"/>
            </w:r>
            <w:r>
              <w:rPr>
                <w:rStyle w:val="63"/>
                <w:rFonts w:hint="default"/>
                <w:lang w:bidi="ar"/>
              </w:rPr>
              <w:t>制冷季节能耗比（SEER)：不小于4.92；</w:t>
            </w:r>
            <w:r>
              <w:rPr>
                <w:rStyle w:val="63"/>
                <w:rFonts w:hint="default"/>
                <w:lang w:bidi="ar"/>
              </w:rPr>
              <w:br w:type="textWrapping"/>
            </w:r>
            <w:r>
              <w:rPr>
                <w:rStyle w:val="63"/>
                <w:rFonts w:hint="default"/>
                <w:lang w:bidi="ar"/>
              </w:rPr>
              <w:t>额定制冷量：不小于3500W；</w:t>
            </w:r>
            <w:r>
              <w:rPr>
                <w:rStyle w:val="63"/>
                <w:rFonts w:hint="default"/>
                <w:lang w:bidi="ar"/>
              </w:rPr>
              <w:br w:type="textWrapping"/>
            </w:r>
            <w:r>
              <w:rPr>
                <w:rStyle w:val="63"/>
                <w:rFonts w:hint="default"/>
                <w:lang w:bidi="ar"/>
              </w:rPr>
              <w:t>额定制冷功率：不大于980W</w:t>
            </w:r>
            <w:r>
              <w:rPr>
                <w:rStyle w:val="63"/>
                <w:rFonts w:hint="default"/>
                <w:lang w:bidi="ar"/>
              </w:rPr>
              <w:br w:type="textWrapping"/>
            </w:r>
            <w:r>
              <w:rPr>
                <w:rStyle w:val="63"/>
                <w:rFonts w:hint="default"/>
                <w:lang w:bidi="ar"/>
              </w:rPr>
              <w:t>额定制热量：不小于4600W</w:t>
            </w:r>
            <w:r>
              <w:rPr>
                <w:rStyle w:val="63"/>
                <w:rFonts w:hint="default"/>
                <w:lang w:bidi="ar"/>
              </w:rPr>
              <w:br w:type="textWrapping"/>
            </w:r>
            <w:r>
              <w:rPr>
                <w:rStyle w:val="63"/>
                <w:rFonts w:hint="default"/>
                <w:lang w:bidi="ar"/>
              </w:rPr>
              <w:t>额定制热功率：不大于1300W；</w:t>
            </w:r>
            <w:r>
              <w:rPr>
                <w:rStyle w:val="63"/>
                <w:rFonts w:hint="default"/>
                <w:lang w:bidi="ar"/>
              </w:rPr>
              <w:br w:type="textWrapping"/>
            </w:r>
            <w:r>
              <w:rPr>
                <w:rStyle w:val="63"/>
                <w:rFonts w:hint="default"/>
                <w:lang w:bidi="ar"/>
              </w:rPr>
              <w:t>电辅热：不大于1050W；</w:t>
            </w:r>
            <w:r>
              <w:rPr>
                <w:rStyle w:val="63"/>
                <w:rFonts w:hint="default"/>
                <w:lang w:bidi="ar"/>
              </w:rPr>
              <w:br w:type="textWrapping"/>
            </w:r>
            <w:r>
              <w:rPr>
                <w:rStyle w:val="63"/>
                <w:rFonts w:hint="default"/>
                <w:lang w:bidi="ar"/>
              </w:rPr>
              <w:t>循环风量：不小于645m3/h；</w:t>
            </w:r>
            <w:r>
              <w:rPr>
                <w:rStyle w:val="63"/>
                <w:rFonts w:hint="default"/>
                <w:lang w:bidi="ar"/>
              </w:rPr>
              <w:br w:type="textWrapping"/>
            </w:r>
            <w:r>
              <w:rPr>
                <w:rStyle w:val="63"/>
                <w:rFonts w:hint="default"/>
                <w:lang w:bidi="ar"/>
              </w:rPr>
              <w:t>室内机噪音（低速-高速）：不大于19-36db</w:t>
            </w:r>
            <w:r>
              <w:rPr>
                <w:rStyle w:val="63"/>
                <w:rFonts w:hint="default"/>
                <w:lang w:bidi="ar"/>
              </w:rPr>
              <w:br w:type="textWrapping"/>
            </w:r>
            <w:r>
              <w:rPr>
                <w:rStyle w:val="63"/>
                <w:rFonts w:hint="default"/>
                <w:lang w:bidi="ar"/>
              </w:rPr>
              <w:t>室外机噪音：不大于51dB</w:t>
            </w:r>
          </w:p>
        </w:tc>
        <w:tc>
          <w:tcPr>
            <w:tcW w:w="113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Style w:val="63"/>
                <w:rFonts w:hint="default"/>
                <w:lang w:bidi="ar"/>
              </w:rPr>
            </w:pPr>
            <w:r>
              <w:rPr>
                <w:rStyle w:val="63"/>
                <w:rFonts w:hint="default"/>
                <w:lang w:bidi="ar"/>
              </w:rPr>
              <w:t>中山苑幼儿园</w:t>
            </w:r>
          </w:p>
        </w:tc>
      </w:tr>
      <w:tr>
        <w:tblPrEx>
          <w:tblCellMar>
            <w:top w:w="0" w:type="dxa"/>
            <w:left w:w="108" w:type="dxa"/>
            <w:bottom w:w="0" w:type="dxa"/>
            <w:right w:w="108" w:type="dxa"/>
          </w:tblCellMar>
        </w:tblPrEx>
        <w:trPr>
          <w:trHeight w:val="324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63"/>
                <w:rFonts w:hint="default"/>
                <w:lang w:bidi="ar"/>
              </w:rPr>
            </w:pPr>
            <w:r>
              <w:rPr>
                <w:rStyle w:val="63"/>
                <w:rFonts w:hint="default"/>
                <w:lang w:bidi="ar"/>
              </w:rPr>
              <w:t>空调</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63"/>
                <w:rFonts w:hint="default"/>
                <w:lang w:bidi="ar"/>
              </w:rPr>
            </w:pPr>
            <w:r>
              <w:rPr>
                <w:rStyle w:val="63"/>
                <w:rFonts w:hint="default"/>
                <w:lang w:bidi="ar"/>
              </w:rPr>
              <w:t>9</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63"/>
                <w:rFonts w:hint="default"/>
                <w:lang w:bidi="ar"/>
              </w:rPr>
            </w:pPr>
            <w:r>
              <w:rPr>
                <w:rStyle w:val="63"/>
                <w:rFonts w:hint="default"/>
                <w:lang w:bidi="ar"/>
              </w:rPr>
              <w:t>台</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Style w:val="63"/>
                <w:rFonts w:hint="default"/>
                <w:lang w:bidi="ar"/>
              </w:rPr>
              <w:t>3P变频柜机 空调类型：变频柜式空调，冷暖电辅，</w:t>
            </w:r>
            <w:r>
              <w:rPr>
                <w:rStyle w:val="63"/>
                <w:rFonts w:hint="default"/>
                <w:lang w:bidi="ar"/>
              </w:rPr>
              <w:br w:type="textWrapping"/>
            </w:r>
            <w:r>
              <w:rPr>
                <w:rStyle w:val="63"/>
                <w:rFonts w:hint="default"/>
                <w:lang w:bidi="ar"/>
              </w:rPr>
              <w:t>能效等级：二级及以上</w:t>
            </w:r>
            <w:r>
              <w:rPr>
                <w:rStyle w:val="63"/>
                <w:rFonts w:hint="default"/>
                <w:lang w:bidi="ar"/>
              </w:rPr>
              <w:br w:type="textWrapping"/>
            </w:r>
            <w:r>
              <w:rPr>
                <w:rStyle w:val="63"/>
                <w:rFonts w:hint="default"/>
                <w:lang w:bidi="ar"/>
              </w:rPr>
              <w:t>制冷季节能耗比（SEER)：不小于3.84；</w:t>
            </w:r>
            <w:r>
              <w:rPr>
                <w:rStyle w:val="63"/>
                <w:rFonts w:hint="default"/>
                <w:lang w:bidi="ar"/>
              </w:rPr>
              <w:br w:type="textWrapping"/>
            </w:r>
            <w:r>
              <w:rPr>
                <w:rStyle w:val="63"/>
                <w:rFonts w:hint="default"/>
                <w:lang w:bidi="ar"/>
              </w:rPr>
              <w:t>额定制冷量：不小于7200W；.</w:t>
            </w:r>
            <w:r>
              <w:rPr>
                <w:rStyle w:val="63"/>
                <w:rFonts w:hint="default"/>
                <w:lang w:bidi="ar"/>
              </w:rPr>
              <w:br w:type="textWrapping"/>
            </w:r>
            <w:r>
              <w:rPr>
                <w:rStyle w:val="63"/>
                <w:rFonts w:hint="default"/>
                <w:lang w:bidi="ar"/>
              </w:rPr>
              <w:t>额定制冷功率：不大于2350W</w:t>
            </w:r>
            <w:r>
              <w:rPr>
                <w:rStyle w:val="63"/>
                <w:rFonts w:hint="default"/>
                <w:lang w:bidi="ar"/>
              </w:rPr>
              <w:br w:type="textWrapping"/>
            </w:r>
            <w:r>
              <w:rPr>
                <w:rStyle w:val="63"/>
                <w:rFonts w:hint="default"/>
                <w:lang w:bidi="ar"/>
              </w:rPr>
              <w:t>额定制热量：不小于9100W</w:t>
            </w:r>
            <w:r>
              <w:rPr>
                <w:rStyle w:val="63"/>
                <w:rFonts w:hint="default"/>
                <w:lang w:bidi="ar"/>
              </w:rPr>
              <w:br w:type="textWrapping"/>
            </w:r>
            <w:r>
              <w:rPr>
                <w:rStyle w:val="63"/>
                <w:rFonts w:hint="default"/>
                <w:lang w:bidi="ar"/>
              </w:rPr>
              <w:t>额定制热功率：不大于2800W；</w:t>
            </w:r>
            <w:r>
              <w:rPr>
                <w:rStyle w:val="63"/>
                <w:rFonts w:hint="default"/>
                <w:lang w:bidi="ar"/>
              </w:rPr>
              <w:br w:type="textWrapping"/>
            </w:r>
            <w:r>
              <w:rPr>
                <w:rStyle w:val="63"/>
                <w:rFonts w:hint="default"/>
                <w:lang w:bidi="ar"/>
              </w:rPr>
              <w:t>电辅热：不大于2500W；</w:t>
            </w:r>
            <w:r>
              <w:rPr>
                <w:rStyle w:val="63"/>
                <w:rFonts w:hint="default"/>
                <w:lang w:bidi="ar"/>
              </w:rPr>
              <w:br w:type="textWrapping"/>
            </w:r>
            <w:r>
              <w:rPr>
                <w:rStyle w:val="63"/>
                <w:rFonts w:hint="default"/>
                <w:lang w:bidi="ar"/>
              </w:rPr>
              <w:t>循环风量：不小于1200m3/h；</w:t>
            </w:r>
            <w:r>
              <w:rPr>
                <w:rStyle w:val="63"/>
                <w:rFonts w:hint="default"/>
                <w:lang w:bidi="ar"/>
              </w:rPr>
              <w:br w:type="textWrapping"/>
            </w:r>
            <w:r>
              <w:rPr>
                <w:rStyle w:val="63"/>
                <w:rFonts w:hint="default"/>
                <w:lang w:bidi="ar"/>
              </w:rPr>
              <w:t>室内机噪音（低速-高速）：不大于36-44db</w:t>
            </w:r>
            <w:r>
              <w:rPr>
                <w:rStyle w:val="63"/>
                <w:rFonts w:hint="default"/>
                <w:lang w:bidi="ar"/>
              </w:rPr>
              <w:br w:type="textWrapping"/>
            </w:r>
            <w:r>
              <w:rPr>
                <w:rStyle w:val="63"/>
                <w:rFonts w:hint="default"/>
                <w:lang w:bidi="ar"/>
              </w:rPr>
              <w:t>室外机噪音：不大于56dB</w:t>
            </w:r>
          </w:p>
        </w:tc>
        <w:tc>
          <w:tcPr>
            <w:tcW w:w="113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63"/>
                <w:rFonts w:hint="default"/>
                <w:lang w:bidi="ar"/>
              </w:rPr>
            </w:pPr>
          </w:p>
        </w:tc>
      </w:tr>
      <w:tr>
        <w:tblPrEx>
          <w:tblCellMar>
            <w:top w:w="0" w:type="dxa"/>
            <w:left w:w="108" w:type="dxa"/>
            <w:bottom w:w="0" w:type="dxa"/>
            <w:right w:w="108" w:type="dxa"/>
          </w:tblCellMar>
        </w:tblPrEx>
        <w:trPr>
          <w:trHeight w:val="324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63"/>
                <w:rFonts w:hint="default"/>
                <w:lang w:bidi="ar"/>
              </w:rPr>
            </w:pPr>
            <w:r>
              <w:rPr>
                <w:rStyle w:val="63"/>
                <w:rFonts w:hint="default"/>
                <w:lang w:bidi="ar"/>
              </w:rPr>
              <w:t>空调</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63"/>
                <w:rFonts w:hint="default"/>
                <w:lang w:bidi="ar"/>
              </w:rPr>
            </w:pPr>
            <w:r>
              <w:rPr>
                <w:rStyle w:val="63"/>
                <w:rFonts w:hint="default"/>
                <w:lang w:bidi="ar"/>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63"/>
                <w:rFonts w:hint="default"/>
                <w:lang w:bidi="ar"/>
              </w:rPr>
            </w:pP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63"/>
                <w:rFonts w:hint="default"/>
                <w:lang w:bidi="ar"/>
              </w:rPr>
            </w:pPr>
            <w:r>
              <w:rPr>
                <w:rFonts w:hint="eastAsia" w:ascii="宋体" w:hAnsi="宋体" w:cs="宋体"/>
                <w:color w:val="000000"/>
                <w:kern w:val="0"/>
                <w:sz w:val="22"/>
                <w:szCs w:val="22"/>
                <w:lang w:bidi="ar"/>
              </w:rPr>
              <w:t>大1.5P变频挂机 空调类型：变频壁挂式空调，冷暖电辅，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能效等级：二级及以上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制冷季节能耗比（SEER)：不小于4.92；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额定制冷量：不小于3500W；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额定制冷功率：不大于980W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额定制热量：不小于4600W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额定制热功率：不大于1300W；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电辅热：不大于1050W；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循环风量：不小于645m3/h；</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室内机噪音（低速-高速）：不大于19-36db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室外机噪音：不大于51dB</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李孟油幼儿园</w:t>
            </w:r>
          </w:p>
        </w:tc>
      </w:tr>
      <w:tr>
        <w:tblPrEx>
          <w:tblCellMar>
            <w:top w:w="0" w:type="dxa"/>
            <w:left w:w="108" w:type="dxa"/>
            <w:bottom w:w="0" w:type="dxa"/>
            <w:right w:w="108" w:type="dxa"/>
          </w:tblCellMar>
        </w:tblPrEx>
        <w:trPr>
          <w:trHeight w:val="349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63"/>
                <w:rFonts w:hint="default"/>
                <w:lang w:bidi="ar"/>
              </w:rPr>
            </w:pPr>
            <w:r>
              <w:rPr>
                <w:rStyle w:val="63"/>
                <w:rFonts w:hint="default"/>
                <w:lang w:bidi="ar"/>
              </w:rPr>
              <w:t>空调</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63"/>
                <w:rFonts w:hint="default"/>
                <w:lang w:bidi="ar"/>
              </w:rPr>
            </w:pPr>
            <w:r>
              <w:rPr>
                <w:rStyle w:val="63"/>
                <w:rFonts w:hint="default"/>
                <w:lang w:bidi="ar"/>
              </w:rPr>
              <w:t>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63"/>
                <w:rFonts w:hint="default"/>
                <w:lang w:bidi="ar"/>
              </w:rPr>
            </w:pP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63"/>
                <w:rFonts w:hint="default"/>
                <w:lang w:bidi="ar"/>
              </w:rPr>
            </w:pPr>
            <w:r>
              <w:rPr>
                <w:rFonts w:hint="eastAsia" w:ascii="宋体" w:hAnsi="宋体" w:cs="宋体"/>
                <w:color w:val="000000"/>
                <w:kern w:val="0"/>
                <w:sz w:val="22"/>
                <w:szCs w:val="22"/>
                <w:lang w:bidi="ar"/>
              </w:rPr>
              <w:t>3P变频柜机 空调类型：变频柜式空调，冷暖电辅，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能效等级：二级及以上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制冷季节能耗比（SEER)：不小于3.84；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额定制冷量：不小于7200W；.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额定制冷功率：不大于2350W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额定制热量：不小于9100W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额定制热功率：不大于2800W；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电辅热：不大于2500W；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循环风量：不小于1200m3/h；</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室内机噪音（低速-高速）：不大于36-44db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室外机噪音：不大于56dB</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李孟油幼儿园</w:t>
            </w:r>
          </w:p>
        </w:tc>
      </w:tr>
      <w:tr>
        <w:tblPrEx>
          <w:tblCellMar>
            <w:top w:w="0" w:type="dxa"/>
            <w:left w:w="108" w:type="dxa"/>
            <w:bottom w:w="0" w:type="dxa"/>
            <w:right w:w="108" w:type="dxa"/>
          </w:tblCellMar>
        </w:tblPrEx>
        <w:trPr>
          <w:trHeight w:val="324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63"/>
                <w:rFonts w:hint="default"/>
                <w:lang w:bidi="ar"/>
              </w:rPr>
            </w:pPr>
            <w:r>
              <w:rPr>
                <w:rStyle w:val="63"/>
                <w:rFonts w:hint="default"/>
                <w:lang w:bidi="ar"/>
              </w:rPr>
              <w:t>空调</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63"/>
                <w:rFonts w:hint="default"/>
                <w:lang w:bidi="ar"/>
              </w:rPr>
            </w:pPr>
            <w:r>
              <w:rPr>
                <w:rStyle w:val="63"/>
                <w:rFonts w:hint="default"/>
                <w:lang w:bidi="ar"/>
              </w:rPr>
              <w:t>3</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63"/>
                <w:rFonts w:hint="default"/>
                <w:lang w:bidi="ar"/>
              </w:rPr>
            </w:pP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大1.5P变频挂机 空调类型：变频壁挂式空调，冷暖电辅，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能效等级：二级及以上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制冷季节能耗比（SEER)：不小于4.92；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额定制冷量：不小于3500W；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额定制冷功率：不大于980W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额定制热量：不小于4600W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额定制热功率：不大于1300W；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电辅热：不大于1050W；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循环风量：不小于645m3/h；</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室内机噪音（低速-高速）：不大于19-36db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室外机噪音：不大于51dB</w:t>
            </w:r>
          </w:p>
        </w:tc>
        <w:tc>
          <w:tcPr>
            <w:tcW w:w="113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rPr>
              <w:t>中达广场幼儿园</w:t>
            </w:r>
          </w:p>
        </w:tc>
      </w:tr>
      <w:tr>
        <w:tblPrEx>
          <w:tblCellMar>
            <w:top w:w="0" w:type="dxa"/>
            <w:left w:w="108" w:type="dxa"/>
            <w:bottom w:w="0" w:type="dxa"/>
            <w:right w:w="108" w:type="dxa"/>
          </w:tblCellMar>
        </w:tblPrEx>
        <w:trPr>
          <w:trHeight w:val="324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63"/>
                <w:rFonts w:hint="default"/>
                <w:lang w:bidi="ar"/>
              </w:rPr>
            </w:pPr>
            <w:r>
              <w:rPr>
                <w:rStyle w:val="63"/>
                <w:rFonts w:hint="default"/>
                <w:lang w:bidi="ar"/>
              </w:rPr>
              <w:t>空调</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63"/>
                <w:rFonts w:hint="default"/>
                <w:lang w:bidi="ar"/>
              </w:rPr>
            </w:pPr>
            <w:r>
              <w:rPr>
                <w:rStyle w:val="63"/>
                <w:rFonts w:hint="default"/>
                <w:lang w:bidi="ar"/>
              </w:rPr>
              <w:t>20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63"/>
                <w:rFonts w:hint="default"/>
                <w:lang w:bidi="ar"/>
              </w:rPr>
            </w:pP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3P变频柜机 空调类型：变频柜式空调，冷暖电辅，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能效等级：二级及以上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制冷季节能耗比（SEER)：不小于3.84；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额定制冷量：不小于7200W；.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额定制冷功率：不大于2350W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额定制热量：不小于9100W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额定制热功率：不大于2800W；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电辅热：不大于2500W；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循环风量：不小于1200m3/h；</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室内机噪音（低速-高速）：不大于36-44db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室外机噪音：不大于56dB</w:t>
            </w:r>
          </w:p>
        </w:tc>
        <w:tc>
          <w:tcPr>
            <w:tcW w:w="1137" w:type="dxa"/>
            <w:vMerge w:val="continue"/>
            <w:tcBorders>
              <w:left w:val="single" w:color="000000" w:sz="4" w:space="0"/>
              <w:bottom w:val="single" w:color="000000" w:sz="4" w:space="0"/>
              <w:right w:val="single" w:color="000000" w:sz="4" w:space="0"/>
            </w:tcBorders>
            <w:shd w:val="clear" w:color="auto" w:fill="auto"/>
            <w:vAlign w:val="center"/>
          </w:tcPr>
          <w:p>
            <w:pPr>
              <w:widowControl/>
              <w:tabs>
                <w:tab w:val="left" w:pos="3814"/>
              </w:tabs>
              <w:jc w:val="center"/>
              <w:textAlignment w:val="center"/>
              <w:rPr>
                <w:rFonts w:ascii="宋体" w:hAnsi="宋体" w:cs="宋体"/>
                <w:color w:val="000000"/>
                <w:kern w:val="0"/>
                <w:sz w:val="22"/>
                <w:szCs w:val="22"/>
                <w:lang w:bidi="ar"/>
              </w:rPr>
            </w:pPr>
          </w:p>
        </w:tc>
      </w:tr>
    </w:tbl>
    <w:p>
      <w:pPr>
        <w:rPr>
          <w:b/>
          <w:bCs/>
          <w:sz w:val="28"/>
          <w:szCs w:val="36"/>
        </w:rPr>
      </w:pPr>
    </w:p>
    <w:p>
      <w:pPr>
        <w:autoSpaceDE w:val="0"/>
        <w:autoSpaceDN w:val="0"/>
        <w:spacing w:line="340" w:lineRule="exact"/>
        <w:ind w:firstLine="11"/>
        <w:rPr>
          <w:rFonts w:ascii="宋体" w:hAnsi="宋体" w:cs="宋体"/>
          <w:b/>
          <w:bCs/>
          <w:szCs w:val="21"/>
        </w:rPr>
      </w:pPr>
      <w:r>
        <w:rPr>
          <w:rFonts w:hint="eastAsia" w:ascii="宋体" w:hAnsi="宋体" w:cs="宋体"/>
          <w:b/>
          <w:bCs/>
          <w:szCs w:val="21"/>
        </w:rPr>
        <w:t>注：1.本项目为交钥匙工程，所有供电、供水、排水等能够交付使用，各供应商所供品牌须满足磋商文件中技术参数要求，中标金额包括了设备的生产、包装、运输、装卸、安装调试、外部附属设备、有关部门检验、人员的培训、售后服务、利润、规费、税金等一切费用（</w:t>
      </w:r>
      <w:r>
        <w:rPr>
          <w:rFonts w:hint="eastAsia" w:cs="宋体"/>
          <w:b/>
          <w:bCs/>
          <w:szCs w:val="21"/>
        </w:rPr>
        <w:t>柜式</w:t>
      </w:r>
      <w:r>
        <w:rPr>
          <w:rFonts w:hint="eastAsia" w:ascii="宋体" w:hAnsi="宋体" w:cs="宋体"/>
          <w:b/>
          <w:bCs/>
          <w:szCs w:val="21"/>
        </w:rPr>
        <w:t>空调需加装空气开关、安装过程中需增加铜管长度、有外墙保温的建筑安装施工等，</w:t>
      </w:r>
      <w:r>
        <w:rPr>
          <w:rFonts w:hint="eastAsia" w:cs="宋体"/>
          <w:b/>
          <w:bCs/>
          <w:szCs w:val="21"/>
        </w:rPr>
        <w:t>如安装过程中有砖块阻挡，需割砖作业，保证空气开关安装不留缝隙</w:t>
      </w:r>
      <w:r>
        <w:rPr>
          <w:rFonts w:hint="eastAsia" w:ascii="宋体" w:hAnsi="宋体" w:cs="宋体"/>
          <w:b/>
          <w:bCs/>
          <w:szCs w:val="21"/>
        </w:rPr>
        <w:t>）。</w:t>
      </w:r>
      <w:r>
        <w:rPr>
          <w:rFonts w:hint="eastAsia" w:cs="宋体"/>
          <w:b/>
          <w:bCs/>
          <w:szCs w:val="21"/>
        </w:rPr>
        <w:t>后期不再追加费用。</w:t>
      </w:r>
    </w:p>
    <w:p>
      <w:pPr>
        <w:autoSpaceDE w:val="0"/>
        <w:autoSpaceDN w:val="0"/>
        <w:spacing w:line="340" w:lineRule="exact"/>
        <w:ind w:firstLine="11"/>
        <w:rPr>
          <w:rFonts w:ascii="宋体" w:hAnsi="宋体" w:cs="宋体"/>
          <w:b/>
          <w:bCs/>
          <w:szCs w:val="21"/>
        </w:rPr>
      </w:pPr>
      <w:r>
        <w:rPr>
          <w:rFonts w:hint="eastAsia" w:ascii="宋体" w:hAnsi="宋体" w:cs="宋体"/>
          <w:b/>
          <w:bCs/>
          <w:szCs w:val="21"/>
        </w:rPr>
        <w:t>2.供应商的报价要结合本采购项目实际情况，综合考虑所供货物的供货、安装、调试期间的各种风险因素（包括政策性风险因素</w:t>
      </w:r>
      <w:r>
        <w:rPr>
          <w:rFonts w:hint="eastAsia" w:cs="宋体"/>
          <w:b/>
          <w:bCs/>
          <w:szCs w:val="21"/>
        </w:rPr>
        <w:t>、环保、疫情影响</w:t>
      </w:r>
      <w:r>
        <w:rPr>
          <w:rFonts w:hint="eastAsia" w:ascii="宋体" w:hAnsi="宋体" w:cs="宋体"/>
          <w:b/>
          <w:bCs/>
          <w:szCs w:val="21"/>
        </w:rPr>
        <w:t>及大宗商品价格波动等）。</w:t>
      </w:r>
    </w:p>
    <w:p>
      <w:pPr>
        <w:autoSpaceDE w:val="0"/>
        <w:autoSpaceDN w:val="0"/>
        <w:spacing w:line="340" w:lineRule="exact"/>
        <w:ind w:firstLine="11"/>
        <w:rPr>
          <w:rFonts w:ascii="宋体" w:hAnsi="宋体" w:cs="宋体"/>
          <w:b/>
          <w:bCs/>
          <w:szCs w:val="21"/>
        </w:rPr>
      </w:pPr>
      <w:r>
        <w:rPr>
          <w:rFonts w:hint="eastAsia" w:ascii="宋体" w:hAnsi="宋体" w:cs="宋体"/>
          <w:b/>
          <w:bCs/>
          <w:szCs w:val="21"/>
        </w:rPr>
        <w:t>3.供应商报价应结合磋商文件的要求列明详细的设备的名称清单，设备型号（规格）、详细配置、技术指标说明、制造商；并能保证设备的正常安装、调试和运行的整套附件、配套件等材料明细表（包括品名、规格、品牌、产地、等级、用量）及设备的主要技术、结构、性能、特点和质量水平的详细描述与设备的技术服务和售后服务的内容和措施等。</w:t>
      </w:r>
    </w:p>
    <w:p>
      <w:pPr>
        <w:autoSpaceDE w:val="0"/>
        <w:autoSpaceDN w:val="0"/>
        <w:spacing w:line="340" w:lineRule="exact"/>
        <w:ind w:firstLine="11"/>
        <w:rPr>
          <w:rFonts w:ascii="宋体" w:hAnsi="宋体" w:cs="宋体"/>
          <w:b/>
          <w:bCs/>
          <w:szCs w:val="21"/>
        </w:rPr>
      </w:pPr>
      <w:r>
        <w:rPr>
          <w:rFonts w:hint="eastAsia" w:ascii="宋体" w:hAnsi="宋体" w:cs="宋体"/>
          <w:b/>
          <w:bCs/>
          <w:szCs w:val="21"/>
        </w:rPr>
        <w:t>4.供应商的报价文件必须详细的阐述所投设备产品的型号、规格、技术参数、性能、工艺质量等技术标准，供</w:t>
      </w:r>
      <w:r>
        <w:rPr>
          <w:rFonts w:hint="eastAsia" w:cs="宋体"/>
          <w:b/>
          <w:bCs/>
          <w:szCs w:val="21"/>
        </w:rPr>
        <w:t>采购人</w:t>
      </w:r>
      <w:r>
        <w:rPr>
          <w:rFonts w:hint="eastAsia" w:ascii="宋体" w:hAnsi="宋体" w:cs="宋体"/>
          <w:b/>
          <w:bCs/>
          <w:szCs w:val="21"/>
        </w:rPr>
        <w:t>在选择货物质量、水平上的比照参数。必须保证满足用户的需要。</w:t>
      </w:r>
    </w:p>
    <w:p>
      <w:pPr>
        <w:autoSpaceDE w:val="0"/>
        <w:autoSpaceDN w:val="0"/>
        <w:spacing w:line="340" w:lineRule="exact"/>
        <w:ind w:firstLine="11"/>
        <w:rPr>
          <w:rFonts w:ascii="宋体" w:hAnsi="宋体" w:cs="宋体"/>
          <w:b/>
          <w:bCs/>
          <w:szCs w:val="21"/>
        </w:rPr>
      </w:pPr>
      <w:r>
        <w:rPr>
          <w:rFonts w:hint="eastAsia" w:ascii="宋体" w:hAnsi="宋体" w:cs="宋体"/>
          <w:b/>
          <w:bCs/>
          <w:szCs w:val="21"/>
        </w:rPr>
        <w:t>5、采购人根据项目所要实现的功能而推荐的参数，并非限制条件。各供应商可以采用相当于推荐参数档次进行报价。但是，供应商提供的产品技术和功能需达到采购人的采购要求。</w:t>
      </w:r>
    </w:p>
    <w:p>
      <w:pPr>
        <w:autoSpaceDE w:val="0"/>
        <w:autoSpaceDN w:val="0"/>
        <w:spacing w:line="340" w:lineRule="exact"/>
        <w:rPr>
          <w:rFonts w:ascii="宋体" w:hAnsi="宋体" w:cs="宋体"/>
          <w:b/>
          <w:bCs/>
          <w:szCs w:val="21"/>
        </w:rPr>
      </w:pPr>
      <w:r>
        <w:rPr>
          <w:rFonts w:hint="eastAsia" w:ascii="宋体" w:hAnsi="宋体" w:cs="宋体"/>
          <w:b/>
          <w:bCs/>
          <w:szCs w:val="21"/>
        </w:rPr>
        <w:t xml:space="preserve">6、涉及到交叉作业，应服从采购人管理。  </w:t>
      </w:r>
    </w:p>
    <w:p>
      <w:pPr>
        <w:autoSpaceDE w:val="0"/>
        <w:autoSpaceDN w:val="0"/>
        <w:spacing w:line="340" w:lineRule="exact"/>
        <w:rPr>
          <w:rFonts w:ascii="宋体" w:hAnsi="宋体" w:cs="宋体"/>
          <w:b/>
          <w:bCs/>
          <w:szCs w:val="21"/>
        </w:rPr>
      </w:pPr>
      <w:r>
        <w:rPr>
          <w:rFonts w:hint="eastAsia" w:ascii="宋体" w:hAnsi="宋体" w:cs="宋体"/>
          <w:b/>
          <w:bCs/>
          <w:szCs w:val="21"/>
        </w:rPr>
        <w:t xml:space="preserve">7、本项目完工后，由采购人委托具有第三方组织专家验收，所产生的验收费用由中标单位支付，若验收不合格，乙方需尽快更换为合格产品。采购人有权先使用，造成的损失由中标单位承担。 </w:t>
      </w:r>
    </w:p>
    <w:p>
      <w:pPr>
        <w:autoSpaceDE w:val="0"/>
        <w:autoSpaceDN w:val="0"/>
        <w:spacing w:line="340" w:lineRule="exact"/>
        <w:ind w:firstLine="11"/>
        <w:rPr>
          <w:rFonts w:ascii="宋体" w:hAnsi="宋体" w:cs="宋体"/>
          <w:b/>
          <w:bCs/>
          <w:szCs w:val="21"/>
        </w:rPr>
      </w:pPr>
      <w:r>
        <w:rPr>
          <w:rFonts w:hint="eastAsia" w:ascii="宋体" w:hAnsi="宋体" w:cs="宋体"/>
          <w:b/>
          <w:bCs/>
          <w:szCs w:val="21"/>
        </w:rPr>
        <w:t>8、安装过程供应商应保障安装人员人身安全，高空作业等相关费用包含在报价中，后期不再追加费用。</w:t>
      </w:r>
    </w:p>
    <w:p>
      <w:pPr>
        <w:spacing w:line="420" w:lineRule="exact"/>
        <w:ind w:firstLine="11"/>
        <w:rPr>
          <w:rFonts w:ascii="宋体" w:hAnsi="宋体" w:cs="宋体"/>
          <w:b/>
          <w:bCs/>
          <w:szCs w:val="21"/>
        </w:rPr>
      </w:pPr>
      <w:r>
        <w:rPr>
          <w:rFonts w:hint="eastAsia" w:ascii="宋体" w:hAnsi="宋体" w:cs="宋体"/>
          <w:b/>
          <w:bCs/>
          <w:szCs w:val="21"/>
        </w:rPr>
        <w:t>9、提供相同品牌且通过资格审查、符合性审查的不同供应商参加同一合同项下投标的，按一家供应商计算，评审后得分最高的同品牌供应商获得中标人推荐资格；评审得分相同的，投标报价低的供应商获得供应商推荐资格，其他同品牌供应商不作为中标候选人</w:t>
      </w:r>
      <w:r>
        <w:rPr>
          <w:rFonts w:hint="eastAsia" w:cs="宋体"/>
          <w:b/>
          <w:bCs/>
          <w:szCs w:val="21"/>
        </w:rPr>
        <w:t>。</w:t>
      </w:r>
    </w:p>
    <w:p>
      <w:pPr>
        <w:rPr>
          <w:rFonts w:ascii="宋体" w:hAnsi="宋体" w:cs="宋体"/>
          <w:color w:val="000000"/>
          <w:kern w:val="0"/>
          <w:sz w:val="22"/>
          <w:szCs w:val="22"/>
          <w:lang w:bidi="ar"/>
        </w:rPr>
      </w:pPr>
      <w:r>
        <w:rPr>
          <w:rFonts w:hint="eastAsia" w:ascii="宋体" w:hAnsi="宋体" w:cs="宋体"/>
          <w:color w:val="000000"/>
          <w:kern w:val="0"/>
          <w:sz w:val="22"/>
          <w:szCs w:val="22"/>
          <w:lang w:bidi="ar"/>
        </w:rPr>
        <w:br w:type="page"/>
      </w:r>
    </w:p>
    <w:p>
      <w:pPr>
        <w:rPr>
          <w:rStyle w:val="43"/>
          <w:rFonts w:ascii="宋体" w:hAnsi="宋体" w:eastAsia="宋体" w:cs="宋体"/>
          <w:sz w:val="32"/>
          <w:szCs w:val="32"/>
        </w:rPr>
      </w:pPr>
    </w:p>
    <w:p>
      <w:pPr>
        <w:rPr>
          <w:rStyle w:val="43"/>
          <w:rFonts w:ascii="宋体" w:hAnsi="宋体" w:eastAsia="宋体" w:cs="宋体"/>
          <w:sz w:val="32"/>
          <w:szCs w:val="32"/>
        </w:rPr>
      </w:pPr>
    </w:p>
    <w:bookmarkEnd w:id="94"/>
    <w:p>
      <w:pPr>
        <w:rPr>
          <w:rFonts w:ascii="宋体" w:hAnsi="宋体" w:cs="宋体"/>
          <w:sz w:val="28"/>
          <w:szCs w:val="28"/>
        </w:rPr>
      </w:pPr>
    </w:p>
    <w:p>
      <w:pPr>
        <w:jc w:val="center"/>
        <w:rPr>
          <w:rFonts w:ascii="宋体" w:hAnsi="宋体" w:cs="宋体"/>
          <w:sz w:val="28"/>
          <w:szCs w:val="28"/>
        </w:rPr>
      </w:pPr>
    </w:p>
    <w:p>
      <w:pPr>
        <w:jc w:val="center"/>
        <w:rPr>
          <w:rFonts w:ascii="宋体" w:hAnsi="宋体" w:cs="宋体"/>
          <w:sz w:val="28"/>
          <w:szCs w:val="28"/>
        </w:rPr>
      </w:pPr>
      <w:r>
        <w:rPr>
          <w:rStyle w:val="43"/>
          <w:rFonts w:hint="eastAsia" w:ascii="仿宋" w:hAnsi="仿宋" w:eastAsia="仿宋" w:cs="仿宋"/>
          <w:sz w:val="32"/>
          <w:szCs w:val="32"/>
        </w:rPr>
        <w:t>第六章  响应文件格式</w:t>
      </w:r>
    </w:p>
    <w:p>
      <w:pPr>
        <w:jc w:val="center"/>
        <w:rPr>
          <w:rFonts w:ascii="宋体" w:hAnsi="宋体" w:cs="宋体"/>
          <w:sz w:val="28"/>
          <w:szCs w:val="28"/>
        </w:rPr>
      </w:pPr>
    </w:p>
    <w:p>
      <w:pPr>
        <w:jc w:val="center"/>
        <w:rPr>
          <w:rFonts w:ascii="宋体" w:hAnsi="宋体" w:cs="宋体"/>
          <w:sz w:val="28"/>
          <w:szCs w:val="28"/>
        </w:rPr>
      </w:pPr>
    </w:p>
    <w:p>
      <w:pPr>
        <w:jc w:val="center"/>
        <w:rPr>
          <w:rFonts w:ascii="宋体" w:hAnsi="宋体" w:cs="宋体"/>
          <w:sz w:val="28"/>
          <w:szCs w:val="28"/>
        </w:rPr>
      </w:pPr>
    </w:p>
    <w:p>
      <w:pPr>
        <w:jc w:val="center"/>
        <w:rPr>
          <w:rFonts w:ascii="宋体" w:hAnsi="宋体" w:cs="宋体"/>
          <w:sz w:val="28"/>
          <w:szCs w:val="28"/>
        </w:rPr>
      </w:pPr>
    </w:p>
    <w:p>
      <w:pPr>
        <w:jc w:val="center"/>
        <w:rPr>
          <w:rFonts w:ascii="宋体" w:cs="宋体"/>
          <w:sz w:val="28"/>
          <w:szCs w:val="28"/>
          <w:u w:val="single"/>
        </w:rPr>
      </w:pPr>
      <w:r>
        <w:rPr>
          <w:rFonts w:hint="eastAsia" w:ascii="宋体" w:hAnsi="宋体" w:cs="宋体"/>
          <w:sz w:val="28"/>
          <w:szCs w:val="28"/>
        </w:rPr>
        <w:t>（项目名称）</w:t>
      </w:r>
    </w:p>
    <w:p>
      <w:pPr>
        <w:spacing w:before="312" w:beforeLines="100"/>
        <w:jc w:val="center"/>
        <w:rPr>
          <w:rFonts w:ascii="宋体" w:cs="宋体"/>
          <w:sz w:val="44"/>
          <w:szCs w:val="44"/>
        </w:rPr>
      </w:pPr>
      <w:r>
        <w:rPr>
          <w:rFonts w:hint="eastAsia" w:ascii="宋体" w:hAnsi="宋体" w:cs="宋体"/>
          <w:sz w:val="44"/>
          <w:szCs w:val="44"/>
        </w:rPr>
        <w:t>响  应</w:t>
      </w:r>
      <w:r>
        <w:rPr>
          <w:rFonts w:ascii="宋体" w:hAnsi="宋体" w:cs="宋体"/>
          <w:sz w:val="44"/>
          <w:szCs w:val="44"/>
        </w:rPr>
        <w:t xml:space="preserve">  </w:t>
      </w:r>
      <w:r>
        <w:rPr>
          <w:rFonts w:hint="eastAsia" w:ascii="宋体" w:hAnsi="宋体" w:cs="宋体"/>
          <w:sz w:val="44"/>
          <w:szCs w:val="44"/>
        </w:rPr>
        <w:t>文</w:t>
      </w:r>
      <w:r>
        <w:rPr>
          <w:rFonts w:ascii="宋体" w:hAnsi="宋体" w:cs="宋体"/>
          <w:sz w:val="44"/>
          <w:szCs w:val="44"/>
        </w:rPr>
        <w:t xml:space="preserve">  </w:t>
      </w:r>
      <w:r>
        <w:rPr>
          <w:rFonts w:hint="eastAsia" w:ascii="宋体" w:hAnsi="宋体" w:cs="宋体"/>
          <w:sz w:val="44"/>
          <w:szCs w:val="44"/>
        </w:rPr>
        <w:t>件</w:t>
      </w:r>
    </w:p>
    <w:p>
      <w:pPr>
        <w:jc w:val="center"/>
        <w:rPr>
          <w:rFonts w:ascii="宋体" w:cs="宋体"/>
          <w:sz w:val="32"/>
          <w:szCs w:val="32"/>
        </w:rPr>
      </w:pPr>
    </w:p>
    <w:p>
      <w:pPr>
        <w:jc w:val="center"/>
        <w:rPr>
          <w:rFonts w:ascii="宋体" w:hAnsi="宋体" w:cs="宋体"/>
          <w:sz w:val="32"/>
          <w:szCs w:val="32"/>
        </w:rPr>
      </w:pPr>
    </w:p>
    <w:p>
      <w:pPr>
        <w:jc w:val="center"/>
        <w:rPr>
          <w:rFonts w:ascii="宋体" w:cs="宋体"/>
          <w:sz w:val="32"/>
          <w:szCs w:val="32"/>
        </w:rPr>
      </w:pPr>
      <w:r>
        <w:rPr>
          <w:rFonts w:hint="eastAsia" w:ascii="宋体" w:hAnsi="宋体" w:cs="宋体"/>
          <w:sz w:val="32"/>
          <w:szCs w:val="32"/>
        </w:rPr>
        <w:t>项目编号:</w:t>
      </w:r>
    </w:p>
    <w:p>
      <w:pPr>
        <w:rPr>
          <w:rFonts w:ascii="宋体" w:cs="宋体"/>
          <w:sz w:val="32"/>
          <w:szCs w:val="32"/>
        </w:rPr>
      </w:pPr>
    </w:p>
    <w:p/>
    <w:p>
      <w:pPr>
        <w:jc w:val="center"/>
        <w:rPr>
          <w:rFonts w:ascii="宋体" w:cs="宋体"/>
          <w:sz w:val="32"/>
          <w:szCs w:val="32"/>
        </w:rPr>
      </w:pPr>
    </w:p>
    <w:p>
      <w:pPr>
        <w:jc w:val="center"/>
        <w:rPr>
          <w:rFonts w:ascii="宋体" w:cs="宋体"/>
          <w:sz w:val="28"/>
          <w:szCs w:val="28"/>
        </w:rPr>
      </w:pPr>
      <w:r>
        <w:rPr>
          <w:rFonts w:hint="eastAsia" w:ascii="宋体" w:hAnsi="宋体" w:cs="宋体"/>
          <w:sz w:val="28"/>
          <w:szCs w:val="28"/>
        </w:rPr>
        <w:t>供应商：</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 w:val="28"/>
          <w:szCs w:val="28"/>
        </w:rPr>
        <w:t>（盖单位章）</w:t>
      </w:r>
    </w:p>
    <w:p>
      <w:pPr>
        <w:jc w:val="center"/>
        <w:rPr>
          <w:rFonts w:ascii="宋体" w:cs="宋体"/>
          <w:sz w:val="28"/>
          <w:szCs w:val="28"/>
        </w:rPr>
      </w:pPr>
    </w:p>
    <w:p>
      <w:pPr>
        <w:ind w:firstLine="1967" w:firstLineChars="700"/>
        <w:rPr>
          <w:rFonts w:ascii="宋体" w:cs="宋体"/>
          <w:sz w:val="28"/>
          <w:szCs w:val="28"/>
        </w:rPr>
      </w:pPr>
      <w:r>
        <w:rPr>
          <w:rFonts w:hint="eastAsia" w:ascii="宋体" w:hAnsi="宋体" w:cs="宋体"/>
          <w:sz w:val="28"/>
          <w:szCs w:val="28"/>
        </w:rPr>
        <w:t>法定代表人或委托代理人：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 w:val="28"/>
          <w:szCs w:val="28"/>
        </w:rPr>
        <w:t>（签字或盖章）</w:t>
      </w:r>
    </w:p>
    <w:p>
      <w:pPr>
        <w:jc w:val="center"/>
        <w:rPr>
          <w:rFonts w:ascii="宋体" w:cs="宋体"/>
          <w:sz w:val="28"/>
          <w:szCs w:val="28"/>
        </w:rPr>
      </w:pPr>
    </w:p>
    <w:p>
      <w:pPr>
        <w:jc w:val="center"/>
        <w:rPr>
          <w:rFonts w:ascii="宋体" w:cs="宋体"/>
          <w:sz w:val="28"/>
          <w:szCs w:val="28"/>
        </w:rPr>
      </w:pPr>
      <w:r>
        <w:rPr>
          <w:rFonts w:hint="eastAsia" w:ascii="宋体" w:hAnsi="宋体" w:cs="宋体"/>
          <w:sz w:val="28"/>
          <w:szCs w:val="28"/>
        </w:rPr>
        <w:t>年   月    日</w:t>
      </w:r>
    </w:p>
    <w:p>
      <w:pPr>
        <w:spacing w:line="360" w:lineRule="auto"/>
        <w:jc w:val="center"/>
        <w:rPr>
          <w:rFonts w:ascii="宋体" w:cs="宋体"/>
          <w:sz w:val="28"/>
          <w:szCs w:val="28"/>
        </w:rPr>
      </w:pPr>
      <w:r>
        <w:rPr>
          <w:rFonts w:ascii="宋体" w:cs="宋体"/>
          <w:sz w:val="28"/>
          <w:szCs w:val="28"/>
        </w:rPr>
        <w:br w:type="page"/>
      </w:r>
      <w:r>
        <w:rPr>
          <w:rFonts w:hint="eastAsia" w:ascii="宋体" w:cs="宋体"/>
          <w:sz w:val="28"/>
          <w:szCs w:val="28"/>
        </w:rPr>
        <w:t>目录</w:t>
      </w:r>
    </w:p>
    <w:p>
      <w:pPr>
        <w:spacing w:line="360" w:lineRule="auto"/>
        <w:rPr>
          <w:rFonts w:ascii="宋体" w:cs="宋体"/>
          <w:sz w:val="28"/>
          <w:szCs w:val="28"/>
        </w:rPr>
      </w:pPr>
      <w:r>
        <w:rPr>
          <w:rFonts w:hint="eastAsia" w:ascii="宋体" w:cs="宋体"/>
          <w:sz w:val="28"/>
          <w:szCs w:val="28"/>
        </w:rPr>
        <w:t>一、报价函部分</w:t>
      </w:r>
    </w:p>
    <w:p>
      <w:pPr>
        <w:spacing w:line="360" w:lineRule="auto"/>
        <w:rPr>
          <w:rFonts w:ascii="宋体" w:cs="宋体"/>
          <w:sz w:val="28"/>
          <w:szCs w:val="28"/>
        </w:rPr>
      </w:pPr>
      <w:r>
        <w:rPr>
          <w:rFonts w:hint="eastAsia" w:ascii="宋体" w:cs="宋体"/>
          <w:sz w:val="28"/>
          <w:szCs w:val="28"/>
        </w:rPr>
        <w:t>二、报价一览表</w:t>
      </w:r>
    </w:p>
    <w:p>
      <w:pPr>
        <w:spacing w:line="360" w:lineRule="auto"/>
        <w:rPr>
          <w:rFonts w:ascii="宋体" w:cs="宋体"/>
          <w:sz w:val="28"/>
          <w:szCs w:val="28"/>
        </w:rPr>
      </w:pPr>
      <w:r>
        <w:rPr>
          <w:rFonts w:hint="eastAsia" w:ascii="宋体" w:cs="宋体"/>
          <w:sz w:val="28"/>
          <w:szCs w:val="28"/>
        </w:rPr>
        <w:t>三、法定代表人身份证明及授权委托书</w:t>
      </w:r>
    </w:p>
    <w:p>
      <w:pPr>
        <w:spacing w:line="360" w:lineRule="auto"/>
        <w:rPr>
          <w:rFonts w:ascii="宋体" w:cs="宋体"/>
          <w:sz w:val="28"/>
          <w:szCs w:val="28"/>
        </w:rPr>
      </w:pPr>
      <w:r>
        <w:rPr>
          <w:rFonts w:hint="eastAsia" w:ascii="宋体" w:cs="宋体"/>
          <w:sz w:val="28"/>
          <w:szCs w:val="28"/>
        </w:rPr>
        <w:t>四、服务报价清单</w:t>
      </w:r>
    </w:p>
    <w:p>
      <w:pPr>
        <w:spacing w:line="360" w:lineRule="auto"/>
        <w:rPr>
          <w:rFonts w:ascii="宋体" w:cs="宋体"/>
          <w:sz w:val="28"/>
          <w:szCs w:val="28"/>
        </w:rPr>
      </w:pPr>
      <w:r>
        <w:rPr>
          <w:rFonts w:hint="eastAsia" w:ascii="宋体" w:cs="宋体"/>
          <w:sz w:val="28"/>
          <w:szCs w:val="28"/>
        </w:rPr>
        <w:t>五、服务方案</w:t>
      </w:r>
    </w:p>
    <w:p>
      <w:pPr>
        <w:spacing w:line="360" w:lineRule="auto"/>
        <w:rPr>
          <w:rFonts w:ascii="宋体" w:cs="宋体"/>
          <w:sz w:val="28"/>
          <w:szCs w:val="28"/>
        </w:rPr>
      </w:pPr>
      <w:r>
        <w:rPr>
          <w:rFonts w:hint="eastAsia" w:ascii="宋体" w:cs="宋体"/>
          <w:sz w:val="28"/>
          <w:szCs w:val="28"/>
        </w:rPr>
        <w:t>六、资格审查资料</w:t>
      </w:r>
    </w:p>
    <w:p>
      <w:pPr>
        <w:spacing w:line="360" w:lineRule="auto"/>
        <w:rPr>
          <w:rFonts w:ascii="宋体" w:cs="宋体"/>
          <w:sz w:val="28"/>
          <w:szCs w:val="28"/>
        </w:rPr>
      </w:pPr>
      <w:r>
        <w:rPr>
          <w:rFonts w:hint="eastAsia" w:ascii="宋体" w:cs="宋体"/>
          <w:sz w:val="28"/>
          <w:szCs w:val="28"/>
        </w:rPr>
        <w:t>七、供应商认为需要提供的其他资料</w:t>
      </w:r>
    </w:p>
    <w:p>
      <w:pPr>
        <w:spacing w:line="360" w:lineRule="auto"/>
        <w:jc w:val="center"/>
        <w:rPr>
          <w:rFonts w:ascii="宋体" w:cs="宋体"/>
          <w:sz w:val="28"/>
          <w:szCs w:val="28"/>
        </w:rPr>
      </w:pPr>
    </w:p>
    <w:p>
      <w:pPr>
        <w:spacing w:line="360" w:lineRule="auto"/>
        <w:jc w:val="center"/>
        <w:rPr>
          <w:rFonts w:ascii="宋体" w:cs="宋体"/>
          <w:sz w:val="28"/>
          <w:szCs w:val="28"/>
        </w:rPr>
      </w:pPr>
    </w:p>
    <w:p>
      <w:pPr>
        <w:spacing w:line="360" w:lineRule="auto"/>
        <w:jc w:val="center"/>
        <w:rPr>
          <w:rFonts w:ascii="宋体" w:cs="宋体"/>
          <w:sz w:val="28"/>
          <w:szCs w:val="28"/>
        </w:rPr>
      </w:pPr>
    </w:p>
    <w:p>
      <w:pPr>
        <w:spacing w:line="360" w:lineRule="auto"/>
        <w:jc w:val="center"/>
        <w:rPr>
          <w:rFonts w:ascii="宋体" w:cs="宋体"/>
          <w:sz w:val="28"/>
          <w:szCs w:val="28"/>
        </w:rPr>
      </w:pPr>
    </w:p>
    <w:p>
      <w:pPr>
        <w:spacing w:line="360" w:lineRule="auto"/>
        <w:jc w:val="center"/>
        <w:rPr>
          <w:rFonts w:ascii="宋体" w:cs="宋体"/>
          <w:sz w:val="28"/>
          <w:szCs w:val="28"/>
        </w:rPr>
      </w:pPr>
    </w:p>
    <w:p>
      <w:pPr>
        <w:spacing w:line="360" w:lineRule="auto"/>
        <w:jc w:val="center"/>
        <w:rPr>
          <w:rFonts w:ascii="宋体" w:cs="宋体"/>
          <w:sz w:val="28"/>
          <w:szCs w:val="28"/>
        </w:rPr>
      </w:pPr>
    </w:p>
    <w:p>
      <w:pPr>
        <w:spacing w:line="360" w:lineRule="auto"/>
        <w:jc w:val="center"/>
        <w:rPr>
          <w:rFonts w:ascii="宋体" w:cs="宋体"/>
          <w:sz w:val="28"/>
          <w:szCs w:val="28"/>
        </w:rPr>
      </w:pPr>
    </w:p>
    <w:p>
      <w:pPr>
        <w:spacing w:line="360" w:lineRule="auto"/>
        <w:jc w:val="center"/>
        <w:rPr>
          <w:rFonts w:ascii="宋体" w:cs="宋体"/>
          <w:sz w:val="28"/>
          <w:szCs w:val="28"/>
        </w:rPr>
      </w:pPr>
    </w:p>
    <w:p>
      <w:pPr>
        <w:spacing w:line="360" w:lineRule="auto"/>
        <w:jc w:val="center"/>
        <w:rPr>
          <w:rFonts w:ascii="宋体" w:cs="宋体"/>
          <w:sz w:val="28"/>
          <w:szCs w:val="28"/>
        </w:rPr>
      </w:pPr>
    </w:p>
    <w:p>
      <w:pPr>
        <w:spacing w:line="360" w:lineRule="auto"/>
        <w:jc w:val="center"/>
        <w:rPr>
          <w:rFonts w:ascii="宋体" w:cs="宋体"/>
          <w:sz w:val="28"/>
          <w:szCs w:val="28"/>
        </w:rPr>
      </w:pPr>
    </w:p>
    <w:p>
      <w:pPr>
        <w:spacing w:line="360" w:lineRule="auto"/>
        <w:rPr>
          <w:rFonts w:ascii="宋体" w:cs="宋体"/>
          <w:sz w:val="28"/>
          <w:szCs w:val="28"/>
        </w:rPr>
      </w:pPr>
    </w:p>
    <w:p>
      <w:pPr>
        <w:spacing w:line="360" w:lineRule="auto"/>
        <w:jc w:val="center"/>
        <w:rPr>
          <w:b/>
          <w:bCs/>
          <w:sz w:val="24"/>
        </w:rPr>
      </w:pPr>
      <w:r>
        <w:rPr>
          <w:b/>
          <w:bCs/>
          <w:sz w:val="28"/>
          <w:szCs w:val="28"/>
        </w:rPr>
        <w:br w:type="page"/>
      </w:r>
      <w:r>
        <w:rPr>
          <w:b/>
          <w:bCs/>
          <w:sz w:val="28"/>
          <w:szCs w:val="28"/>
        </w:rPr>
        <w:t>一、报价函</w:t>
      </w:r>
      <w:r>
        <w:rPr>
          <w:rFonts w:hint="eastAsia"/>
          <w:b/>
          <w:bCs/>
          <w:sz w:val="28"/>
          <w:szCs w:val="28"/>
        </w:rPr>
        <w:t>部分</w:t>
      </w:r>
    </w:p>
    <w:p>
      <w:pPr>
        <w:spacing w:line="360" w:lineRule="auto"/>
        <w:ind w:firstLine="120" w:firstLineChars="50"/>
        <w:jc w:val="center"/>
        <w:rPr>
          <w:b/>
          <w:sz w:val="24"/>
        </w:rPr>
      </w:pPr>
    </w:p>
    <w:p>
      <w:pPr>
        <w:spacing w:line="360" w:lineRule="auto"/>
        <w:jc w:val="center"/>
        <w:rPr>
          <w:b/>
          <w:sz w:val="24"/>
        </w:rPr>
      </w:pPr>
      <w:r>
        <w:rPr>
          <w:b/>
          <w:sz w:val="24"/>
        </w:rPr>
        <w:t>（一）、报价函</w:t>
      </w:r>
    </w:p>
    <w:p>
      <w:pPr>
        <w:spacing w:line="360" w:lineRule="auto"/>
        <w:rPr>
          <w:sz w:val="24"/>
        </w:rPr>
      </w:pPr>
      <w:r>
        <w:rPr>
          <w:sz w:val="24"/>
          <w:u w:val="single"/>
        </w:rPr>
        <w:t xml:space="preserve">                  </w:t>
      </w:r>
      <w:r>
        <w:rPr>
          <w:sz w:val="24"/>
        </w:rPr>
        <w:t>（</w:t>
      </w:r>
      <w:r>
        <w:rPr>
          <w:rFonts w:hint="eastAsia"/>
          <w:sz w:val="24"/>
        </w:rPr>
        <w:t>采购人</w:t>
      </w:r>
      <w:r>
        <w:rPr>
          <w:sz w:val="24"/>
        </w:rPr>
        <w:t>名称）：</w:t>
      </w:r>
    </w:p>
    <w:p>
      <w:pPr>
        <w:spacing w:line="360" w:lineRule="auto"/>
        <w:ind w:firstLine="482" w:firstLineChars="200"/>
        <w:rPr>
          <w:sz w:val="24"/>
        </w:rPr>
      </w:pPr>
      <w:r>
        <w:rPr>
          <w:sz w:val="24"/>
        </w:rPr>
        <w:t>1．我方已仔细研究了</w:t>
      </w:r>
      <w:r>
        <w:rPr>
          <w:sz w:val="24"/>
          <w:u w:val="single"/>
        </w:rPr>
        <w:t xml:space="preserve">                  </w:t>
      </w:r>
      <w:r>
        <w:rPr>
          <w:sz w:val="24"/>
        </w:rPr>
        <w:t xml:space="preserve"> （项目名称</w:t>
      </w:r>
      <w:r>
        <w:rPr>
          <w:rFonts w:hint="eastAsia"/>
          <w:sz w:val="24"/>
        </w:rPr>
        <w:t>）磋商文件</w:t>
      </w:r>
      <w:r>
        <w:rPr>
          <w:sz w:val="24"/>
        </w:rPr>
        <w:t>的全部内容，愿意以报价大写</w:t>
      </w:r>
      <w:r>
        <w:rPr>
          <w:sz w:val="24"/>
          <w:u w:val="single"/>
        </w:rPr>
        <w:t xml:space="preserve">      </w:t>
      </w:r>
      <w:r>
        <w:rPr>
          <w:sz w:val="24"/>
        </w:rPr>
        <w:t>元</w:t>
      </w:r>
      <w:r>
        <w:rPr>
          <w:rFonts w:hint="eastAsia"/>
          <w:sz w:val="24"/>
        </w:rPr>
        <w:t>、小写</w:t>
      </w:r>
      <w:r>
        <w:rPr>
          <w:sz w:val="24"/>
        </w:rPr>
        <w:t>¥</w:t>
      </w:r>
      <w:r>
        <w:rPr>
          <w:sz w:val="24"/>
          <w:u w:val="single"/>
        </w:rPr>
        <w:t xml:space="preserve">   </w:t>
      </w:r>
      <w:r>
        <w:rPr>
          <w:rFonts w:hint="eastAsia"/>
          <w:sz w:val="24"/>
          <w:u w:val="single"/>
        </w:rPr>
        <w:t xml:space="preserve">  </w:t>
      </w:r>
      <w:r>
        <w:rPr>
          <w:sz w:val="24"/>
          <w:u w:val="single"/>
        </w:rPr>
        <w:t xml:space="preserve">  </w:t>
      </w:r>
      <w:r>
        <w:rPr>
          <w:rFonts w:hint="eastAsia"/>
          <w:sz w:val="24"/>
        </w:rPr>
        <w:t>元</w:t>
      </w:r>
      <w:r>
        <w:rPr>
          <w:sz w:val="24"/>
        </w:rPr>
        <w:t>）进行报价，按合同约定实施和完成本项目的</w:t>
      </w:r>
      <w:r>
        <w:rPr>
          <w:rFonts w:hint="eastAsia"/>
          <w:sz w:val="24"/>
        </w:rPr>
        <w:t>相关服务</w:t>
      </w:r>
      <w:r>
        <w:rPr>
          <w:sz w:val="24"/>
        </w:rPr>
        <w:t>，并负责修补所供</w:t>
      </w:r>
      <w:r>
        <w:rPr>
          <w:rFonts w:hint="eastAsia"/>
          <w:sz w:val="24"/>
        </w:rPr>
        <w:t>服务</w:t>
      </w:r>
      <w:r>
        <w:rPr>
          <w:sz w:val="24"/>
        </w:rPr>
        <w:t>的任何缺陷，质量</w:t>
      </w:r>
      <w:r>
        <w:rPr>
          <w:rFonts w:hint="eastAsia"/>
          <w:sz w:val="24"/>
        </w:rPr>
        <w:t>要求</w:t>
      </w:r>
      <w:r>
        <w:rPr>
          <w:sz w:val="24"/>
        </w:rPr>
        <w:t>达到</w:t>
      </w:r>
      <w:r>
        <w:rPr>
          <w:sz w:val="24"/>
          <w:u w:val="single"/>
        </w:rPr>
        <w:t xml:space="preserve">    </w:t>
      </w:r>
      <w:r>
        <w:rPr>
          <w:rFonts w:hint="eastAsia"/>
          <w:sz w:val="24"/>
          <w:u w:val="single"/>
        </w:rPr>
        <w:t xml:space="preserve">        </w:t>
      </w:r>
      <w:r>
        <w:rPr>
          <w:sz w:val="24"/>
        </w:rPr>
        <w:t>。</w:t>
      </w:r>
    </w:p>
    <w:p>
      <w:pPr>
        <w:spacing w:line="360" w:lineRule="auto"/>
        <w:ind w:firstLine="482" w:firstLineChars="200"/>
        <w:rPr>
          <w:sz w:val="24"/>
        </w:rPr>
      </w:pPr>
      <w:r>
        <w:rPr>
          <w:sz w:val="24"/>
        </w:rPr>
        <w:t>2．我方承诺在</w:t>
      </w:r>
      <w:r>
        <w:rPr>
          <w:rFonts w:hint="eastAsia"/>
          <w:sz w:val="24"/>
        </w:rPr>
        <w:t>磋商</w:t>
      </w:r>
      <w:r>
        <w:rPr>
          <w:sz w:val="24"/>
        </w:rPr>
        <w:t>报价有效期</w:t>
      </w:r>
      <w:r>
        <w:rPr>
          <w:rFonts w:hint="eastAsia"/>
          <w:sz w:val="24"/>
        </w:rPr>
        <w:t>（90日历天）</w:t>
      </w:r>
      <w:r>
        <w:rPr>
          <w:sz w:val="24"/>
        </w:rPr>
        <w:t>不修改、撤销</w:t>
      </w:r>
      <w:r>
        <w:rPr>
          <w:rFonts w:hint="eastAsia"/>
          <w:sz w:val="24"/>
        </w:rPr>
        <w:t>响应文件</w:t>
      </w:r>
      <w:r>
        <w:rPr>
          <w:sz w:val="24"/>
        </w:rPr>
        <w:t>。</w:t>
      </w:r>
    </w:p>
    <w:p>
      <w:pPr>
        <w:spacing w:line="360" w:lineRule="auto"/>
        <w:ind w:firstLine="482" w:firstLineChars="200"/>
        <w:rPr>
          <w:sz w:val="24"/>
        </w:rPr>
      </w:pPr>
      <w:r>
        <w:rPr>
          <w:rFonts w:hint="eastAsia"/>
          <w:sz w:val="24"/>
        </w:rPr>
        <w:t>3</w:t>
      </w:r>
      <w:r>
        <w:rPr>
          <w:sz w:val="24"/>
        </w:rPr>
        <w:t>．如我方获取成交资格：</w:t>
      </w:r>
    </w:p>
    <w:p>
      <w:pPr>
        <w:spacing w:line="360" w:lineRule="auto"/>
        <w:ind w:firstLine="361" w:firstLineChars="150"/>
        <w:rPr>
          <w:sz w:val="24"/>
        </w:rPr>
      </w:pPr>
      <w:r>
        <w:rPr>
          <w:sz w:val="24"/>
        </w:rPr>
        <w:t>（1）我方承诺在收到成交通知书后，在成交通知书规定的期限内与采购人签订合同。</w:t>
      </w:r>
    </w:p>
    <w:p>
      <w:pPr>
        <w:spacing w:line="360" w:lineRule="auto"/>
        <w:ind w:firstLine="361" w:firstLineChars="150"/>
        <w:rPr>
          <w:sz w:val="24"/>
        </w:rPr>
      </w:pPr>
      <w:r>
        <w:rPr>
          <w:sz w:val="24"/>
        </w:rPr>
        <w:t>（</w:t>
      </w:r>
      <w:r>
        <w:rPr>
          <w:rFonts w:hint="eastAsia"/>
          <w:sz w:val="24"/>
        </w:rPr>
        <w:t>2</w:t>
      </w:r>
      <w:r>
        <w:rPr>
          <w:sz w:val="24"/>
        </w:rPr>
        <w:t>）我方承诺在合同约定的期限内完成并移交</w:t>
      </w:r>
      <w:r>
        <w:rPr>
          <w:rFonts w:hint="eastAsia"/>
          <w:sz w:val="24"/>
        </w:rPr>
        <w:t>本项目</w:t>
      </w:r>
      <w:r>
        <w:rPr>
          <w:sz w:val="24"/>
        </w:rPr>
        <w:t>。</w:t>
      </w:r>
    </w:p>
    <w:p>
      <w:pPr>
        <w:spacing w:line="360" w:lineRule="auto"/>
        <w:ind w:firstLine="482" w:firstLineChars="200"/>
        <w:rPr>
          <w:sz w:val="24"/>
        </w:rPr>
      </w:pPr>
      <w:r>
        <w:rPr>
          <w:rFonts w:hint="eastAsia"/>
          <w:sz w:val="24"/>
        </w:rPr>
        <w:t>4</w:t>
      </w:r>
      <w:r>
        <w:rPr>
          <w:sz w:val="24"/>
        </w:rPr>
        <w:t>．我方在此声明，所递交的</w:t>
      </w:r>
      <w:r>
        <w:rPr>
          <w:rFonts w:hint="eastAsia"/>
          <w:sz w:val="24"/>
        </w:rPr>
        <w:t>响应文件</w:t>
      </w:r>
      <w:r>
        <w:rPr>
          <w:sz w:val="24"/>
        </w:rPr>
        <w:t>及有关资料内容完整、真实和准确。</w:t>
      </w:r>
    </w:p>
    <w:p>
      <w:pPr>
        <w:spacing w:line="360" w:lineRule="auto"/>
        <w:ind w:firstLine="482" w:firstLineChars="200"/>
        <w:rPr>
          <w:sz w:val="24"/>
        </w:rPr>
      </w:pPr>
      <w:r>
        <w:rPr>
          <w:rFonts w:hint="eastAsia"/>
          <w:sz w:val="24"/>
        </w:rPr>
        <w:t>5</w:t>
      </w:r>
      <w:r>
        <w:rPr>
          <w:sz w:val="24"/>
        </w:rPr>
        <w:t xml:space="preserve">．  </w:t>
      </w:r>
      <w:r>
        <w:rPr>
          <w:sz w:val="24"/>
          <w:u w:val="single"/>
        </w:rPr>
        <w:t xml:space="preserve">                  </w:t>
      </w:r>
      <w:r>
        <w:rPr>
          <w:sz w:val="24"/>
        </w:rPr>
        <w:t>（其他补充说明）。</w:t>
      </w:r>
    </w:p>
    <w:p>
      <w:pPr>
        <w:spacing w:line="360" w:lineRule="auto"/>
        <w:rPr>
          <w:sz w:val="24"/>
        </w:rPr>
      </w:pPr>
    </w:p>
    <w:p>
      <w:pPr>
        <w:spacing w:line="360" w:lineRule="auto"/>
        <w:ind w:firstLine="723" w:firstLineChars="300"/>
        <w:rPr>
          <w:sz w:val="24"/>
        </w:rPr>
      </w:pPr>
      <w:r>
        <w:rPr>
          <w:rFonts w:hint="eastAsia"/>
          <w:sz w:val="24"/>
        </w:rPr>
        <w:t>供应商</w:t>
      </w:r>
      <w:r>
        <w:rPr>
          <w:sz w:val="24"/>
        </w:rPr>
        <w:t>：</w:t>
      </w:r>
      <w:r>
        <w:rPr>
          <w:sz w:val="24"/>
          <w:u w:val="single"/>
        </w:rPr>
        <w:t xml:space="preserve">                  </w:t>
      </w:r>
      <w:r>
        <w:rPr>
          <w:sz w:val="24"/>
        </w:rPr>
        <w:t>（盖单位公章）</w:t>
      </w:r>
    </w:p>
    <w:p>
      <w:pPr>
        <w:spacing w:line="360" w:lineRule="auto"/>
        <w:ind w:firstLine="723" w:firstLineChars="300"/>
        <w:rPr>
          <w:sz w:val="24"/>
        </w:rPr>
      </w:pPr>
      <w:r>
        <w:rPr>
          <w:sz w:val="24"/>
        </w:rPr>
        <w:t>法定代表人或其委托代理人：</w:t>
      </w:r>
      <w:r>
        <w:rPr>
          <w:sz w:val="24"/>
          <w:u w:val="single"/>
        </w:rPr>
        <w:t xml:space="preserve">         </w:t>
      </w:r>
      <w:r>
        <w:rPr>
          <w:rFonts w:ascii="宋体" w:hAnsi="宋体"/>
          <w:sz w:val="24"/>
        </w:rPr>
        <w:t>（签字</w:t>
      </w:r>
      <w:r>
        <w:rPr>
          <w:rFonts w:hint="eastAsia" w:ascii="宋体" w:hAnsi="宋体"/>
          <w:sz w:val="24"/>
        </w:rPr>
        <w:t>或盖章</w:t>
      </w:r>
      <w:r>
        <w:rPr>
          <w:rFonts w:ascii="宋体" w:hAnsi="宋体"/>
          <w:sz w:val="24"/>
        </w:rPr>
        <w:t>）</w:t>
      </w:r>
    </w:p>
    <w:p>
      <w:pPr>
        <w:spacing w:line="360" w:lineRule="auto"/>
        <w:ind w:firstLine="723" w:firstLineChars="300"/>
        <w:rPr>
          <w:sz w:val="24"/>
        </w:rPr>
      </w:pPr>
      <w:r>
        <w:rPr>
          <w:sz w:val="24"/>
        </w:rPr>
        <w:t>地址：</w:t>
      </w:r>
      <w:r>
        <w:rPr>
          <w:sz w:val="24"/>
          <w:u w:val="single"/>
        </w:rPr>
        <w:t xml:space="preserve">                  </w:t>
      </w:r>
    </w:p>
    <w:p>
      <w:pPr>
        <w:spacing w:line="360" w:lineRule="auto"/>
        <w:ind w:firstLine="723" w:firstLineChars="300"/>
        <w:rPr>
          <w:sz w:val="24"/>
        </w:rPr>
      </w:pPr>
      <w:r>
        <w:rPr>
          <w:sz w:val="24"/>
        </w:rPr>
        <w:t>网址：</w:t>
      </w:r>
      <w:r>
        <w:rPr>
          <w:sz w:val="24"/>
          <w:u w:val="single"/>
        </w:rPr>
        <w:t xml:space="preserve">                  </w:t>
      </w:r>
    </w:p>
    <w:p>
      <w:pPr>
        <w:spacing w:line="360" w:lineRule="auto"/>
        <w:ind w:firstLine="723" w:firstLineChars="300"/>
        <w:rPr>
          <w:sz w:val="24"/>
        </w:rPr>
      </w:pPr>
      <w:r>
        <w:rPr>
          <w:sz w:val="24"/>
        </w:rPr>
        <w:t>电话：</w:t>
      </w:r>
      <w:r>
        <w:rPr>
          <w:sz w:val="24"/>
          <w:u w:val="single"/>
        </w:rPr>
        <w:t xml:space="preserve">                  </w:t>
      </w:r>
    </w:p>
    <w:p>
      <w:pPr>
        <w:spacing w:line="360" w:lineRule="auto"/>
        <w:ind w:firstLine="723" w:firstLineChars="300"/>
        <w:rPr>
          <w:sz w:val="24"/>
          <w:u w:val="single"/>
        </w:rPr>
      </w:pPr>
      <w:r>
        <w:rPr>
          <w:sz w:val="24"/>
        </w:rPr>
        <w:t>传真：</w:t>
      </w:r>
      <w:r>
        <w:rPr>
          <w:sz w:val="24"/>
          <w:u w:val="single"/>
        </w:rPr>
        <w:t xml:space="preserve">                  </w:t>
      </w:r>
      <w:r>
        <w:rPr>
          <w:rFonts w:hint="eastAsia"/>
          <w:sz w:val="24"/>
          <w:u w:val="single"/>
        </w:rPr>
        <w:t xml:space="preserve"> </w:t>
      </w:r>
    </w:p>
    <w:p>
      <w:pPr>
        <w:spacing w:line="360" w:lineRule="auto"/>
        <w:ind w:firstLine="723" w:firstLineChars="300"/>
        <w:rPr>
          <w:sz w:val="24"/>
          <w:u w:val="single"/>
        </w:rPr>
      </w:pPr>
      <w:r>
        <w:rPr>
          <w:sz w:val="24"/>
        </w:rPr>
        <w:t>邮政编码：</w:t>
      </w:r>
      <w:r>
        <w:rPr>
          <w:sz w:val="24"/>
          <w:u w:val="single"/>
        </w:rPr>
        <w:t xml:space="preserve">             </w:t>
      </w:r>
    </w:p>
    <w:p>
      <w:pPr>
        <w:spacing w:line="360" w:lineRule="auto"/>
        <w:ind w:firstLine="964" w:firstLineChars="400"/>
        <w:rPr>
          <w:sz w:val="24"/>
        </w:rPr>
      </w:pPr>
      <w:r>
        <w:rPr>
          <w:sz w:val="24"/>
          <w:u w:val="single"/>
        </w:rPr>
        <w:t xml:space="preserve">      </w:t>
      </w:r>
      <w:r>
        <w:rPr>
          <w:sz w:val="24"/>
        </w:rPr>
        <w:t xml:space="preserve"> 年</w:t>
      </w:r>
      <w:r>
        <w:rPr>
          <w:sz w:val="24"/>
          <w:u w:val="single"/>
        </w:rPr>
        <w:t xml:space="preserve">     </w:t>
      </w:r>
      <w:r>
        <w:rPr>
          <w:sz w:val="24"/>
        </w:rPr>
        <w:t xml:space="preserve">月 </w:t>
      </w:r>
      <w:r>
        <w:rPr>
          <w:sz w:val="24"/>
          <w:u w:val="single"/>
        </w:rPr>
        <w:t xml:space="preserve">      </w:t>
      </w:r>
      <w:r>
        <w:rPr>
          <w:sz w:val="24"/>
        </w:rPr>
        <w:t xml:space="preserve"> 日</w:t>
      </w:r>
    </w:p>
    <w:p>
      <w:pPr>
        <w:spacing w:line="360" w:lineRule="auto"/>
        <w:ind w:firstLine="6266" w:firstLineChars="2600"/>
        <w:rPr>
          <w:sz w:val="24"/>
        </w:rPr>
      </w:pPr>
    </w:p>
    <w:p>
      <w:pPr>
        <w:spacing w:line="360" w:lineRule="auto"/>
        <w:jc w:val="center"/>
        <w:rPr>
          <w:sz w:val="24"/>
        </w:rPr>
      </w:pPr>
    </w:p>
    <w:p>
      <w:pPr>
        <w:spacing w:line="360" w:lineRule="auto"/>
        <w:jc w:val="center"/>
        <w:rPr>
          <w:b/>
          <w:bCs/>
          <w:sz w:val="28"/>
          <w:szCs w:val="28"/>
        </w:rPr>
      </w:pPr>
      <w:r>
        <w:rPr>
          <w:sz w:val="24"/>
        </w:rPr>
        <w:br w:type="page"/>
      </w:r>
      <w:r>
        <w:rPr>
          <w:rFonts w:hint="eastAsia"/>
          <w:b/>
          <w:bCs/>
          <w:sz w:val="28"/>
          <w:szCs w:val="28"/>
        </w:rPr>
        <w:t>二、报价一览表</w:t>
      </w:r>
    </w:p>
    <w:p>
      <w:pPr>
        <w:pStyle w:val="12"/>
        <w:spacing w:before="3"/>
        <w:rPr>
          <w:rFonts w:ascii="Times New Roman"/>
          <w:sz w:val="21"/>
        </w:rPr>
      </w:pPr>
    </w:p>
    <w:tbl>
      <w:tblPr>
        <w:tblStyle w:val="25"/>
        <w:tblW w:w="9068" w:type="dxa"/>
        <w:tblInd w:w="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5"/>
        <w:gridCol w:w="67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6" w:hRule="atLeast"/>
        </w:trPr>
        <w:tc>
          <w:tcPr>
            <w:tcW w:w="2325" w:type="dxa"/>
            <w:tcBorders>
              <w:left w:val="single" w:color="000000" w:sz="4" w:space="0"/>
              <w:right w:val="single" w:color="000000" w:sz="4" w:space="0"/>
            </w:tcBorders>
            <w:vAlign w:val="center"/>
          </w:tcPr>
          <w:p>
            <w:pPr>
              <w:pStyle w:val="49"/>
              <w:ind w:right="283"/>
              <w:jc w:val="center"/>
              <w:rPr>
                <w:sz w:val="24"/>
                <w:lang w:val="en-US"/>
              </w:rPr>
            </w:pPr>
            <w:r>
              <w:rPr>
                <w:rFonts w:hint="eastAsia"/>
                <w:sz w:val="24"/>
                <w:lang w:val="en-US"/>
              </w:rPr>
              <w:t>项目</w:t>
            </w:r>
            <w:r>
              <w:rPr>
                <w:sz w:val="24"/>
              </w:rPr>
              <w:t>名称</w:t>
            </w:r>
          </w:p>
        </w:tc>
        <w:tc>
          <w:tcPr>
            <w:tcW w:w="6743" w:type="dxa"/>
            <w:tcBorders>
              <w:left w:val="single" w:color="000000" w:sz="4" w:space="0"/>
            </w:tcBorders>
            <w:vAlign w:val="center"/>
          </w:tcPr>
          <w:p>
            <w:pPr>
              <w:pStyle w:val="49"/>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6" w:hRule="atLeast"/>
        </w:trPr>
        <w:tc>
          <w:tcPr>
            <w:tcW w:w="2325" w:type="dxa"/>
            <w:tcBorders>
              <w:left w:val="single" w:color="000000" w:sz="4" w:space="0"/>
              <w:right w:val="single" w:color="000000" w:sz="4" w:space="0"/>
            </w:tcBorders>
            <w:vAlign w:val="center"/>
          </w:tcPr>
          <w:p>
            <w:pPr>
              <w:pStyle w:val="49"/>
              <w:ind w:left="291" w:right="283"/>
              <w:jc w:val="center"/>
              <w:rPr>
                <w:sz w:val="24"/>
                <w:lang w:val="en-US"/>
              </w:rPr>
            </w:pPr>
            <w:r>
              <w:rPr>
                <w:rFonts w:hint="eastAsia"/>
                <w:sz w:val="24"/>
                <w:lang w:val="en-US"/>
              </w:rPr>
              <w:t>供应商名称</w:t>
            </w:r>
          </w:p>
        </w:tc>
        <w:tc>
          <w:tcPr>
            <w:tcW w:w="6743" w:type="dxa"/>
            <w:tcBorders>
              <w:left w:val="single" w:color="000000" w:sz="4" w:space="0"/>
            </w:tcBorders>
            <w:vAlign w:val="center"/>
          </w:tcPr>
          <w:p>
            <w:pPr>
              <w:pStyle w:val="49"/>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2" w:hRule="atLeast"/>
        </w:trPr>
        <w:tc>
          <w:tcPr>
            <w:tcW w:w="2325" w:type="dxa"/>
            <w:vMerge w:val="restart"/>
            <w:tcBorders>
              <w:left w:val="single" w:color="000000" w:sz="4" w:space="0"/>
              <w:right w:val="single" w:color="auto" w:sz="4" w:space="0"/>
            </w:tcBorders>
            <w:vAlign w:val="center"/>
          </w:tcPr>
          <w:p>
            <w:pPr>
              <w:pStyle w:val="49"/>
              <w:spacing w:before="4"/>
              <w:jc w:val="center"/>
              <w:rPr>
                <w:rFonts w:ascii="Times New Roman"/>
                <w:sz w:val="34"/>
              </w:rPr>
            </w:pPr>
          </w:p>
          <w:p>
            <w:pPr>
              <w:spacing w:line="360" w:lineRule="exact"/>
              <w:jc w:val="center"/>
              <w:rPr>
                <w:sz w:val="24"/>
              </w:rPr>
            </w:pPr>
            <w:r>
              <w:rPr>
                <w:rFonts w:hint="eastAsia"/>
                <w:sz w:val="24"/>
              </w:rPr>
              <w:t>投标报价</w:t>
            </w:r>
          </w:p>
          <w:p>
            <w:pPr>
              <w:pStyle w:val="49"/>
              <w:ind w:left="291" w:right="283"/>
              <w:jc w:val="center"/>
              <w:rPr>
                <w:sz w:val="24"/>
              </w:rPr>
            </w:pPr>
            <w:r>
              <w:rPr>
                <w:rFonts w:hint="eastAsia"/>
                <w:sz w:val="24"/>
              </w:rPr>
              <w:t>（</w:t>
            </w:r>
            <w:r>
              <w:rPr>
                <w:rFonts w:hint="eastAsia"/>
                <w:sz w:val="24"/>
                <w:lang w:val="en-US"/>
              </w:rPr>
              <w:t>单位：</w:t>
            </w:r>
            <w:r>
              <w:rPr>
                <w:rFonts w:hint="eastAsia"/>
                <w:sz w:val="24"/>
              </w:rPr>
              <w:t>元）</w:t>
            </w:r>
          </w:p>
        </w:tc>
        <w:tc>
          <w:tcPr>
            <w:tcW w:w="6743" w:type="dxa"/>
            <w:tcBorders>
              <w:left w:val="single" w:color="auto" w:sz="4" w:space="0"/>
            </w:tcBorders>
            <w:vAlign w:val="center"/>
          </w:tcPr>
          <w:p>
            <w:pPr>
              <w:pStyle w:val="49"/>
              <w:spacing w:before="4" w:line="360" w:lineRule="auto"/>
              <w:jc w:val="left"/>
              <w:rPr>
                <w:rFonts w:ascii="Times New Roman"/>
                <w:sz w:val="24"/>
              </w:rPr>
            </w:pPr>
          </w:p>
          <w:p>
            <w:pPr>
              <w:pStyle w:val="49"/>
              <w:spacing w:before="4" w:line="360" w:lineRule="auto"/>
              <w:jc w:val="left"/>
              <w:rPr>
                <w:rFonts w:ascii="Times New Roman"/>
                <w:sz w:val="24"/>
                <w:lang w:val="en-US"/>
              </w:rPr>
            </w:pPr>
            <w:r>
              <w:rPr>
                <w:rFonts w:hint="eastAsia" w:ascii="Times New Roman"/>
                <w:sz w:val="24"/>
                <w:lang w:val="en-US"/>
              </w:rPr>
              <w:t>大写：</w:t>
            </w:r>
            <w:r>
              <w:rPr>
                <w:rFonts w:hint="eastAsia" w:ascii="Times New Roman"/>
                <w:sz w:val="24"/>
                <w:u w:val="single"/>
                <w:lang w:val="en-US"/>
              </w:rPr>
              <w:t xml:space="preserve">         </w:t>
            </w:r>
            <w:r>
              <w:rPr>
                <w:rFonts w:hint="eastAsia" w:ascii="Times New Roman"/>
                <w:sz w:val="24"/>
                <w:lang w:val="en-US"/>
              </w:rPr>
              <w:t xml:space="preserve"> </w:t>
            </w:r>
            <w:r>
              <w:rPr>
                <w:rFonts w:hint="eastAsia"/>
                <w:sz w:val="24"/>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2" w:hRule="atLeast"/>
        </w:trPr>
        <w:tc>
          <w:tcPr>
            <w:tcW w:w="2325" w:type="dxa"/>
            <w:vMerge w:val="continue"/>
            <w:tcBorders>
              <w:left w:val="single" w:color="000000" w:sz="4" w:space="0"/>
              <w:right w:val="single" w:color="auto" w:sz="4" w:space="0"/>
            </w:tcBorders>
            <w:vAlign w:val="center"/>
          </w:tcPr>
          <w:p>
            <w:pPr>
              <w:pStyle w:val="49"/>
              <w:tabs>
                <w:tab w:val="left" w:pos="2387"/>
                <w:tab w:val="left" w:pos="5923"/>
              </w:tabs>
              <w:ind w:left="107"/>
              <w:jc w:val="left"/>
            </w:pPr>
          </w:p>
        </w:tc>
        <w:tc>
          <w:tcPr>
            <w:tcW w:w="6743" w:type="dxa"/>
            <w:tcBorders>
              <w:left w:val="single" w:color="auto" w:sz="4" w:space="0"/>
            </w:tcBorders>
            <w:vAlign w:val="center"/>
          </w:tcPr>
          <w:p>
            <w:pPr>
              <w:pStyle w:val="49"/>
              <w:tabs>
                <w:tab w:val="left" w:pos="2387"/>
                <w:tab w:val="left" w:pos="5923"/>
              </w:tabs>
              <w:ind w:left="107"/>
              <w:jc w:val="left"/>
              <w:rPr>
                <w:rFonts w:ascii="Times New Roman"/>
                <w:sz w:val="24"/>
                <w:lang w:val="en-US"/>
              </w:rPr>
            </w:pPr>
            <w:r>
              <w:rPr>
                <w:rFonts w:hint="eastAsia" w:ascii="Times New Roman"/>
                <w:sz w:val="24"/>
                <w:lang w:val="en-US"/>
              </w:rPr>
              <w:t>小写：</w:t>
            </w:r>
            <w:r>
              <w:rPr>
                <w:rFonts w:hint="eastAsia" w:ascii="Times New Roman"/>
                <w:sz w:val="24"/>
                <w:u w:val="single"/>
                <w:lang w:val="en-US"/>
              </w:rPr>
              <w:t xml:space="preserve">         </w:t>
            </w:r>
            <w:r>
              <w:rPr>
                <w:rFonts w:hint="eastAsia" w:ascii="Times New Roman"/>
                <w:sz w:val="24"/>
                <w:lang w:val="en-US"/>
              </w:rPr>
              <w:t xml:space="preserve"> </w:t>
            </w:r>
            <w:r>
              <w:rPr>
                <w:rFonts w:hint="eastAsia"/>
                <w:sz w:val="24"/>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0" w:hRule="atLeast"/>
        </w:trPr>
        <w:tc>
          <w:tcPr>
            <w:tcW w:w="2325" w:type="dxa"/>
            <w:tcBorders>
              <w:left w:val="single" w:color="000000" w:sz="4" w:space="0"/>
              <w:right w:val="single" w:color="000000" w:sz="4" w:space="0"/>
            </w:tcBorders>
            <w:vAlign w:val="center"/>
          </w:tcPr>
          <w:p>
            <w:pPr>
              <w:pStyle w:val="49"/>
              <w:ind w:right="283" w:firstLine="723" w:firstLineChars="300"/>
              <w:rPr>
                <w:sz w:val="24"/>
                <w:lang w:val="en-US"/>
              </w:rPr>
            </w:pPr>
            <w:r>
              <w:rPr>
                <w:rFonts w:hint="eastAsia"/>
                <w:sz w:val="24"/>
                <w:lang w:val="en-US"/>
              </w:rPr>
              <w:t>服务</w:t>
            </w:r>
            <w:r>
              <w:rPr>
                <w:rFonts w:hint="eastAsia"/>
                <w:sz w:val="24"/>
              </w:rPr>
              <w:t>期</w:t>
            </w:r>
            <w:r>
              <w:rPr>
                <w:rFonts w:hint="eastAsia"/>
                <w:sz w:val="24"/>
                <w:lang w:val="en-US"/>
              </w:rPr>
              <w:t>限</w:t>
            </w:r>
          </w:p>
        </w:tc>
        <w:tc>
          <w:tcPr>
            <w:tcW w:w="6743" w:type="dxa"/>
            <w:tcBorders>
              <w:left w:val="single" w:color="000000" w:sz="4" w:space="0"/>
            </w:tcBorders>
            <w:vAlign w:val="center"/>
          </w:tcPr>
          <w:p>
            <w:pPr>
              <w:pStyle w:val="49"/>
              <w:ind w:right="92"/>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1" w:hRule="atLeast"/>
        </w:trPr>
        <w:tc>
          <w:tcPr>
            <w:tcW w:w="2325" w:type="dxa"/>
            <w:tcBorders>
              <w:left w:val="single" w:color="000000" w:sz="4" w:space="0"/>
              <w:right w:val="single" w:color="000000" w:sz="4" w:space="0"/>
            </w:tcBorders>
            <w:vAlign w:val="center"/>
          </w:tcPr>
          <w:p>
            <w:pPr>
              <w:pStyle w:val="49"/>
              <w:ind w:left="291" w:right="283"/>
              <w:jc w:val="center"/>
              <w:rPr>
                <w:sz w:val="24"/>
                <w:lang w:val="en-US"/>
              </w:rPr>
            </w:pPr>
            <w:r>
              <w:rPr>
                <w:rFonts w:hint="eastAsia"/>
                <w:sz w:val="24"/>
                <w:lang w:val="en-US"/>
              </w:rPr>
              <w:t>质量要求</w:t>
            </w:r>
          </w:p>
        </w:tc>
        <w:tc>
          <w:tcPr>
            <w:tcW w:w="6743" w:type="dxa"/>
            <w:tcBorders>
              <w:left w:val="single" w:color="000000" w:sz="4" w:space="0"/>
            </w:tcBorders>
            <w:vAlign w:val="center"/>
          </w:tcPr>
          <w:p>
            <w:pPr>
              <w:pStyle w:val="49"/>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1" w:hRule="atLeast"/>
        </w:trPr>
        <w:tc>
          <w:tcPr>
            <w:tcW w:w="2325" w:type="dxa"/>
            <w:tcBorders>
              <w:left w:val="single" w:color="000000" w:sz="4" w:space="0"/>
              <w:right w:val="single" w:color="000000" w:sz="4" w:space="0"/>
            </w:tcBorders>
            <w:vAlign w:val="center"/>
          </w:tcPr>
          <w:p>
            <w:pPr>
              <w:pStyle w:val="49"/>
              <w:ind w:right="283" w:firstLine="241" w:firstLineChars="100"/>
              <w:jc w:val="center"/>
              <w:rPr>
                <w:sz w:val="24"/>
              </w:rPr>
            </w:pPr>
            <w:r>
              <w:rPr>
                <w:sz w:val="24"/>
              </w:rPr>
              <w:t>磋商文件认同程度</w:t>
            </w:r>
          </w:p>
        </w:tc>
        <w:tc>
          <w:tcPr>
            <w:tcW w:w="6743" w:type="dxa"/>
            <w:tcBorders>
              <w:left w:val="single" w:color="000000" w:sz="4" w:space="0"/>
            </w:tcBorders>
            <w:vAlign w:val="center"/>
          </w:tcPr>
          <w:p>
            <w:pPr>
              <w:pStyle w:val="49"/>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1" w:hRule="atLeast"/>
        </w:trPr>
        <w:tc>
          <w:tcPr>
            <w:tcW w:w="2325" w:type="dxa"/>
            <w:tcBorders>
              <w:left w:val="single" w:color="000000" w:sz="4" w:space="0"/>
              <w:right w:val="single" w:color="000000" w:sz="4" w:space="0"/>
            </w:tcBorders>
            <w:vAlign w:val="center"/>
          </w:tcPr>
          <w:p>
            <w:pPr>
              <w:pStyle w:val="49"/>
              <w:ind w:left="291" w:right="283"/>
              <w:jc w:val="center"/>
              <w:rPr>
                <w:sz w:val="24"/>
                <w:lang w:val="en-US"/>
              </w:rPr>
            </w:pPr>
            <w:r>
              <w:rPr>
                <w:rFonts w:hint="eastAsia"/>
                <w:sz w:val="24"/>
                <w:lang w:val="en-US"/>
              </w:rPr>
              <w:t>备注</w:t>
            </w:r>
          </w:p>
        </w:tc>
        <w:tc>
          <w:tcPr>
            <w:tcW w:w="6743" w:type="dxa"/>
            <w:tcBorders>
              <w:left w:val="single" w:color="000000" w:sz="4" w:space="0"/>
            </w:tcBorders>
            <w:vAlign w:val="center"/>
          </w:tcPr>
          <w:p>
            <w:pPr>
              <w:pStyle w:val="49"/>
              <w:jc w:val="center"/>
              <w:rPr>
                <w:rFonts w:ascii="Times New Roman"/>
                <w:sz w:val="20"/>
              </w:rPr>
            </w:pPr>
          </w:p>
        </w:tc>
      </w:tr>
    </w:tbl>
    <w:p>
      <w:pPr>
        <w:spacing w:line="360" w:lineRule="auto"/>
        <w:rPr>
          <w:b/>
          <w:bCs/>
        </w:rPr>
      </w:pPr>
      <w:r>
        <w:rPr>
          <w:b/>
          <w:bCs/>
        </w:rPr>
        <w:t>注：本项目报价应保留小数点后两位，小数点后第三位“四舍五入”。</w:t>
      </w:r>
    </w:p>
    <w:p>
      <w:pPr>
        <w:spacing w:line="360" w:lineRule="auto"/>
        <w:ind w:left="422" w:leftChars="200"/>
        <w:rPr>
          <w:b/>
          <w:bCs/>
        </w:rPr>
      </w:pPr>
    </w:p>
    <w:p>
      <w:pPr>
        <w:spacing w:line="360" w:lineRule="auto"/>
        <w:ind w:left="422" w:leftChars="200"/>
        <w:rPr>
          <w:bCs/>
          <w:sz w:val="24"/>
        </w:rPr>
      </w:pPr>
      <w:r>
        <w:rPr>
          <w:rFonts w:hint="eastAsia"/>
          <w:bCs/>
          <w:sz w:val="24"/>
        </w:rPr>
        <w:t>供应商</w:t>
      </w:r>
      <w:r>
        <w:rPr>
          <w:bCs/>
          <w:sz w:val="24"/>
        </w:rPr>
        <w:t>：</w:t>
      </w:r>
      <w:r>
        <w:rPr>
          <w:sz w:val="24"/>
          <w:u w:val="single"/>
        </w:rPr>
        <w:t xml:space="preserve">               </w:t>
      </w:r>
      <w:r>
        <w:rPr>
          <w:sz w:val="24"/>
        </w:rPr>
        <w:t>（盖单位公章）</w:t>
      </w:r>
    </w:p>
    <w:p>
      <w:pPr>
        <w:spacing w:line="360" w:lineRule="auto"/>
        <w:ind w:left="422" w:leftChars="200"/>
        <w:jc w:val="left"/>
        <w:rPr>
          <w:bCs/>
          <w:sz w:val="24"/>
        </w:rPr>
      </w:pPr>
      <w:r>
        <w:rPr>
          <w:sz w:val="24"/>
        </w:rPr>
        <w:t>法定代表人或其委托代理人：</w:t>
      </w:r>
      <w:r>
        <w:rPr>
          <w:bCs/>
          <w:sz w:val="24"/>
          <w:u w:val="single"/>
        </w:rPr>
        <w:t xml:space="preserve">       </w:t>
      </w:r>
      <w:r>
        <w:rPr>
          <w:rFonts w:ascii="宋体" w:hAnsi="宋体"/>
          <w:sz w:val="24"/>
        </w:rPr>
        <w:t>（签字</w:t>
      </w:r>
      <w:r>
        <w:rPr>
          <w:rFonts w:hint="eastAsia" w:ascii="宋体" w:hAnsi="宋体"/>
          <w:sz w:val="24"/>
        </w:rPr>
        <w:t>或盖章</w:t>
      </w:r>
      <w:r>
        <w:rPr>
          <w:rFonts w:ascii="宋体" w:hAnsi="宋体"/>
          <w:sz w:val="24"/>
        </w:rPr>
        <w:t>）</w:t>
      </w:r>
      <w:r>
        <w:rPr>
          <w:bCs/>
          <w:sz w:val="24"/>
        </w:rPr>
        <w:t xml:space="preserve"> </w:t>
      </w:r>
    </w:p>
    <w:p>
      <w:pPr>
        <w:spacing w:line="360" w:lineRule="auto"/>
        <w:ind w:left="422" w:leftChars="200"/>
        <w:jc w:val="left"/>
        <w:rPr>
          <w:sz w:val="24"/>
        </w:rPr>
      </w:pPr>
      <w:r>
        <w:rPr>
          <w:bCs/>
          <w:sz w:val="24"/>
        </w:rPr>
        <w:t xml:space="preserve"> </w:t>
      </w:r>
      <w:r>
        <w:rPr>
          <w:sz w:val="24"/>
          <w:u w:val="single"/>
        </w:rPr>
        <w:t xml:space="preserve">      </w:t>
      </w:r>
      <w:r>
        <w:rPr>
          <w:sz w:val="24"/>
        </w:rPr>
        <w:t xml:space="preserve"> 年</w:t>
      </w:r>
      <w:r>
        <w:rPr>
          <w:sz w:val="24"/>
          <w:u w:val="single"/>
        </w:rPr>
        <w:t xml:space="preserve">     </w:t>
      </w:r>
      <w:r>
        <w:rPr>
          <w:sz w:val="24"/>
        </w:rPr>
        <w:t xml:space="preserve">月 </w:t>
      </w:r>
      <w:r>
        <w:rPr>
          <w:sz w:val="24"/>
          <w:u w:val="single"/>
        </w:rPr>
        <w:t xml:space="preserve">      </w:t>
      </w:r>
      <w:r>
        <w:rPr>
          <w:sz w:val="24"/>
        </w:rPr>
        <w:t xml:space="preserve"> 日</w:t>
      </w:r>
    </w:p>
    <w:p>
      <w:pPr>
        <w:spacing w:line="360" w:lineRule="auto"/>
        <w:ind w:firstLine="3923" w:firstLineChars="1628"/>
        <w:rPr>
          <w:sz w:val="24"/>
        </w:rPr>
      </w:pPr>
    </w:p>
    <w:p>
      <w:pPr>
        <w:spacing w:line="360" w:lineRule="auto"/>
        <w:rPr>
          <w:b/>
          <w:sz w:val="28"/>
          <w:szCs w:val="28"/>
        </w:rPr>
      </w:pPr>
    </w:p>
    <w:p>
      <w:pPr>
        <w:spacing w:line="360" w:lineRule="auto"/>
        <w:jc w:val="center"/>
        <w:rPr>
          <w:b/>
          <w:sz w:val="28"/>
          <w:szCs w:val="28"/>
        </w:rPr>
      </w:pPr>
      <w:r>
        <w:rPr>
          <w:b/>
          <w:sz w:val="28"/>
          <w:szCs w:val="28"/>
        </w:rPr>
        <w:br w:type="page"/>
      </w:r>
      <w:r>
        <w:rPr>
          <w:b/>
          <w:sz w:val="28"/>
          <w:szCs w:val="28"/>
        </w:rPr>
        <w:t>三、法定代表人身份证明</w:t>
      </w:r>
    </w:p>
    <w:p>
      <w:pPr>
        <w:spacing w:line="360" w:lineRule="auto"/>
        <w:rPr>
          <w:sz w:val="24"/>
        </w:rPr>
      </w:pPr>
    </w:p>
    <w:p/>
    <w:p>
      <w:pPr>
        <w:spacing w:line="360" w:lineRule="auto"/>
        <w:ind w:left="360" w:leftChars="171"/>
        <w:rPr>
          <w:sz w:val="24"/>
          <w:u w:val="single"/>
        </w:rPr>
      </w:pPr>
      <w:r>
        <w:rPr>
          <w:rFonts w:hint="eastAsia"/>
          <w:sz w:val="24"/>
        </w:rPr>
        <w:t>供应商</w:t>
      </w:r>
      <w:r>
        <w:rPr>
          <w:sz w:val="24"/>
        </w:rPr>
        <w:t>名称：</w:t>
      </w:r>
      <w:r>
        <w:rPr>
          <w:sz w:val="24"/>
          <w:u w:val="single"/>
        </w:rPr>
        <w:t xml:space="preserve">            </w:t>
      </w:r>
    </w:p>
    <w:p>
      <w:pPr>
        <w:spacing w:line="360" w:lineRule="auto"/>
        <w:ind w:left="360" w:leftChars="171"/>
        <w:rPr>
          <w:sz w:val="24"/>
        </w:rPr>
      </w:pPr>
      <w:r>
        <w:rPr>
          <w:sz w:val="24"/>
        </w:rPr>
        <w:t>单位性质：</w:t>
      </w:r>
      <w:r>
        <w:rPr>
          <w:sz w:val="24"/>
          <w:u w:val="single"/>
        </w:rPr>
        <w:t xml:space="preserve">              </w:t>
      </w:r>
    </w:p>
    <w:p>
      <w:pPr>
        <w:spacing w:line="360" w:lineRule="auto"/>
        <w:ind w:left="360" w:leftChars="171"/>
        <w:rPr>
          <w:sz w:val="24"/>
        </w:rPr>
      </w:pPr>
      <w:r>
        <w:rPr>
          <w:sz w:val="24"/>
        </w:rPr>
        <w:t>地址：</w:t>
      </w:r>
      <w:r>
        <w:rPr>
          <w:sz w:val="24"/>
          <w:u w:val="single"/>
        </w:rPr>
        <w:t xml:space="preserve">                  </w:t>
      </w:r>
    </w:p>
    <w:p>
      <w:pPr>
        <w:spacing w:line="360" w:lineRule="auto"/>
        <w:ind w:left="360" w:leftChars="171"/>
        <w:rPr>
          <w:sz w:val="24"/>
        </w:rPr>
      </w:pPr>
      <w:r>
        <w:rPr>
          <w:sz w:val="24"/>
        </w:rPr>
        <w:t xml:space="preserve">成立时间： </w:t>
      </w:r>
      <w:r>
        <w:rPr>
          <w:sz w:val="24"/>
          <w:u w:val="single"/>
        </w:rPr>
        <w:t xml:space="preserve">      </w:t>
      </w:r>
      <w:r>
        <w:rPr>
          <w:sz w:val="24"/>
        </w:rPr>
        <w:t>年</w:t>
      </w:r>
      <w:r>
        <w:rPr>
          <w:sz w:val="24"/>
          <w:u w:val="single"/>
        </w:rPr>
        <w:t xml:space="preserve">       </w:t>
      </w:r>
      <w:r>
        <w:rPr>
          <w:sz w:val="24"/>
        </w:rPr>
        <w:t xml:space="preserve">月 </w:t>
      </w:r>
      <w:r>
        <w:rPr>
          <w:sz w:val="24"/>
          <w:u w:val="single"/>
        </w:rPr>
        <w:t xml:space="preserve">     </w:t>
      </w:r>
      <w:r>
        <w:rPr>
          <w:sz w:val="24"/>
        </w:rPr>
        <w:t>日</w:t>
      </w:r>
    </w:p>
    <w:p>
      <w:pPr>
        <w:spacing w:line="360" w:lineRule="auto"/>
        <w:ind w:left="360" w:leftChars="171"/>
        <w:rPr>
          <w:sz w:val="24"/>
        </w:rPr>
      </w:pPr>
      <w:r>
        <w:rPr>
          <w:sz w:val="24"/>
        </w:rPr>
        <w:t>经营期限：</w:t>
      </w:r>
      <w:r>
        <w:rPr>
          <w:sz w:val="24"/>
          <w:u w:val="single"/>
        </w:rPr>
        <w:t xml:space="preserve">                  </w:t>
      </w:r>
    </w:p>
    <w:p>
      <w:pPr>
        <w:spacing w:line="360" w:lineRule="auto"/>
        <w:ind w:left="360" w:leftChars="171"/>
        <w:rPr>
          <w:sz w:val="24"/>
        </w:rPr>
      </w:pPr>
      <w:r>
        <w:rPr>
          <w:sz w:val="24"/>
        </w:rPr>
        <w:t>姓名：</w:t>
      </w:r>
      <w:r>
        <w:rPr>
          <w:sz w:val="24"/>
          <w:u w:val="single"/>
        </w:rPr>
        <w:t xml:space="preserve">      </w:t>
      </w:r>
      <w:r>
        <w:rPr>
          <w:sz w:val="24"/>
        </w:rPr>
        <w:t xml:space="preserve"> 性别：</w:t>
      </w:r>
      <w:r>
        <w:rPr>
          <w:sz w:val="24"/>
          <w:u w:val="single"/>
        </w:rPr>
        <w:t xml:space="preserve">      </w:t>
      </w:r>
      <w:r>
        <w:rPr>
          <w:sz w:val="24"/>
        </w:rPr>
        <w:t xml:space="preserve"> 年龄：</w:t>
      </w:r>
      <w:r>
        <w:rPr>
          <w:sz w:val="24"/>
          <w:u w:val="single"/>
        </w:rPr>
        <w:t xml:space="preserve">      </w:t>
      </w:r>
      <w:r>
        <w:rPr>
          <w:sz w:val="24"/>
        </w:rPr>
        <w:t xml:space="preserve"> 职务：</w:t>
      </w:r>
      <w:r>
        <w:rPr>
          <w:sz w:val="24"/>
          <w:u w:val="single"/>
        </w:rPr>
        <w:t xml:space="preserve">      </w:t>
      </w:r>
    </w:p>
    <w:p>
      <w:pPr>
        <w:spacing w:line="360" w:lineRule="auto"/>
        <w:ind w:left="360" w:leftChars="171"/>
        <w:rPr>
          <w:sz w:val="24"/>
        </w:rPr>
      </w:pPr>
      <w:r>
        <w:rPr>
          <w:sz w:val="24"/>
        </w:rPr>
        <w:t xml:space="preserve">系 </w:t>
      </w:r>
      <w:r>
        <w:rPr>
          <w:sz w:val="24"/>
          <w:u w:val="single"/>
        </w:rPr>
        <w:t xml:space="preserve">                  </w:t>
      </w:r>
      <w:r>
        <w:rPr>
          <w:sz w:val="24"/>
        </w:rPr>
        <w:t>（</w:t>
      </w:r>
      <w:r>
        <w:rPr>
          <w:rFonts w:hint="eastAsia"/>
          <w:sz w:val="24"/>
        </w:rPr>
        <w:t>供应商</w:t>
      </w:r>
      <w:r>
        <w:rPr>
          <w:sz w:val="24"/>
        </w:rPr>
        <w:t>名称）的法定代表人。</w:t>
      </w:r>
    </w:p>
    <w:p>
      <w:pPr>
        <w:spacing w:line="360" w:lineRule="auto"/>
        <w:ind w:left="360" w:leftChars="171"/>
        <w:rPr>
          <w:sz w:val="24"/>
        </w:rPr>
      </w:pPr>
      <w:r>
        <w:rPr>
          <w:sz w:val="24"/>
        </w:rPr>
        <w:t>特此证明。</w:t>
      </w:r>
    </w:p>
    <w:p>
      <w:pPr>
        <w:spacing w:line="360" w:lineRule="auto"/>
        <w:ind w:left="360" w:leftChars="171" w:firstLine="5369" w:firstLineChars="2228"/>
        <w:rPr>
          <w:sz w:val="24"/>
        </w:rPr>
      </w:pPr>
    </w:p>
    <w:p>
      <w:pPr>
        <w:spacing w:line="360" w:lineRule="auto"/>
        <w:ind w:firstLine="482" w:firstLineChars="200"/>
        <w:rPr>
          <w:sz w:val="24"/>
        </w:rPr>
      </w:pPr>
      <w:r>
        <w:rPr>
          <w:rFonts w:hint="eastAsia"/>
          <w:sz w:val="24"/>
        </w:rPr>
        <w:t>附：法人身份证复印件反正面</w:t>
      </w:r>
    </w:p>
    <w:p>
      <w:pPr>
        <w:spacing w:line="360" w:lineRule="auto"/>
        <w:ind w:firstLine="5369" w:firstLineChars="2228"/>
        <w:rPr>
          <w:sz w:val="24"/>
        </w:rPr>
      </w:pPr>
    </w:p>
    <w:p>
      <w:pPr>
        <w:spacing w:line="360" w:lineRule="auto"/>
        <w:ind w:firstLine="5369" w:firstLineChars="2228"/>
        <w:rPr>
          <w:sz w:val="24"/>
        </w:rPr>
      </w:pPr>
    </w:p>
    <w:p>
      <w:pPr>
        <w:spacing w:line="360" w:lineRule="auto"/>
        <w:ind w:firstLine="5369" w:firstLineChars="2228"/>
        <w:rPr>
          <w:sz w:val="24"/>
        </w:rPr>
      </w:pPr>
    </w:p>
    <w:p>
      <w:pPr>
        <w:spacing w:line="360" w:lineRule="auto"/>
        <w:rPr>
          <w:sz w:val="24"/>
        </w:rPr>
      </w:pPr>
      <w:r>
        <w:rPr>
          <w:rFonts w:hint="eastAsia"/>
          <w:sz w:val="24"/>
        </w:rPr>
        <w:t>供应商</w:t>
      </w:r>
      <w:r>
        <w:rPr>
          <w:sz w:val="24"/>
        </w:rPr>
        <w:t>：</w:t>
      </w:r>
      <w:r>
        <w:rPr>
          <w:sz w:val="24"/>
          <w:u w:val="single"/>
        </w:rPr>
        <w:t xml:space="preserve">            </w:t>
      </w:r>
      <w:r>
        <w:rPr>
          <w:sz w:val="24"/>
        </w:rPr>
        <w:t>（盖单位公章）</w:t>
      </w:r>
    </w:p>
    <w:p>
      <w:pPr>
        <w:spacing w:line="360" w:lineRule="auto"/>
      </w:pPr>
      <w:r>
        <w:rPr>
          <w:rFonts w:hint="eastAsia"/>
          <w:sz w:val="24"/>
        </w:rPr>
        <w:t>法定代表人：</w:t>
      </w:r>
      <w:r>
        <w:rPr>
          <w:rFonts w:hint="eastAsia"/>
          <w:sz w:val="24"/>
          <w:u w:val="single"/>
        </w:rPr>
        <w:t xml:space="preserve">           </w:t>
      </w:r>
      <w:r>
        <w:rPr>
          <w:rFonts w:hint="eastAsia"/>
          <w:sz w:val="24"/>
        </w:rPr>
        <w:t>（签字或盖章）</w:t>
      </w:r>
    </w:p>
    <w:p>
      <w:pPr>
        <w:spacing w:line="360" w:lineRule="auto"/>
        <w:rPr>
          <w:sz w:val="24"/>
        </w:rPr>
      </w:pPr>
      <w:r>
        <w:rPr>
          <w:sz w:val="24"/>
          <w:u w:val="single"/>
        </w:rPr>
        <w:t xml:space="preserve">      </w:t>
      </w:r>
      <w:r>
        <w:rPr>
          <w:sz w:val="24"/>
        </w:rPr>
        <w:t xml:space="preserve"> 年</w:t>
      </w:r>
      <w:r>
        <w:rPr>
          <w:sz w:val="24"/>
          <w:u w:val="single"/>
        </w:rPr>
        <w:t xml:space="preserve">     </w:t>
      </w:r>
      <w:r>
        <w:rPr>
          <w:sz w:val="24"/>
        </w:rPr>
        <w:t xml:space="preserve">月 </w:t>
      </w:r>
      <w:r>
        <w:rPr>
          <w:sz w:val="24"/>
          <w:u w:val="single"/>
        </w:rPr>
        <w:t xml:space="preserve">      </w:t>
      </w:r>
      <w:r>
        <w:rPr>
          <w:sz w:val="24"/>
        </w:rPr>
        <w:t xml:space="preserve"> 日</w:t>
      </w:r>
    </w:p>
    <w:p>
      <w:pPr>
        <w:spacing w:line="360" w:lineRule="auto"/>
        <w:jc w:val="center"/>
        <w:rPr>
          <w:b/>
          <w:sz w:val="24"/>
        </w:rPr>
      </w:pPr>
      <w:r>
        <w:rPr>
          <w:b/>
          <w:sz w:val="24"/>
        </w:rPr>
        <w:br w:type="page"/>
      </w:r>
      <w:r>
        <w:rPr>
          <w:b/>
          <w:sz w:val="28"/>
          <w:szCs w:val="28"/>
        </w:rPr>
        <w:t>授权委托书</w:t>
      </w:r>
    </w:p>
    <w:p>
      <w:pPr>
        <w:spacing w:line="360" w:lineRule="auto"/>
        <w:jc w:val="center"/>
        <w:rPr>
          <w:b/>
          <w:sz w:val="24"/>
        </w:rPr>
      </w:pPr>
    </w:p>
    <w:p>
      <w:pPr>
        <w:spacing w:line="360" w:lineRule="auto"/>
        <w:ind w:firstLine="411" w:firstLineChars="171"/>
        <w:rPr>
          <w:sz w:val="24"/>
        </w:rPr>
      </w:pPr>
      <w:r>
        <w:rPr>
          <w:sz w:val="24"/>
        </w:rPr>
        <w:t>本人</w:t>
      </w:r>
      <w:r>
        <w:rPr>
          <w:sz w:val="24"/>
          <w:u w:val="single"/>
        </w:rPr>
        <w:t xml:space="preserve">      </w:t>
      </w:r>
      <w:r>
        <w:rPr>
          <w:sz w:val="24"/>
        </w:rPr>
        <w:t xml:space="preserve">  （姓名）系 </w:t>
      </w:r>
      <w:r>
        <w:rPr>
          <w:sz w:val="24"/>
          <w:u w:val="single"/>
        </w:rPr>
        <w:t xml:space="preserve">      </w:t>
      </w:r>
      <w:r>
        <w:rPr>
          <w:sz w:val="24"/>
        </w:rPr>
        <w:t xml:space="preserve"> （</w:t>
      </w:r>
      <w:r>
        <w:rPr>
          <w:rFonts w:hint="eastAsia"/>
          <w:sz w:val="24"/>
        </w:rPr>
        <w:t>供应商</w:t>
      </w:r>
      <w:r>
        <w:rPr>
          <w:sz w:val="24"/>
        </w:rPr>
        <w:t xml:space="preserve">名称）的法定代表人，现委托 </w:t>
      </w:r>
      <w:r>
        <w:rPr>
          <w:sz w:val="24"/>
          <w:u w:val="single"/>
        </w:rPr>
        <w:t xml:space="preserve">      </w:t>
      </w:r>
      <w:r>
        <w:rPr>
          <w:sz w:val="24"/>
        </w:rPr>
        <w:t xml:space="preserve"> （姓名）为我方代理人。代理人根据授权，以我方名义签署、澄清、说明、补正、递交、撤回、修改 </w:t>
      </w:r>
      <w:r>
        <w:rPr>
          <w:sz w:val="24"/>
          <w:u w:val="single"/>
        </w:rPr>
        <w:t xml:space="preserve">      </w:t>
      </w:r>
      <w:r>
        <w:rPr>
          <w:sz w:val="24"/>
        </w:rPr>
        <w:t xml:space="preserve"> （项目名称）</w:t>
      </w:r>
      <w:r>
        <w:rPr>
          <w:rFonts w:hint="eastAsia"/>
          <w:sz w:val="24"/>
        </w:rPr>
        <w:t>响应文件</w:t>
      </w:r>
      <w:r>
        <w:rPr>
          <w:sz w:val="24"/>
        </w:rPr>
        <w:t>、签订合同和处理有关事宜，其法律后果由我方承担。</w:t>
      </w:r>
    </w:p>
    <w:p>
      <w:pPr>
        <w:spacing w:line="360" w:lineRule="auto"/>
        <w:ind w:firstLine="411" w:firstLineChars="171"/>
        <w:rPr>
          <w:sz w:val="24"/>
        </w:rPr>
      </w:pPr>
      <w:r>
        <w:rPr>
          <w:sz w:val="24"/>
        </w:rPr>
        <w:t>委托期限：</w:t>
      </w:r>
      <w:r>
        <w:rPr>
          <w:sz w:val="24"/>
          <w:u w:val="single"/>
        </w:rPr>
        <w:t>90天</w:t>
      </w:r>
      <w:r>
        <w:rPr>
          <w:sz w:val="24"/>
        </w:rPr>
        <w:t>。</w:t>
      </w:r>
    </w:p>
    <w:p>
      <w:pPr>
        <w:spacing w:line="360" w:lineRule="auto"/>
        <w:ind w:firstLine="361" w:firstLineChars="150"/>
        <w:rPr>
          <w:sz w:val="24"/>
        </w:rPr>
      </w:pPr>
      <w:r>
        <w:rPr>
          <w:sz w:val="24"/>
        </w:rPr>
        <w:t>代理人无转委托权。</w:t>
      </w:r>
    </w:p>
    <w:p>
      <w:pPr>
        <w:spacing w:line="360" w:lineRule="auto"/>
        <w:rPr>
          <w:sz w:val="24"/>
        </w:rPr>
      </w:pPr>
      <w:r>
        <w:rPr>
          <w:sz w:val="24"/>
        </w:rPr>
        <w:t xml:space="preserve"> </w:t>
      </w:r>
    </w:p>
    <w:p>
      <w:pPr>
        <w:spacing w:line="360" w:lineRule="auto"/>
        <w:ind w:firstLine="482" w:firstLineChars="200"/>
        <w:rPr>
          <w:sz w:val="24"/>
        </w:rPr>
      </w:pPr>
      <w:r>
        <w:rPr>
          <w:rFonts w:hint="eastAsia"/>
          <w:sz w:val="24"/>
        </w:rPr>
        <w:t>附：法人、</w:t>
      </w:r>
      <w:r>
        <w:rPr>
          <w:sz w:val="24"/>
        </w:rPr>
        <w:t>委托代理人</w:t>
      </w:r>
      <w:r>
        <w:rPr>
          <w:rFonts w:hint="eastAsia"/>
          <w:sz w:val="24"/>
        </w:rPr>
        <w:t>身份证复印件反正面</w:t>
      </w:r>
    </w:p>
    <w:p>
      <w:pPr>
        <w:spacing w:line="360" w:lineRule="auto"/>
        <w:ind w:firstLine="4749" w:firstLineChars="1971"/>
        <w:rPr>
          <w:sz w:val="24"/>
        </w:rPr>
      </w:pPr>
    </w:p>
    <w:p>
      <w:pPr>
        <w:spacing w:line="360" w:lineRule="auto"/>
        <w:ind w:firstLine="4749" w:firstLineChars="1971"/>
        <w:rPr>
          <w:sz w:val="24"/>
        </w:rPr>
      </w:pPr>
    </w:p>
    <w:p>
      <w:pPr>
        <w:spacing w:line="360" w:lineRule="auto"/>
        <w:ind w:firstLine="4749" w:firstLineChars="1971"/>
        <w:rPr>
          <w:sz w:val="24"/>
        </w:rPr>
      </w:pPr>
    </w:p>
    <w:p>
      <w:pPr>
        <w:spacing w:line="360" w:lineRule="auto"/>
        <w:ind w:firstLine="4749" w:firstLineChars="1971"/>
        <w:rPr>
          <w:sz w:val="24"/>
        </w:rPr>
      </w:pPr>
    </w:p>
    <w:p>
      <w:pPr>
        <w:spacing w:line="360" w:lineRule="auto"/>
        <w:ind w:firstLine="4749" w:firstLineChars="1971"/>
        <w:rPr>
          <w:sz w:val="24"/>
        </w:rPr>
      </w:pPr>
    </w:p>
    <w:p>
      <w:pPr>
        <w:spacing w:line="360" w:lineRule="auto"/>
        <w:ind w:firstLine="4749" w:firstLineChars="1971"/>
        <w:rPr>
          <w:sz w:val="24"/>
        </w:rPr>
      </w:pPr>
    </w:p>
    <w:p>
      <w:pPr>
        <w:spacing w:line="360" w:lineRule="auto"/>
        <w:rPr>
          <w:sz w:val="24"/>
        </w:rPr>
      </w:pPr>
      <w:r>
        <w:rPr>
          <w:rFonts w:hint="eastAsia"/>
          <w:sz w:val="24"/>
        </w:rPr>
        <w:t>供应商</w:t>
      </w:r>
      <w:r>
        <w:rPr>
          <w:sz w:val="24"/>
        </w:rPr>
        <w:t xml:space="preserve">： </w:t>
      </w:r>
      <w:r>
        <w:rPr>
          <w:sz w:val="24"/>
          <w:u w:val="single"/>
        </w:rPr>
        <w:t xml:space="preserve">      </w:t>
      </w:r>
      <w:r>
        <w:rPr>
          <w:rFonts w:hint="eastAsia"/>
          <w:sz w:val="24"/>
          <w:u w:val="single"/>
        </w:rPr>
        <w:t xml:space="preserve">  </w:t>
      </w:r>
      <w:r>
        <w:rPr>
          <w:sz w:val="24"/>
        </w:rPr>
        <w:t xml:space="preserve"> （盖单位公章）</w:t>
      </w:r>
    </w:p>
    <w:p>
      <w:pPr>
        <w:spacing w:line="360" w:lineRule="auto"/>
        <w:rPr>
          <w:sz w:val="24"/>
        </w:rPr>
      </w:pPr>
      <w:r>
        <w:rPr>
          <w:sz w:val="24"/>
        </w:rPr>
        <w:t xml:space="preserve">法定代表人： </w:t>
      </w:r>
      <w:r>
        <w:rPr>
          <w:sz w:val="24"/>
          <w:u w:val="single"/>
        </w:rPr>
        <w:t xml:space="preserve">      </w:t>
      </w:r>
      <w:r>
        <w:rPr>
          <w:rFonts w:hint="eastAsia"/>
          <w:sz w:val="24"/>
          <w:u w:val="single"/>
        </w:rPr>
        <w:t xml:space="preserve"> </w:t>
      </w:r>
      <w:r>
        <w:rPr>
          <w:sz w:val="24"/>
        </w:rPr>
        <w:t xml:space="preserve"> （签字</w:t>
      </w:r>
      <w:r>
        <w:rPr>
          <w:rFonts w:hint="eastAsia"/>
          <w:sz w:val="24"/>
        </w:rPr>
        <w:t>或盖章</w:t>
      </w:r>
      <w:r>
        <w:rPr>
          <w:sz w:val="24"/>
        </w:rPr>
        <w:t>）</w:t>
      </w:r>
    </w:p>
    <w:p>
      <w:pPr>
        <w:spacing w:line="360" w:lineRule="auto"/>
      </w:pPr>
      <w:r>
        <w:rPr>
          <w:rFonts w:hint="eastAsia"/>
          <w:sz w:val="24"/>
        </w:rPr>
        <w:t>身份证号码</w:t>
      </w:r>
      <w:r>
        <w:rPr>
          <w:rFonts w:hint="eastAsia"/>
          <w:sz w:val="24"/>
          <w:u w:val="single"/>
        </w:rPr>
        <w:t xml:space="preserve">：               </w:t>
      </w:r>
      <w:r>
        <w:rPr>
          <w:rFonts w:hint="eastAsia"/>
          <w:sz w:val="24"/>
        </w:rPr>
        <w:t xml:space="preserve"> </w:t>
      </w:r>
    </w:p>
    <w:p>
      <w:pPr>
        <w:spacing w:line="360" w:lineRule="auto"/>
        <w:rPr>
          <w:sz w:val="24"/>
        </w:rPr>
      </w:pPr>
      <w:r>
        <w:rPr>
          <w:sz w:val="24"/>
        </w:rPr>
        <w:t>委托代理人：</w:t>
      </w:r>
      <w:r>
        <w:rPr>
          <w:sz w:val="24"/>
          <w:u w:val="single"/>
        </w:rPr>
        <w:t xml:space="preserve">      </w:t>
      </w:r>
      <w:r>
        <w:rPr>
          <w:rFonts w:hint="eastAsia"/>
          <w:sz w:val="24"/>
          <w:u w:val="single"/>
        </w:rPr>
        <w:t xml:space="preserve"> </w:t>
      </w:r>
      <w:r>
        <w:rPr>
          <w:sz w:val="24"/>
        </w:rPr>
        <w:t xml:space="preserve">  （签字）</w:t>
      </w:r>
    </w:p>
    <w:p>
      <w:pPr>
        <w:spacing w:line="360" w:lineRule="auto"/>
        <w:rPr>
          <w:sz w:val="24"/>
        </w:rPr>
      </w:pPr>
      <w:r>
        <w:rPr>
          <w:sz w:val="24"/>
        </w:rPr>
        <w:t>身份证号码：</w:t>
      </w:r>
      <w:r>
        <w:rPr>
          <w:sz w:val="24"/>
          <w:u w:val="single"/>
        </w:rPr>
        <w:t xml:space="preserve">      </w:t>
      </w:r>
      <w:r>
        <w:rPr>
          <w:rFonts w:hint="eastAsia"/>
          <w:sz w:val="24"/>
          <w:u w:val="single"/>
        </w:rPr>
        <w:t xml:space="preserve"> </w:t>
      </w:r>
      <w:r>
        <w:rPr>
          <w:sz w:val="24"/>
        </w:rPr>
        <w:t xml:space="preserve"> </w:t>
      </w:r>
    </w:p>
    <w:p>
      <w:pPr>
        <w:spacing w:line="360" w:lineRule="auto"/>
        <w:rPr>
          <w:sz w:val="24"/>
        </w:rPr>
      </w:pPr>
      <w:r>
        <w:rPr>
          <w:sz w:val="24"/>
          <w:u w:val="single"/>
        </w:rPr>
        <w:t xml:space="preserve">      </w:t>
      </w:r>
      <w:r>
        <w:rPr>
          <w:sz w:val="24"/>
        </w:rPr>
        <w:t xml:space="preserve"> 年</w:t>
      </w:r>
      <w:r>
        <w:rPr>
          <w:sz w:val="24"/>
          <w:u w:val="single"/>
        </w:rPr>
        <w:t xml:space="preserve">      </w:t>
      </w:r>
      <w:r>
        <w:rPr>
          <w:sz w:val="24"/>
        </w:rPr>
        <w:t xml:space="preserve">  月</w:t>
      </w:r>
      <w:r>
        <w:rPr>
          <w:sz w:val="24"/>
          <w:u w:val="single"/>
        </w:rPr>
        <w:t xml:space="preserve">      </w:t>
      </w:r>
      <w:r>
        <w:rPr>
          <w:sz w:val="24"/>
        </w:rPr>
        <w:t xml:space="preserve">  日</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numPr>
          <w:ilvl w:val="0"/>
          <w:numId w:val="7"/>
        </w:numPr>
        <w:spacing w:line="360" w:lineRule="auto"/>
        <w:jc w:val="center"/>
        <w:rPr>
          <w:b/>
          <w:bCs/>
          <w:sz w:val="28"/>
          <w:szCs w:val="28"/>
        </w:rPr>
      </w:pPr>
      <w:r>
        <w:rPr>
          <w:rFonts w:hint="eastAsia"/>
          <w:b/>
          <w:bCs/>
          <w:sz w:val="28"/>
          <w:szCs w:val="28"/>
        </w:rPr>
        <w:br w:type="page"/>
      </w:r>
      <w:r>
        <w:rPr>
          <w:rFonts w:hint="eastAsia"/>
          <w:b/>
          <w:bCs/>
          <w:sz w:val="28"/>
          <w:szCs w:val="28"/>
        </w:rPr>
        <w:t>报价清单</w:t>
      </w:r>
    </w:p>
    <w:p>
      <w:pPr>
        <w:pStyle w:val="51"/>
        <w:widowControl/>
        <w:ind w:left="0" w:firstLine="0"/>
        <w:jc w:val="center"/>
        <w:rPr>
          <w:rFonts w:ascii="Calibri" w:hAnsi="Calibri" w:cs="Times New Roman"/>
          <w:b/>
          <w:bCs/>
          <w:sz w:val="28"/>
          <w:szCs w:val="28"/>
          <w:lang w:val="en-US" w:bidi="ar-SA"/>
        </w:rPr>
      </w:pPr>
      <w:r>
        <w:rPr>
          <w:rFonts w:hint="eastAsia" w:ascii="Calibri" w:hAnsi="Calibri" w:cs="Times New Roman"/>
          <w:b/>
          <w:bCs/>
          <w:sz w:val="28"/>
          <w:szCs w:val="28"/>
          <w:lang w:val="en-US" w:bidi="ar-SA"/>
        </w:rPr>
        <w:t>报价明细表</w:t>
      </w:r>
    </w:p>
    <w:p>
      <w:pPr>
        <w:jc w:val="center"/>
      </w:pPr>
      <w:r>
        <w:t>（格式仅供参考，可自行调整）</w:t>
      </w:r>
    </w:p>
    <w:tbl>
      <w:tblPr>
        <w:tblStyle w:val="25"/>
        <w:tblW w:w="500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32"/>
        <w:gridCol w:w="2193"/>
        <w:gridCol w:w="1902"/>
        <w:gridCol w:w="2818"/>
        <w:gridCol w:w="1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512" w:type="pct"/>
          </w:tcPr>
          <w:p>
            <w:pPr>
              <w:pStyle w:val="49"/>
              <w:jc w:val="center"/>
              <w:rPr>
                <w:color w:val="000000"/>
                <w:sz w:val="24"/>
              </w:rPr>
            </w:pPr>
            <w:bookmarkStart w:id="95" w:name="_Toc26374"/>
            <w:bookmarkStart w:id="96" w:name="_Toc15017"/>
            <w:bookmarkStart w:id="97" w:name="_Toc497"/>
          </w:p>
          <w:p>
            <w:pPr>
              <w:pStyle w:val="49"/>
              <w:jc w:val="center"/>
              <w:rPr>
                <w:color w:val="000000"/>
                <w:sz w:val="24"/>
              </w:rPr>
            </w:pPr>
            <w:r>
              <w:rPr>
                <w:color w:val="000000"/>
                <w:sz w:val="24"/>
              </w:rPr>
              <w:t>序号</w:t>
            </w:r>
          </w:p>
        </w:tc>
        <w:tc>
          <w:tcPr>
            <w:tcW w:w="1205" w:type="pct"/>
          </w:tcPr>
          <w:p>
            <w:pPr>
              <w:pStyle w:val="49"/>
              <w:jc w:val="center"/>
              <w:rPr>
                <w:color w:val="000000"/>
                <w:sz w:val="24"/>
              </w:rPr>
            </w:pPr>
          </w:p>
          <w:p>
            <w:pPr>
              <w:pStyle w:val="49"/>
              <w:jc w:val="center"/>
              <w:rPr>
                <w:color w:val="000000"/>
                <w:sz w:val="24"/>
              </w:rPr>
            </w:pPr>
            <w:r>
              <w:rPr>
                <w:color w:val="000000"/>
                <w:sz w:val="24"/>
              </w:rPr>
              <w:t>名称</w:t>
            </w:r>
          </w:p>
        </w:tc>
        <w:tc>
          <w:tcPr>
            <w:tcW w:w="1045" w:type="pct"/>
          </w:tcPr>
          <w:p>
            <w:pPr>
              <w:pStyle w:val="49"/>
              <w:jc w:val="center"/>
              <w:rPr>
                <w:color w:val="000000"/>
                <w:sz w:val="24"/>
              </w:rPr>
            </w:pPr>
          </w:p>
          <w:p>
            <w:pPr>
              <w:pStyle w:val="49"/>
              <w:jc w:val="center"/>
              <w:rPr>
                <w:color w:val="000000"/>
                <w:sz w:val="24"/>
              </w:rPr>
            </w:pPr>
            <w:r>
              <w:rPr>
                <w:rFonts w:hint="eastAsia"/>
                <w:color w:val="000000"/>
                <w:sz w:val="24"/>
                <w:lang w:val="en-US"/>
              </w:rPr>
              <w:t>单价</w:t>
            </w:r>
            <w:r>
              <w:rPr>
                <w:color w:val="000000"/>
                <w:sz w:val="24"/>
              </w:rPr>
              <w:t>（元）</w:t>
            </w:r>
          </w:p>
        </w:tc>
        <w:tc>
          <w:tcPr>
            <w:tcW w:w="1548" w:type="pct"/>
            <w:vAlign w:val="center"/>
          </w:tcPr>
          <w:p>
            <w:pPr>
              <w:pStyle w:val="49"/>
              <w:jc w:val="center"/>
              <w:rPr>
                <w:color w:val="000000"/>
                <w:sz w:val="24"/>
              </w:rPr>
            </w:pPr>
            <w:r>
              <w:rPr>
                <w:color w:val="000000"/>
                <w:sz w:val="24"/>
              </w:rPr>
              <w:t>合价（元）</w:t>
            </w:r>
          </w:p>
        </w:tc>
        <w:tc>
          <w:tcPr>
            <w:tcW w:w="688" w:type="pct"/>
          </w:tcPr>
          <w:p>
            <w:pPr>
              <w:pStyle w:val="49"/>
              <w:jc w:val="center"/>
              <w:rPr>
                <w:color w:val="000000"/>
                <w:sz w:val="24"/>
              </w:rPr>
            </w:pPr>
          </w:p>
          <w:p>
            <w:pPr>
              <w:pStyle w:val="49"/>
              <w:jc w:val="center"/>
              <w:rPr>
                <w:color w:val="000000"/>
                <w:sz w:val="24"/>
              </w:rPr>
            </w:pPr>
            <w:r>
              <w:rPr>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12" w:type="pct"/>
          </w:tcPr>
          <w:p>
            <w:pPr>
              <w:pStyle w:val="49"/>
              <w:jc w:val="left"/>
              <w:rPr>
                <w:rFonts w:ascii="Times New Roman"/>
                <w:color w:val="000000"/>
              </w:rPr>
            </w:pPr>
          </w:p>
        </w:tc>
        <w:tc>
          <w:tcPr>
            <w:tcW w:w="1205" w:type="pct"/>
          </w:tcPr>
          <w:p>
            <w:pPr>
              <w:pStyle w:val="49"/>
              <w:jc w:val="left"/>
              <w:rPr>
                <w:rFonts w:ascii="Times New Roman"/>
                <w:color w:val="000000"/>
              </w:rPr>
            </w:pPr>
          </w:p>
        </w:tc>
        <w:tc>
          <w:tcPr>
            <w:tcW w:w="1045" w:type="pct"/>
          </w:tcPr>
          <w:p>
            <w:pPr>
              <w:pStyle w:val="49"/>
              <w:jc w:val="left"/>
              <w:rPr>
                <w:rFonts w:ascii="Times New Roman"/>
                <w:color w:val="000000"/>
              </w:rPr>
            </w:pPr>
          </w:p>
        </w:tc>
        <w:tc>
          <w:tcPr>
            <w:tcW w:w="1548" w:type="pct"/>
          </w:tcPr>
          <w:p>
            <w:pPr>
              <w:pStyle w:val="49"/>
              <w:jc w:val="left"/>
              <w:rPr>
                <w:rFonts w:ascii="Times New Roman"/>
                <w:color w:val="000000"/>
              </w:rPr>
            </w:pPr>
          </w:p>
        </w:tc>
        <w:tc>
          <w:tcPr>
            <w:tcW w:w="688" w:type="pct"/>
          </w:tcPr>
          <w:p>
            <w:pPr>
              <w:pStyle w:val="49"/>
              <w:jc w:val="left"/>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512" w:type="pct"/>
          </w:tcPr>
          <w:p>
            <w:pPr>
              <w:pStyle w:val="49"/>
              <w:jc w:val="left"/>
              <w:rPr>
                <w:rFonts w:ascii="Times New Roman"/>
                <w:color w:val="000000"/>
              </w:rPr>
            </w:pPr>
          </w:p>
        </w:tc>
        <w:tc>
          <w:tcPr>
            <w:tcW w:w="1205" w:type="pct"/>
          </w:tcPr>
          <w:p>
            <w:pPr>
              <w:pStyle w:val="49"/>
              <w:jc w:val="left"/>
              <w:rPr>
                <w:rFonts w:ascii="Times New Roman"/>
                <w:color w:val="000000"/>
              </w:rPr>
            </w:pPr>
          </w:p>
        </w:tc>
        <w:tc>
          <w:tcPr>
            <w:tcW w:w="1045" w:type="pct"/>
          </w:tcPr>
          <w:p>
            <w:pPr>
              <w:pStyle w:val="49"/>
              <w:jc w:val="left"/>
              <w:rPr>
                <w:rFonts w:ascii="Times New Roman"/>
                <w:color w:val="000000"/>
              </w:rPr>
            </w:pPr>
          </w:p>
        </w:tc>
        <w:tc>
          <w:tcPr>
            <w:tcW w:w="1548" w:type="pct"/>
          </w:tcPr>
          <w:p>
            <w:pPr>
              <w:pStyle w:val="49"/>
              <w:jc w:val="left"/>
              <w:rPr>
                <w:rFonts w:ascii="Times New Roman"/>
                <w:color w:val="000000"/>
              </w:rPr>
            </w:pPr>
          </w:p>
        </w:tc>
        <w:tc>
          <w:tcPr>
            <w:tcW w:w="688" w:type="pct"/>
          </w:tcPr>
          <w:p>
            <w:pPr>
              <w:pStyle w:val="49"/>
              <w:jc w:val="left"/>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12" w:type="pct"/>
          </w:tcPr>
          <w:p>
            <w:pPr>
              <w:pStyle w:val="49"/>
              <w:jc w:val="left"/>
              <w:rPr>
                <w:rFonts w:ascii="Times New Roman"/>
                <w:color w:val="000000"/>
              </w:rPr>
            </w:pPr>
          </w:p>
        </w:tc>
        <w:tc>
          <w:tcPr>
            <w:tcW w:w="1205" w:type="pct"/>
          </w:tcPr>
          <w:p>
            <w:pPr>
              <w:pStyle w:val="49"/>
              <w:jc w:val="left"/>
              <w:rPr>
                <w:rFonts w:ascii="Times New Roman"/>
                <w:color w:val="000000"/>
              </w:rPr>
            </w:pPr>
          </w:p>
        </w:tc>
        <w:tc>
          <w:tcPr>
            <w:tcW w:w="1045" w:type="pct"/>
          </w:tcPr>
          <w:p>
            <w:pPr>
              <w:pStyle w:val="49"/>
              <w:jc w:val="left"/>
              <w:rPr>
                <w:rFonts w:ascii="Times New Roman"/>
                <w:color w:val="000000"/>
              </w:rPr>
            </w:pPr>
          </w:p>
        </w:tc>
        <w:tc>
          <w:tcPr>
            <w:tcW w:w="1548" w:type="pct"/>
          </w:tcPr>
          <w:p>
            <w:pPr>
              <w:pStyle w:val="49"/>
              <w:jc w:val="left"/>
              <w:rPr>
                <w:rFonts w:ascii="Times New Roman"/>
                <w:color w:val="000000"/>
              </w:rPr>
            </w:pPr>
          </w:p>
        </w:tc>
        <w:tc>
          <w:tcPr>
            <w:tcW w:w="688" w:type="pct"/>
          </w:tcPr>
          <w:p>
            <w:pPr>
              <w:pStyle w:val="49"/>
              <w:jc w:val="left"/>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12" w:type="pct"/>
          </w:tcPr>
          <w:p>
            <w:pPr>
              <w:pStyle w:val="49"/>
              <w:jc w:val="left"/>
              <w:rPr>
                <w:rFonts w:ascii="Times New Roman"/>
                <w:color w:val="000000"/>
              </w:rPr>
            </w:pPr>
          </w:p>
        </w:tc>
        <w:tc>
          <w:tcPr>
            <w:tcW w:w="1205" w:type="pct"/>
          </w:tcPr>
          <w:p>
            <w:pPr>
              <w:pStyle w:val="49"/>
              <w:jc w:val="left"/>
              <w:rPr>
                <w:rFonts w:ascii="Times New Roman"/>
                <w:color w:val="000000"/>
              </w:rPr>
            </w:pPr>
          </w:p>
        </w:tc>
        <w:tc>
          <w:tcPr>
            <w:tcW w:w="1045" w:type="pct"/>
          </w:tcPr>
          <w:p>
            <w:pPr>
              <w:pStyle w:val="49"/>
              <w:jc w:val="left"/>
              <w:rPr>
                <w:rFonts w:ascii="Times New Roman"/>
                <w:color w:val="000000"/>
              </w:rPr>
            </w:pPr>
          </w:p>
        </w:tc>
        <w:tc>
          <w:tcPr>
            <w:tcW w:w="1548" w:type="pct"/>
          </w:tcPr>
          <w:p>
            <w:pPr>
              <w:pStyle w:val="49"/>
              <w:jc w:val="left"/>
              <w:rPr>
                <w:rFonts w:ascii="Times New Roman"/>
                <w:color w:val="000000"/>
              </w:rPr>
            </w:pPr>
          </w:p>
        </w:tc>
        <w:tc>
          <w:tcPr>
            <w:tcW w:w="688" w:type="pct"/>
          </w:tcPr>
          <w:p>
            <w:pPr>
              <w:pStyle w:val="49"/>
              <w:jc w:val="left"/>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512" w:type="pct"/>
          </w:tcPr>
          <w:p>
            <w:pPr>
              <w:pStyle w:val="49"/>
              <w:jc w:val="left"/>
              <w:rPr>
                <w:rFonts w:ascii="Times New Roman"/>
                <w:color w:val="000000"/>
              </w:rPr>
            </w:pPr>
          </w:p>
        </w:tc>
        <w:tc>
          <w:tcPr>
            <w:tcW w:w="1205" w:type="pct"/>
          </w:tcPr>
          <w:p>
            <w:pPr>
              <w:pStyle w:val="49"/>
              <w:jc w:val="left"/>
              <w:rPr>
                <w:rFonts w:ascii="Times New Roman"/>
                <w:color w:val="000000"/>
              </w:rPr>
            </w:pPr>
          </w:p>
        </w:tc>
        <w:tc>
          <w:tcPr>
            <w:tcW w:w="1045" w:type="pct"/>
          </w:tcPr>
          <w:p>
            <w:pPr>
              <w:pStyle w:val="49"/>
              <w:jc w:val="left"/>
              <w:rPr>
                <w:rFonts w:ascii="Times New Roman"/>
                <w:color w:val="000000"/>
              </w:rPr>
            </w:pPr>
          </w:p>
        </w:tc>
        <w:tc>
          <w:tcPr>
            <w:tcW w:w="1548" w:type="pct"/>
          </w:tcPr>
          <w:p>
            <w:pPr>
              <w:pStyle w:val="49"/>
              <w:jc w:val="left"/>
              <w:rPr>
                <w:rFonts w:ascii="Times New Roman"/>
                <w:color w:val="000000"/>
              </w:rPr>
            </w:pPr>
          </w:p>
        </w:tc>
        <w:tc>
          <w:tcPr>
            <w:tcW w:w="688" w:type="pct"/>
          </w:tcPr>
          <w:p>
            <w:pPr>
              <w:pStyle w:val="49"/>
              <w:jc w:val="left"/>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12" w:type="pct"/>
          </w:tcPr>
          <w:p>
            <w:pPr>
              <w:pStyle w:val="49"/>
              <w:jc w:val="left"/>
              <w:rPr>
                <w:rFonts w:ascii="Times New Roman"/>
                <w:color w:val="000000"/>
              </w:rPr>
            </w:pPr>
          </w:p>
        </w:tc>
        <w:tc>
          <w:tcPr>
            <w:tcW w:w="1205" w:type="pct"/>
          </w:tcPr>
          <w:p>
            <w:pPr>
              <w:pStyle w:val="49"/>
              <w:jc w:val="left"/>
              <w:rPr>
                <w:rFonts w:ascii="Times New Roman"/>
                <w:color w:val="000000"/>
              </w:rPr>
            </w:pPr>
          </w:p>
        </w:tc>
        <w:tc>
          <w:tcPr>
            <w:tcW w:w="1045" w:type="pct"/>
          </w:tcPr>
          <w:p>
            <w:pPr>
              <w:pStyle w:val="49"/>
              <w:jc w:val="left"/>
              <w:rPr>
                <w:rFonts w:ascii="Times New Roman"/>
                <w:color w:val="000000"/>
              </w:rPr>
            </w:pPr>
          </w:p>
        </w:tc>
        <w:tc>
          <w:tcPr>
            <w:tcW w:w="1548" w:type="pct"/>
          </w:tcPr>
          <w:p>
            <w:pPr>
              <w:pStyle w:val="49"/>
              <w:jc w:val="left"/>
              <w:rPr>
                <w:rFonts w:ascii="Times New Roman"/>
                <w:color w:val="000000"/>
              </w:rPr>
            </w:pPr>
          </w:p>
        </w:tc>
        <w:tc>
          <w:tcPr>
            <w:tcW w:w="688" w:type="pct"/>
          </w:tcPr>
          <w:p>
            <w:pPr>
              <w:pStyle w:val="49"/>
              <w:jc w:val="left"/>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12" w:type="pct"/>
          </w:tcPr>
          <w:p>
            <w:pPr>
              <w:pStyle w:val="49"/>
              <w:jc w:val="left"/>
              <w:rPr>
                <w:rFonts w:ascii="Times New Roman"/>
                <w:color w:val="000000"/>
              </w:rPr>
            </w:pPr>
          </w:p>
        </w:tc>
        <w:tc>
          <w:tcPr>
            <w:tcW w:w="1205" w:type="pct"/>
          </w:tcPr>
          <w:p>
            <w:pPr>
              <w:pStyle w:val="49"/>
              <w:jc w:val="left"/>
              <w:rPr>
                <w:rFonts w:ascii="Times New Roman"/>
                <w:color w:val="000000"/>
              </w:rPr>
            </w:pPr>
          </w:p>
        </w:tc>
        <w:tc>
          <w:tcPr>
            <w:tcW w:w="1045" w:type="pct"/>
          </w:tcPr>
          <w:p>
            <w:pPr>
              <w:pStyle w:val="49"/>
              <w:jc w:val="left"/>
              <w:rPr>
                <w:rFonts w:ascii="Times New Roman"/>
                <w:color w:val="000000"/>
              </w:rPr>
            </w:pPr>
          </w:p>
        </w:tc>
        <w:tc>
          <w:tcPr>
            <w:tcW w:w="1548" w:type="pct"/>
          </w:tcPr>
          <w:p>
            <w:pPr>
              <w:pStyle w:val="49"/>
              <w:jc w:val="left"/>
              <w:rPr>
                <w:rFonts w:ascii="Times New Roman"/>
                <w:color w:val="000000"/>
              </w:rPr>
            </w:pPr>
          </w:p>
        </w:tc>
        <w:tc>
          <w:tcPr>
            <w:tcW w:w="688" w:type="pct"/>
          </w:tcPr>
          <w:p>
            <w:pPr>
              <w:pStyle w:val="49"/>
              <w:jc w:val="left"/>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512" w:type="pct"/>
          </w:tcPr>
          <w:p>
            <w:pPr>
              <w:pStyle w:val="49"/>
              <w:jc w:val="left"/>
              <w:rPr>
                <w:rFonts w:ascii="Times New Roman"/>
                <w:color w:val="000000"/>
              </w:rPr>
            </w:pPr>
          </w:p>
        </w:tc>
        <w:tc>
          <w:tcPr>
            <w:tcW w:w="1205" w:type="pct"/>
          </w:tcPr>
          <w:p>
            <w:pPr>
              <w:pStyle w:val="49"/>
              <w:jc w:val="left"/>
              <w:rPr>
                <w:rFonts w:ascii="Times New Roman"/>
                <w:color w:val="000000"/>
              </w:rPr>
            </w:pPr>
          </w:p>
        </w:tc>
        <w:tc>
          <w:tcPr>
            <w:tcW w:w="1045" w:type="pct"/>
          </w:tcPr>
          <w:p>
            <w:pPr>
              <w:pStyle w:val="49"/>
              <w:jc w:val="left"/>
              <w:rPr>
                <w:rFonts w:ascii="Times New Roman"/>
                <w:color w:val="000000"/>
              </w:rPr>
            </w:pPr>
          </w:p>
        </w:tc>
        <w:tc>
          <w:tcPr>
            <w:tcW w:w="1548" w:type="pct"/>
          </w:tcPr>
          <w:p>
            <w:pPr>
              <w:pStyle w:val="49"/>
              <w:jc w:val="left"/>
              <w:rPr>
                <w:rFonts w:ascii="Times New Roman"/>
                <w:color w:val="000000"/>
              </w:rPr>
            </w:pPr>
          </w:p>
        </w:tc>
        <w:tc>
          <w:tcPr>
            <w:tcW w:w="688" w:type="pct"/>
          </w:tcPr>
          <w:p>
            <w:pPr>
              <w:pStyle w:val="49"/>
              <w:jc w:val="left"/>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12" w:type="pct"/>
          </w:tcPr>
          <w:p>
            <w:pPr>
              <w:pStyle w:val="49"/>
              <w:jc w:val="left"/>
              <w:rPr>
                <w:rFonts w:ascii="Times New Roman"/>
                <w:color w:val="000000"/>
              </w:rPr>
            </w:pPr>
          </w:p>
        </w:tc>
        <w:tc>
          <w:tcPr>
            <w:tcW w:w="1205" w:type="pct"/>
          </w:tcPr>
          <w:p>
            <w:pPr>
              <w:pStyle w:val="49"/>
              <w:jc w:val="left"/>
              <w:rPr>
                <w:rFonts w:ascii="Times New Roman"/>
                <w:color w:val="000000"/>
              </w:rPr>
            </w:pPr>
          </w:p>
        </w:tc>
        <w:tc>
          <w:tcPr>
            <w:tcW w:w="1045" w:type="pct"/>
          </w:tcPr>
          <w:p>
            <w:pPr>
              <w:pStyle w:val="49"/>
              <w:jc w:val="left"/>
              <w:rPr>
                <w:rFonts w:ascii="Times New Roman"/>
                <w:color w:val="000000"/>
              </w:rPr>
            </w:pPr>
          </w:p>
        </w:tc>
        <w:tc>
          <w:tcPr>
            <w:tcW w:w="1548" w:type="pct"/>
          </w:tcPr>
          <w:p>
            <w:pPr>
              <w:pStyle w:val="49"/>
              <w:jc w:val="left"/>
              <w:rPr>
                <w:rFonts w:ascii="Times New Roman"/>
                <w:color w:val="000000"/>
              </w:rPr>
            </w:pPr>
          </w:p>
        </w:tc>
        <w:tc>
          <w:tcPr>
            <w:tcW w:w="688" w:type="pct"/>
          </w:tcPr>
          <w:p>
            <w:pPr>
              <w:pStyle w:val="49"/>
              <w:jc w:val="left"/>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12" w:type="pct"/>
          </w:tcPr>
          <w:p>
            <w:pPr>
              <w:pStyle w:val="49"/>
              <w:jc w:val="left"/>
              <w:rPr>
                <w:rFonts w:ascii="Times New Roman"/>
                <w:color w:val="000000"/>
              </w:rPr>
            </w:pPr>
          </w:p>
        </w:tc>
        <w:tc>
          <w:tcPr>
            <w:tcW w:w="1205" w:type="pct"/>
          </w:tcPr>
          <w:p>
            <w:pPr>
              <w:pStyle w:val="49"/>
              <w:jc w:val="left"/>
              <w:rPr>
                <w:rFonts w:ascii="Times New Roman"/>
                <w:color w:val="000000"/>
              </w:rPr>
            </w:pPr>
          </w:p>
        </w:tc>
        <w:tc>
          <w:tcPr>
            <w:tcW w:w="1045" w:type="pct"/>
          </w:tcPr>
          <w:p>
            <w:pPr>
              <w:pStyle w:val="49"/>
              <w:jc w:val="left"/>
              <w:rPr>
                <w:rFonts w:ascii="Times New Roman"/>
                <w:color w:val="000000"/>
              </w:rPr>
            </w:pPr>
          </w:p>
        </w:tc>
        <w:tc>
          <w:tcPr>
            <w:tcW w:w="1548" w:type="pct"/>
          </w:tcPr>
          <w:p>
            <w:pPr>
              <w:pStyle w:val="49"/>
              <w:jc w:val="left"/>
              <w:rPr>
                <w:rFonts w:ascii="Times New Roman"/>
                <w:color w:val="000000"/>
              </w:rPr>
            </w:pPr>
          </w:p>
        </w:tc>
        <w:tc>
          <w:tcPr>
            <w:tcW w:w="688" w:type="pct"/>
          </w:tcPr>
          <w:p>
            <w:pPr>
              <w:pStyle w:val="49"/>
              <w:jc w:val="left"/>
              <w:rPr>
                <w:rFonts w:ascii="Times New Roman"/>
                <w:color w:val="000000"/>
              </w:rPr>
            </w:pPr>
          </w:p>
        </w:tc>
      </w:tr>
    </w:tbl>
    <w:p>
      <w:pPr>
        <w:pStyle w:val="22"/>
        <w:rPr>
          <w:color w:val="000000"/>
          <w:sz w:val="22"/>
          <w:szCs w:val="20"/>
        </w:rPr>
      </w:pPr>
      <w:bookmarkStart w:id="98" w:name="_Toc3768"/>
      <w:bookmarkStart w:id="99" w:name="_Toc14521"/>
      <w:r>
        <w:rPr>
          <w:color w:val="000000"/>
          <w:sz w:val="22"/>
          <w:szCs w:val="20"/>
        </w:rPr>
        <w:t xml:space="preserve">注：1. </w:t>
      </w:r>
      <w:r>
        <w:rPr>
          <w:rFonts w:hint="eastAsia"/>
          <w:color w:val="000000"/>
          <w:sz w:val="22"/>
          <w:szCs w:val="20"/>
        </w:rPr>
        <w:t>供应商</w:t>
      </w:r>
      <w:r>
        <w:rPr>
          <w:color w:val="000000"/>
          <w:sz w:val="22"/>
          <w:szCs w:val="20"/>
        </w:rPr>
        <w:t>的上述报价应包含了本</w:t>
      </w:r>
      <w:r>
        <w:rPr>
          <w:rFonts w:hint="eastAsia"/>
          <w:color w:val="000000"/>
          <w:sz w:val="22"/>
          <w:szCs w:val="20"/>
        </w:rPr>
        <w:t>磋商</w:t>
      </w:r>
      <w:r>
        <w:rPr>
          <w:color w:val="000000"/>
          <w:sz w:val="22"/>
          <w:szCs w:val="20"/>
        </w:rPr>
        <w:t>文件规定的所有工作内容，未能在此列举的工作内容</w:t>
      </w:r>
      <w:r>
        <w:rPr>
          <w:rFonts w:hint="eastAsia"/>
          <w:color w:val="000000"/>
          <w:sz w:val="22"/>
          <w:szCs w:val="20"/>
        </w:rPr>
        <w:t>，供应商</w:t>
      </w:r>
      <w:r>
        <w:rPr>
          <w:color w:val="000000"/>
          <w:sz w:val="22"/>
          <w:szCs w:val="20"/>
        </w:rPr>
        <w:t>认为已包含在此报价中，</w:t>
      </w:r>
      <w:r>
        <w:rPr>
          <w:rFonts w:hint="eastAsia"/>
          <w:color w:val="000000"/>
          <w:sz w:val="22"/>
          <w:szCs w:val="20"/>
        </w:rPr>
        <w:t>供应商成交</w:t>
      </w:r>
      <w:r>
        <w:rPr>
          <w:color w:val="000000"/>
          <w:sz w:val="22"/>
          <w:szCs w:val="20"/>
        </w:rPr>
        <w:t>后应完成包括上述项目在内的所有工作。</w:t>
      </w:r>
      <w:bookmarkEnd w:id="95"/>
      <w:bookmarkEnd w:id="96"/>
      <w:bookmarkEnd w:id="97"/>
      <w:bookmarkEnd w:id="98"/>
      <w:bookmarkEnd w:id="99"/>
    </w:p>
    <w:p>
      <w:pPr>
        <w:pStyle w:val="22"/>
        <w:rPr>
          <w:rFonts w:ascii="宋体" w:hAnsi="宋体" w:cs="宋体"/>
          <w:bCs/>
          <w:sz w:val="24"/>
        </w:rPr>
      </w:pPr>
      <w:bookmarkStart w:id="100" w:name="_Toc23610"/>
      <w:bookmarkStart w:id="101" w:name="_Toc30290"/>
      <w:bookmarkStart w:id="102" w:name="_Toc29335"/>
      <w:bookmarkStart w:id="103" w:name="_Toc6916"/>
      <w:bookmarkStart w:id="104" w:name="_Toc7338"/>
      <w:r>
        <w:rPr>
          <w:rFonts w:hint="eastAsia" w:ascii="宋体" w:hAnsi="宋体" w:cs="宋体"/>
          <w:bCs/>
          <w:sz w:val="24"/>
        </w:rPr>
        <w:t>供应商名称 ：</w:t>
      </w:r>
      <w:bookmarkEnd w:id="100"/>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w:t>
      </w:r>
      <w:r>
        <w:rPr>
          <w:rFonts w:hint="eastAsia" w:cs="宋体"/>
          <w:sz w:val="24"/>
        </w:rPr>
        <w:t>加盖公章</w:t>
      </w:r>
      <w:r>
        <w:rPr>
          <w:rFonts w:hint="eastAsia" w:ascii="宋体" w:hAnsi="宋体" w:cs="宋体"/>
          <w:sz w:val="24"/>
        </w:rPr>
        <w:t>）</w:t>
      </w:r>
      <w:bookmarkEnd w:id="101"/>
      <w:bookmarkEnd w:id="102"/>
      <w:bookmarkEnd w:id="103"/>
      <w:bookmarkEnd w:id="104"/>
    </w:p>
    <w:p>
      <w:pPr>
        <w:pStyle w:val="22"/>
        <w:rPr>
          <w:rFonts w:ascii="宋体" w:hAnsi="宋体" w:cs="宋体"/>
          <w:bCs/>
          <w:sz w:val="24"/>
        </w:rPr>
      </w:pPr>
      <w:bookmarkStart w:id="105" w:name="_Toc19020"/>
      <w:bookmarkStart w:id="106" w:name="_Toc29528"/>
      <w:bookmarkStart w:id="107" w:name="_Toc28865"/>
      <w:bookmarkStart w:id="108" w:name="_Toc9221"/>
      <w:bookmarkStart w:id="109" w:name="_Toc27222"/>
      <w:r>
        <w:rPr>
          <w:rFonts w:hint="eastAsia" w:ascii="宋体" w:hAnsi="宋体" w:cs="宋体"/>
          <w:sz w:val="24"/>
        </w:rPr>
        <w:t>法定代表人或其委托代理人</w:t>
      </w:r>
      <w:r>
        <w:rPr>
          <w:rFonts w:hint="eastAsia" w:ascii="宋体" w:hAnsi="宋体" w:cs="宋体"/>
          <w:bCs/>
          <w:sz w:val="24"/>
        </w:rPr>
        <w:t>：</w:t>
      </w:r>
      <w:bookmarkEnd w:id="105"/>
      <w:r>
        <w:rPr>
          <w:rFonts w:hint="eastAsia" w:ascii="宋体" w:hAnsi="宋体" w:cs="宋体"/>
          <w:sz w:val="24"/>
          <w:u w:val="single"/>
        </w:rPr>
        <w:t xml:space="preserve">                 </w:t>
      </w:r>
      <w:r>
        <w:rPr>
          <w:rFonts w:hint="eastAsia" w:ascii="宋体" w:hAnsi="宋体" w:cs="宋体"/>
          <w:sz w:val="24"/>
        </w:rPr>
        <w:t>（签字或盖章）</w:t>
      </w:r>
      <w:bookmarkEnd w:id="106"/>
      <w:bookmarkEnd w:id="107"/>
      <w:bookmarkEnd w:id="108"/>
      <w:bookmarkEnd w:id="109"/>
    </w:p>
    <w:p>
      <w:pPr>
        <w:pStyle w:val="22"/>
        <w:jc w:val="both"/>
        <w:rPr>
          <w:rFonts w:ascii="宋体" w:hAnsi="宋体"/>
          <w:b/>
          <w:bCs/>
          <w:sz w:val="36"/>
          <w:szCs w:val="36"/>
        </w:rPr>
      </w:pPr>
      <w:bookmarkStart w:id="110" w:name="_Toc32456"/>
      <w:bookmarkStart w:id="111" w:name="_Toc7022"/>
      <w:bookmarkStart w:id="112" w:name="_Toc5824"/>
      <w:bookmarkStart w:id="113" w:name="_Toc5929"/>
      <w:bookmarkStart w:id="114" w:name="_Toc8118"/>
      <w:r>
        <w:rPr>
          <w:rFonts w:hint="eastAsia" w:ascii="宋体" w:hAnsi="宋体" w:cs="宋体"/>
          <w:bCs/>
          <w:sz w:val="24"/>
        </w:rPr>
        <w:t>日期：</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 xml:space="preserve">月 </w:t>
      </w:r>
      <w:r>
        <w:rPr>
          <w:rFonts w:hint="eastAsia" w:ascii="宋体" w:hAnsi="宋体" w:cs="宋体"/>
          <w:bCs/>
          <w:sz w:val="24"/>
          <w:u w:val="single"/>
        </w:rPr>
        <w:t xml:space="preserve">      </w:t>
      </w:r>
      <w:r>
        <w:rPr>
          <w:rFonts w:hint="eastAsia" w:ascii="宋体" w:hAnsi="宋体" w:cs="宋体"/>
          <w:bCs/>
          <w:sz w:val="24"/>
        </w:rPr>
        <w:t>日</w:t>
      </w:r>
      <w:bookmarkEnd w:id="110"/>
      <w:bookmarkEnd w:id="111"/>
      <w:bookmarkEnd w:id="112"/>
      <w:bookmarkEnd w:id="113"/>
      <w:bookmarkEnd w:id="114"/>
    </w:p>
    <w:p>
      <w:pPr>
        <w:rPr>
          <w:rFonts w:cs="宋体" w:asciiTheme="minorEastAsia" w:hAnsiTheme="minorEastAsia" w:eastAsiaTheme="minorEastAsia"/>
          <w:b/>
          <w:color w:val="000000" w:themeColor="text1"/>
          <w:sz w:val="30"/>
          <w:szCs w:val="30"/>
          <w14:textFill>
            <w14:solidFill>
              <w14:schemeClr w14:val="tx1"/>
            </w14:solidFill>
          </w14:textFill>
        </w:rPr>
      </w:pPr>
      <w:r>
        <w:rPr>
          <w:rFonts w:hint="eastAsia" w:cs="宋体" w:asciiTheme="minorEastAsia" w:hAnsiTheme="minorEastAsia" w:eastAsiaTheme="minorEastAsia"/>
          <w:b/>
          <w:color w:val="000000" w:themeColor="text1"/>
          <w:sz w:val="30"/>
          <w:szCs w:val="30"/>
          <w14:textFill>
            <w14:solidFill>
              <w14:schemeClr w14:val="tx1"/>
            </w14:solidFill>
          </w14:textFill>
        </w:rPr>
        <w:br w:type="page"/>
      </w:r>
    </w:p>
    <w:p>
      <w:pPr>
        <w:spacing w:line="500" w:lineRule="exact"/>
        <w:jc w:val="center"/>
        <w:rPr>
          <w:rFonts w:cs="宋体" w:asciiTheme="minorEastAsia" w:hAnsiTheme="minorEastAsia" w:eastAsiaTheme="minorEastAsia"/>
          <w:b/>
          <w:color w:val="000000" w:themeColor="text1"/>
          <w:sz w:val="30"/>
          <w:szCs w:val="30"/>
          <w14:textFill>
            <w14:solidFill>
              <w14:schemeClr w14:val="tx1"/>
            </w14:solidFill>
          </w14:textFill>
        </w:rPr>
      </w:pPr>
      <w:r>
        <w:rPr>
          <w:rFonts w:hint="eastAsia" w:cs="宋体" w:asciiTheme="minorEastAsia" w:hAnsiTheme="minorEastAsia" w:eastAsiaTheme="minorEastAsia"/>
          <w:b/>
          <w:color w:val="000000" w:themeColor="text1"/>
          <w:sz w:val="30"/>
          <w:szCs w:val="30"/>
          <w14:textFill>
            <w14:solidFill>
              <w14:schemeClr w14:val="tx1"/>
            </w14:solidFill>
          </w14:textFill>
        </w:rPr>
        <w:t>附件：商务偏离表</w:t>
      </w:r>
    </w:p>
    <w:p>
      <w:pPr>
        <w:spacing w:line="680" w:lineRule="exact"/>
        <w:rPr>
          <w:rFonts w:cs="宋体" w:asciiTheme="minorEastAsia" w:hAnsiTheme="minorEastAsia" w:eastAsiaTheme="minorEastAsia"/>
          <w:color w:val="000000" w:themeColor="text1"/>
          <w:u w:val="single"/>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（供应商）名称：（加盖公章）           项目编号：</w:t>
      </w:r>
    </w:p>
    <w:tbl>
      <w:tblPr>
        <w:tblStyle w:val="25"/>
        <w:tblW w:w="9486"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168"/>
        <w:gridCol w:w="2168"/>
        <w:gridCol w:w="2168"/>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814" w:type="dxa"/>
            <w:vAlign w:val="center"/>
          </w:tcPr>
          <w:p>
            <w:pPr>
              <w:spacing w:line="42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序号</w:t>
            </w:r>
          </w:p>
        </w:tc>
        <w:tc>
          <w:tcPr>
            <w:tcW w:w="2168" w:type="dxa"/>
            <w:vAlign w:val="center"/>
          </w:tcPr>
          <w:p>
            <w:pPr>
              <w:spacing w:line="42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竞争性磋商文件要求</w:t>
            </w:r>
          </w:p>
        </w:tc>
        <w:tc>
          <w:tcPr>
            <w:tcW w:w="2168" w:type="dxa"/>
            <w:vAlign w:val="center"/>
          </w:tcPr>
          <w:p>
            <w:pPr>
              <w:spacing w:line="42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报价文件实际情况</w:t>
            </w:r>
          </w:p>
        </w:tc>
        <w:tc>
          <w:tcPr>
            <w:tcW w:w="2168" w:type="dxa"/>
            <w:vAlign w:val="center"/>
          </w:tcPr>
          <w:p>
            <w:pPr>
              <w:spacing w:line="42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偏差内容</w:t>
            </w:r>
          </w:p>
        </w:tc>
        <w:tc>
          <w:tcPr>
            <w:tcW w:w="2168" w:type="dxa"/>
            <w:vAlign w:val="center"/>
          </w:tcPr>
          <w:p>
            <w:pPr>
              <w:spacing w:line="42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说明（正偏离/负偏离/无偏离）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814"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c>
          <w:tcPr>
            <w:tcW w:w="2168"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c>
          <w:tcPr>
            <w:tcW w:w="2168"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c>
          <w:tcPr>
            <w:tcW w:w="2168"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c>
          <w:tcPr>
            <w:tcW w:w="2168"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814"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c>
          <w:tcPr>
            <w:tcW w:w="2168"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c>
          <w:tcPr>
            <w:tcW w:w="2168"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c>
          <w:tcPr>
            <w:tcW w:w="2168"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c>
          <w:tcPr>
            <w:tcW w:w="2168"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814"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c>
          <w:tcPr>
            <w:tcW w:w="2168"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c>
          <w:tcPr>
            <w:tcW w:w="2168"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c>
          <w:tcPr>
            <w:tcW w:w="2168"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c>
          <w:tcPr>
            <w:tcW w:w="2168"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r>
    </w:tbl>
    <w:p>
      <w:pPr>
        <w:spacing w:line="360" w:lineRule="auto"/>
        <w:textAlignment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注：</w:t>
      </w:r>
      <w:r>
        <w:rPr>
          <w:rFonts w:hint="eastAsia" w:cs="宋体" w:asciiTheme="minorEastAsia" w:hAnsiTheme="minorEastAsia" w:eastAsiaTheme="minorEastAsia"/>
          <w:color w:val="000000" w:themeColor="text1"/>
          <w14:textFill>
            <w14:solidFill>
              <w14:schemeClr w14:val="tx1"/>
            </w14:solidFill>
          </w14:textFill>
        </w:rPr>
        <w:t>1.如供应商在响应表中无注明，报价文件与竞争性磋商文件不一致或差异，以竞争性磋商文件为准。</w:t>
      </w:r>
    </w:p>
    <w:p>
      <w:pPr>
        <w:spacing w:line="360" w:lineRule="auto"/>
        <w:ind w:firstLine="422" w:firstLineChars="200"/>
        <w:textAlignment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2.商务响应中交货期、付款方式等条款的负偏离视为不响应竞争性磋商文件的实质性要求。</w:t>
      </w:r>
    </w:p>
    <w:p>
      <w:pPr>
        <w:pStyle w:val="44"/>
        <w:ind w:firstLine="566"/>
        <w:rPr>
          <w:b/>
          <w:sz w:val="28"/>
          <w:szCs w:val="28"/>
        </w:rPr>
      </w:pPr>
    </w:p>
    <w:p/>
    <w:p>
      <w:pPr>
        <w:rPr>
          <w:b/>
          <w:bCs/>
          <w:sz w:val="24"/>
        </w:rPr>
      </w:pPr>
      <w:r>
        <w:rPr>
          <w:rFonts w:hint="eastAsia"/>
          <w:b/>
          <w:bCs/>
          <w:sz w:val="28"/>
          <w:szCs w:val="28"/>
        </w:rPr>
        <w:br w:type="page"/>
      </w:r>
    </w:p>
    <w:p>
      <w:pPr>
        <w:numPr>
          <w:ilvl w:val="0"/>
          <w:numId w:val="8"/>
        </w:numPr>
        <w:spacing w:line="360" w:lineRule="auto"/>
        <w:jc w:val="center"/>
        <w:rPr>
          <w:b/>
          <w:bCs/>
          <w:sz w:val="24"/>
        </w:rPr>
      </w:pPr>
      <w:r>
        <w:rPr>
          <w:rFonts w:hint="eastAsia"/>
          <w:b/>
          <w:bCs/>
          <w:sz w:val="28"/>
          <w:szCs w:val="28"/>
        </w:rPr>
        <w:t>供货方案</w:t>
      </w:r>
    </w:p>
    <w:p>
      <w:pPr>
        <w:spacing w:line="500" w:lineRule="exact"/>
        <w:jc w:val="center"/>
        <w:rPr>
          <w:b/>
          <w:bCs/>
          <w:sz w:val="28"/>
          <w:szCs w:val="28"/>
        </w:rPr>
      </w:pPr>
      <w:r>
        <w:rPr>
          <w:rFonts w:hint="eastAsia"/>
          <w:b/>
          <w:bCs/>
          <w:sz w:val="28"/>
          <w:szCs w:val="28"/>
        </w:rPr>
        <w:t>（格式自拟）</w:t>
      </w:r>
    </w:p>
    <w:p>
      <w:pPr>
        <w:rPr>
          <w:b/>
          <w:bCs/>
          <w:sz w:val="28"/>
          <w:szCs w:val="28"/>
        </w:rPr>
      </w:pPr>
      <w:r>
        <w:rPr>
          <w:rFonts w:hint="eastAsia"/>
          <w:b/>
          <w:bCs/>
          <w:sz w:val="28"/>
          <w:szCs w:val="28"/>
        </w:rPr>
        <w:br w:type="page"/>
      </w:r>
    </w:p>
    <w:p>
      <w:pPr>
        <w:spacing w:line="500" w:lineRule="exact"/>
        <w:jc w:val="center"/>
        <w:rPr>
          <w:rFonts w:cs="宋体" w:asciiTheme="minorEastAsia" w:hAnsiTheme="minorEastAsia" w:eastAsiaTheme="minorEastAsia"/>
          <w:b/>
          <w:color w:val="000000" w:themeColor="text1"/>
          <w:sz w:val="30"/>
          <w:szCs w:val="30"/>
          <w14:textFill>
            <w14:solidFill>
              <w14:schemeClr w14:val="tx1"/>
            </w14:solidFill>
          </w14:textFill>
        </w:rPr>
      </w:pPr>
      <w:r>
        <w:rPr>
          <w:rFonts w:hint="eastAsia" w:cs="宋体" w:asciiTheme="minorEastAsia" w:hAnsiTheme="minorEastAsia" w:eastAsiaTheme="minorEastAsia"/>
          <w:b/>
          <w:color w:val="000000" w:themeColor="text1"/>
          <w:sz w:val="30"/>
          <w:szCs w:val="30"/>
          <w14:textFill>
            <w14:solidFill>
              <w14:schemeClr w14:val="tx1"/>
            </w14:solidFill>
          </w14:textFill>
        </w:rPr>
        <w:t>附件：技术偏离表</w:t>
      </w:r>
    </w:p>
    <w:p>
      <w:pPr>
        <w:spacing w:line="680" w:lineRule="exact"/>
        <w:rPr>
          <w:rFonts w:cs="宋体" w:asciiTheme="minorEastAsia" w:hAnsiTheme="minorEastAsia" w:eastAsiaTheme="minorEastAsia"/>
          <w:color w:val="000000" w:themeColor="text1"/>
          <w:u w:val="single"/>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（供应商）名称：（加盖公章）           项目编号：</w:t>
      </w:r>
    </w:p>
    <w:tbl>
      <w:tblPr>
        <w:tblStyle w:val="25"/>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042"/>
        <w:gridCol w:w="2297"/>
        <w:gridCol w:w="2042"/>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67" w:type="dxa"/>
            <w:vAlign w:val="center"/>
          </w:tcPr>
          <w:p>
            <w:pPr>
              <w:spacing w:line="42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序号</w:t>
            </w:r>
          </w:p>
        </w:tc>
        <w:tc>
          <w:tcPr>
            <w:tcW w:w="2042" w:type="dxa"/>
            <w:vAlign w:val="center"/>
          </w:tcPr>
          <w:p>
            <w:pPr>
              <w:spacing w:line="42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竞争性磋商文件要求</w:t>
            </w:r>
          </w:p>
        </w:tc>
        <w:tc>
          <w:tcPr>
            <w:tcW w:w="2297" w:type="dxa"/>
            <w:vAlign w:val="center"/>
          </w:tcPr>
          <w:p>
            <w:pPr>
              <w:spacing w:line="42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报价文件实际情况</w:t>
            </w:r>
          </w:p>
        </w:tc>
        <w:tc>
          <w:tcPr>
            <w:tcW w:w="2042" w:type="dxa"/>
            <w:vAlign w:val="center"/>
          </w:tcPr>
          <w:p>
            <w:pPr>
              <w:spacing w:line="42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偏差内容</w:t>
            </w:r>
          </w:p>
        </w:tc>
        <w:tc>
          <w:tcPr>
            <w:tcW w:w="2042" w:type="dxa"/>
            <w:vAlign w:val="center"/>
          </w:tcPr>
          <w:p>
            <w:pPr>
              <w:spacing w:line="42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说明（正偏离/负偏离/无偏离）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67"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c>
          <w:tcPr>
            <w:tcW w:w="2042"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c>
          <w:tcPr>
            <w:tcW w:w="2297"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c>
          <w:tcPr>
            <w:tcW w:w="2042"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c>
          <w:tcPr>
            <w:tcW w:w="2042"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67"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c>
          <w:tcPr>
            <w:tcW w:w="2042"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c>
          <w:tcPr>
            <w:tcW w:w="2297"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c>
          <w:tcPr>
            <w:tcW w:w="2042"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c>
          <w:tcPr>
            <w:tcW w:w="2042"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67"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c>
          <w:tcPr>
            <w:tcW w:w="2042"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c>
          <w:tcPr>
            <w:tcW w:w="2297"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c>
          <w:tcPr>
            <w:tcW w:w="2042"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c>
          <w:tcPr>
            <w:tcW w:w="2042" w:type="dxa"/>
          </w:tcPr>
          <w:p>
            <w:pPr>
              <w:spacing w:line="680" w:lineRule="exact"/>
              <w:rPr>
                <w:rFonts w:cs="宋体" w:asciiTheme="minorEastAsia" w:hAnsiTheme="minorEastAsia" w:eastAsiaTheme="minorEastAsia"/>
                <w:color w:val="000000" w:themeColor="text1"/>
                <w14:textFill>
                  <w14:solidFill>
                    <w14:schemeClr w14:val="tx1"/>
                  </w14:solidFill>
                </w14:textFill>
              </w:rPr>
            </w:pPr>
          </w:p>
        </w:tc>
      </w:tr>
    </w:tbl>
    <w:p>
      <w:pPr>
        <w:spacing w:line="360" w:lineRule="auto"/>
        <w:textAlignment w:val="center"/>
        <w:rPr>
          <w:rFonts w:cs="宋体" w:asciiTheme="minorEastAsia" w:hAnsiTheme="minorEastAsia" w:eastAsiaTheme="minorEastAsia"/>
          <w:b/>
          <w:color w:val="000000" w:themeColor="text1"/>
          <w14:textFill>
            <w14:solidFill>
              <w14:schemeClr w14:val="tx1"/>
            </w14:solidFill>
          </w14:textFill>
        </w:rPr>
      </w:pPr>
    </w:p>
    <w:p>
      <w:pPr>
        <w:spacing w:line="360" w:lineRule="auto"/>
        <w:textAlignment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注：</w:t>
      </w:r>
      <w:r>
        <w:rPr>
          <w:rFonts w:hint="eastAsia" w:cs="宋体" w:asciiTheme="minorEastAsia" w:hAnsiTheme="minorEastAsia" w:eastAsiaTheme="minorEastAsia"/>
          <w:color w:val="000000" w:themeColor="text1"/>
          <w14:textFill>
            <w14:solidFill>
              <w14:schemeClr w14:val="tx1"/>
            </w14:solidFill>
          </w14:textFill>
        </w:rPr>
        <w:t>1.即使供应商在技术文件描述中进行了描述或无偏离，也要提报该表。如无偏离，应注明“无”。</w:t>
      </w:r>
    </w:p>
    <w:p>
      <w:pPr>
        <w:spacing w:line="400" w:lineRule="atLeast"/>
        <w:ind w:left="-181" w:leftChars="-86" w:firstLine="522" w:firstLineChars="248"/>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2.如供应商在响应表中无注明，报价文件与竞争性磋商文件不一致或差异，以竞争性磋商文件为准。</w:t>
      </w:r>
    </w:p>
    <w:p>
      <w:pPr>
        <w:tabs>
          <w:tab w:val="left" w:pos="1507"/>
        </w:tabs>
        <w:spacing w:line="360" w:lineRule="auto"/>
        <w:jc w:val="center"/>
        <w:rPr>
          <w:b/>
          <w:sz w:val="24"/>
        </w:rPr>
      </w:pPr>
      <w:r>
        <w:rPr>
          <w:sz w:val="24"/>
        </w:rPr>
        <w:br w:type="page"/>
      </w:r>
      <w:r>
        <w:rPr>
          <w:rFonts w:hint="eastAsia" w:eastAsia="仿宋_GB2312"/>
          <w:b/>
          <w:sz w:val="28"/>
          <w:szCs w:val="28"/>
        </w:rPr>
        <w:t>六</w:t>
      </w:r>
      <w:r>
        <w:rPr>
          <w:b/>
          <w:sz w:val="28"/>
          <w:szCs w:val="28"/>
        </w:rPr>
        <w:t>、资格审查资料</w:t>
      </w:r>
    </w:p>
    <w:p>
      <w:pPr>
        <w:tabs>
          <w:tab w:val="left" w:pos="1507"/>
        </w:tabs>
        <w:spacing w:line="360" w:lineRule="auto"/>
        <w:rPr>
          <w:b/>
          <w:sz w:val="24"/>
        </w:rPr>
      </w:pPr>
      <w:r>
        <w:rPr>
          <w:sz w:val="24"/>
        </w:rPr>
        <w:t xml:space="preserve"> </w:t>
      </w:r>
      <w:r>
        <w:rPr>
          <w:b/>
          <w:sz w:val="24"/>
        </w:rPr>
        <w:t>（一）</w:t>
      </w:r>
      <w:r>
        <w:rPr>
          <w:rFonts w:hint="eastAsia"/>
          <w:b/>
          <w:sz w:val="24"/>
        </w:rPr>
        <w:t>供应商</w:t>
      </w:r>
      <w:r>
        <w:rPr>
          <w:b/>
          <w:sz w:val="24"/>
        </w:rPr>
        <w:t>基本情况表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131"/>
        <w:gridCol w:w="1217"/>
        <w:gridCol w:w="1236"/>
        <w:gridCol w:w="1236"/>
        <w:gridCol w:w="1026"/>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6" w:type="dxa"/>
            <w:vAlign w:val="center"/>
          </w:tcPr>
          <w:p>
            <w:pPr>
              <w:tabs>
                <w:tab w:val="left" w:pos="1507"/>
              </w:tabs>
              <w:spacing w:line="360" w:lineRule="auto"/>
              <w:jc w:val="center"/>
              <w:rPr>
                <w:sz w:val="24"/>
              </w:rPr>
            </w:pPr>
            <w:r>
              <w:rPr>
                <w:rFonts w:hint="eastAsia"/>
                <w:sz w:val="24"/>
              </w:rPr>
              <w:t>供应商</w:t>
            </w:r>
            <w:r>
              <w:rPr>
                <w:sz w:val="24"/>
              </w:rPr>
              <w:t>名称</w:t>
            </w:r>
          </w:p>
        </w:tc>
        <w:tc>
          <w:tcPr>
            <w:tcW w:w="7064" w:type="dxa"/>
            <w:gridSpan w:val="6"/>
            <w:vAlign w:val="center"/>
          </w:tcPr>
          <w:p>
            <w:pPr>
              <w:tabs>
                <w:tab w:val="left" w:pos="1507"/>
              </w:tabs>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6" w:type="dxa"/>
            <w:vAlign w:val="center"/>
          </w:tcPr>
          <w:p>
            <w:pPr>
              <w:tabs>
                <w:tab w:val="left" w:pos="1507"/>
              </w:tabs>
              <w:spacing w:line="360" w:lineRule="auto"/>
              <w:jc w:val="center"/>
              <w:rPr>
                <w:sz w:val="24"/>
              </w:rPr>
            </w:pPr>
            <w:r>
              <w:rPr>
                <w:sz w:val="24"/>
              </w:rPr>
              <w:t>注册地址</w:t>
            </w:r>
          </w:p>
        </w:tc>
        <w:tc>
          <w:tcPr>
            <w:tcW w:w="3584" w:type="dxa"/>
            <w:gridSpan w:val="3"/>
            <w:vAlign w:val="center"/>
          </w:tcPr>
          <w:p>
            <w:pPr>
              <w:tabs>
                <w:tab w:val="left" w:pos="1507"/>
              </w:tabs>
              <w:spacing w:line="360" w:lineRule="auto"/>
              <w:jc w:val="center"/>
              <w:rPr>
                <w:sz w:val="24"/>
              </w:rPr>
            </w:pPr>
          </w:p>
        </w:tc>
        <w:tc>
          <w:tcPr>
            <w:tcW w:w="1236" w:type="dxa"/>
            <w:vAlign w:val="center"/>
          </w:tcPr>
          <w:p>
            <w:pPr>
              <w:tabs>
                <w:tab w:val="left" w:pos="1507"/>
              </w:tabs>
              <w:spacing w:line="360" w:lineRule="auto"/>
              <w:jc w:val="center"/>
              <w:rPr>
                <w:sz w:val="24"/>
              </w:rPr>
            </w:pPr>
            <w:r>
              <w:rPr>
                <w:sz w:val="24"/>
              </w:rPr>
              <w:t>邮政编码</w:t>
            </w:r>
          </w:p>
        </w:tc>
        <w:tc>
          <w:tcPr>
            <w:tcW w:w="2244" w:type="dxa"/>
            <w:gridSpan w:val="2"/>
            <w:vAlign w:val="center"/>
          </w:tcPr>
          <w:p>
            <w:pPr>
              <w:tabs>
                <w:tab w:val="left" w:pos="1507"/>
              </w:tabs>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6" w:type="dxa"/>
            <w:vMerge w:val="restart"/>
            <w:vAlign w:val="center"/>
          </w:tcPr>
          <w:p>
            <w:pPr>
              <w:tabs>
                <w:tab w:val="left" w:pos="1507"/>
              </w:tabs>
              <w:spacing w:line="360" w:lineRule="auto"/>
              <w:jc w:val="center"/>
              <w:rPr>
                <w:sz w:val="24"/>
              </w:rPr>
            </w:pPr>
            <w:r>
              <w:rPr>
                <w:sz w:val="24"/>
              </w:rPr>
              <w:t>联系方式</w:t>
            </w:r>
          </w:p>
        </w:tc>
        <w:tc>
          <w:tcPr>
            <w:tcW w:w="1131" w:type="dxa"/>
            <w:vAlign w:val="center"/>
          </w:tcPr>
          <w:p>
            <w:pPr>
              <w:tabs>
                <w:tab w:val="left" w:pos="1507"/>
              </w:tabs>
              <w:spacing w:line="360" w:lineRule="auto"/>
              <w:jc w:val="center"/>
              <w:rPr>
                <w:sz w:val="24"/>
              </w:rPr>
            </w:pPr>
            <w:r>
              <w:rPr>
                <w:sz w:val="24"/>
              </w:rPr>
              <w:t>联系人</w:t>
            </w:r>
          </w:p>
        </w:tc>
        <w:tc>
          <w:tcPr>
            <w:tcW w:w="2453" w:type="dxa"/>
            <w:gridSpan w:val="2"/>
            <w:vAlign w:val="center"/>
          </w:tcPr>
          <w:p>
            <w:pPr>
              <w:tabs>
                <w:tab w:val="left" w:pos="1507"/>
              </w:tabs>
              <w:spacing w:line="360" w:lineRule="auto"/>
              <w:jc w:val="center"/>
              <w:rPr>
                <w:sz w:val="24"/>
              </w:rPr>
            </w:pPr>
          </w:p>
        </w:tc>
        <w:tc>
          <w:tcPr>
            <w:tcW w:w="1236" w:type="dxa"/>
            <w:vAlign w:val="center"/>
          </w:tcPr>
          <w:p>
            <w:pPr>
              <w:tabs>
                <w:tab w:val="left" w:pos="1507"/>
              </w:tabs>
              <w:spacing w:line="360" w:lineRule="auto"/>
              <w:jc w:val="center"/>
              <w:rPr>
                <w:sz w:val="24"/>
              </w:rPr>
            </w:pPr>
            <w:r>
              <w:rPr>
                <w:sz w:val="24"/>
              </w:rPr>
              <w:t>电  话</w:t>
            </w:r>
          </w:p>
        </w:tc>
        <w:tc>
          <w:tcPr>
            <w:tcW w:w="2244" w:type="dxa"/>
            <w:gridSpan w:val="2"/>
            <w:vAlign w:val="center"/>
          </w:tcPr>
          <w:p>
            <w:pPr>
              <w:tabs>
                <w:tab w:val="left" w:pos="1507"/>
              </w:tabs>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6" w:type="dxa"/>
            <w:vMerge w:val="continue"/>
            <w:vAlign w:val="center"/>
          </w:tcPr>
          <w:p>
            <w:pPr>
              <w:tabs>
                <w:tab w:val="left" w:pos="1507"/>
              </w:tabs>
              <w:spacing w:line="360" w:lineRule="auto"/>
              <w:jc w:val="center"/>
              <w:rPr>
                <w:sz w:val="24"/>
              </w:rPr>
            </w:pPr>
          </w:p>
        </w:tc>
        <w:tc>
          <w:tcPr>
            <w:tcW w:w="1131" w:type="dxa"/>
            <w:vAlign w:val="center"/>
          </w:tcPr>
          <w:p>
            <w:pPr>
              <w:tabs>
                <w:tab w:val="left" w:pos="1507"/>
              </w:tabs>
              <w:spacing w:line="360" w:lineRule="auto"/>
              <w:jc w:val="center"/>
              <w:rPr>
                <w:sz w:val="24"/>
              </w:rPr>
            </w:pPr>
            <w:r>
              <w:rPr>
                <w:sz w:val="24"/>
              </w:rPr>
              <w:t>传  真</w:t>
            </w:r>
          </w:p>
        </w:tc>
        <w:tc>
          <w:tcPr>
            <w:tcW w:w="2453" w:type="dxa"/>
            <w:gridSpan w:val="2"/>
            <w:vAlign w:val="center"/>
          </w:tcPr>
          <w:p>
            <w:pPr>
              <w:tabs>
                <w:tab w:val="left" w:pos="1507"/>
              </w:tabs>
              <w:spacing w:line="360" w:lineRule="auto"/>
              <w:jc w:val="center"/>
              <w:rPr>
                <w:sz w:val="24"/>
              </w:rPr>
            </w:pPr>
          </w:p>
        </w:tc>
        <w:tc>
          <w:tcPr>
            <w:tcW w:w="1236" w:type="dxa"/>
            <w:vAlign w:val="center"/>
          </w:tcPr>
          <w:p>
            <w:pPr>
              <w:tabs>
                <w:tab w:val="left" w:pos="1507"/>
              </w:tabs>
              <w:spacing w:line="360" w:lineRule="auto"/>
              <w:jc w:val="center"/>
              <w:rPr>
                <w:sz w:val="24"/>
              </w:rPr>
            </w:pPr>
            <w:r>
              <w:rPr>
                <w:sz w:val="24"/>
              </w:rPr>
              <w:t>网  址</w:t>
            </w:r>
          </w:p>
        </w:tc>
        <w:tc>
          <w:tcPr>
            <w:tcW w:w="2244" w:type="dxa"/>
            <w:gridSpan w:val="2"/>
            <w:vAlign w:val="center"/>
          </w:tcPr>
          <w:p>
            <w:pPr>
              <w:tabs>
                <w:tab w:val="left" w:pos="1507"/>
              </w:tabs>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6" w:type="dxa"/>
            <w:vAlign w:val="center"/>
          </w:tcPr>
          <w:p>
            <w:pPr>
              <w:tabs>
                <w:tab w:val="left" w:pos="1507"/>
              </w:tabs>
              <w:spacing w:line="360" w:lineRule="auto"/>
              <w:jc w:val="center"/>
              <w:rPr>
                <w:sz w:val="24"/>
              </w:rPr>
            </w:pPr>
            <w:r>
              <w:rPr>
                <w:sz w:val="24"/>
              </w:rPr>
              <w:t>组织结构</w:t>
            </w:r>
          </w:p>
        </w:tc>
        <w:tc>
          <w:tcPr>
            <w:tcW w:w="7064" w:type="dxa"/>
            <w:gridSpan w:val="6"/>
            <w:vAlign w:val="center"/>
          </w:tcPr>
          <w:p>
            <w:pPr>
              <w:tabs>
                <w:tab w:val="left" w:pos="1507"/>
              </w:tabs>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6" w:type="dxa"/>
            <w:vAlign w:val="center"/>
          </w:tcPr>
          <w:p>
            <w:pPr>
              <w:tabs>
                <w:tab w:val="left" w:pos="1507"/>
              </w:tabs>
              <w:spacing w:line="360" w:lineRule="auto"/>
              <w:jc w:val="center"/>
              <w:rPr>
                <w:sz w:val="24"/>
              </w:rPr>
            </w:pPr>
            <w:r>
              <w:rPr>
                <w:sz w:val="24"/>
              </w:rPr>
              <w:t>法定代表人</w:t>
            </w:r>
          </w:p>
        </w:tc>
        <w:tc>
          <w:tcPr>
            <w:tcW w:w="1131" w:type="dxa"/>
            <w:vAlign w:val="center"/>
          </w:tcPr>
          <w:p>
            <w:pPr>
              <w:tabs>
                <w:tab w:val="left" w:pos="1507"/>
              </w:tabs>
              <w:spacing w:line="360" w:lineRule="auto"/>
              <w:jc w:val="center"/>
              <w:rPr>
                <w:sz w:val="24"/>
              </w:rPr>
            </w:pPr>
            <w:r>
              <w:rPr>
                <w:sz w:val="24"/>
              </w:rPr>
              <w:t>姓  名</w:t>
            </w:r>
          </w:p>
        </w:tc>
        <w:tc>
          <w:tcPr>
            <w:tcW w:w="1217" w:type="dxa"/>
            <w:vAlign w:val="center"/>
          </w:tcPr>
          <w:p>
            <w:pPr>
              <w:tabs>
                <w:tab w:val="left" w:pos="1507"/>
              </w:tabs>
              <w:spacing w:line="360" w:lineRule="auto"/>
              <w:jc w:val="center"/>
              <w:rPr>
                <w:sz w:val="24"/>
              </w:rPr>
            </w:pPr>
          </w:p>
        </w:tc>
        <w:tc>
          <w:tcPr>
            <w:tcW w:w="1236" w:type="dxa"/>
            <w:vAlign w:val="center"/>
          </w:tcPr>
          <w:p>
            <w:pPr>
              <w:tabs>
                <w:tab w:val="left" w:pos="1507"/>
              </w:tabs>
              <w:spacing w:line="360" w:lineRule="auto"/>
              <w:jc w:val="center"/>
              <w:rPr>
                <w:sz w:val="24"/>
              </w:rPr>
            </w:pPr>
            <w:r>
              <w:rPr>
                <w:sz w:val="24"/>
              </w:rPr>
              <w:t>技术职称</w:t>
            </w:r>
          </w:p>
        </w:tc>
        <w:tc>
          <w:tcPr>
            <w:tcW w:w="1236" w:type="dxa"/>
            <w:vAlign w:val="center"/>
          </w:tcPr>
          <w:p>
            <w:pPr>
              <w:tabs>
                <w:tab w:val="left" w:pos="1507"/>
              </w:tabs>
              <w:spacing w:line="360" w:lineRule="auto"/>
              <w:jc w:val="center"/>
              <w:rPr>
                <w:sz w:val="24"/>
              </w:rPr>
            </w:pPr>
          </w:p>
        </w:tc>
        <w:tc>
          <w:tcPr>
            <w:tcW w:w="1026" w:type="dxa"/>
            <w:vAlign w:val="center"/>
          </w:tcPr>
          <w:p>
            <w:pPr>
              <w:tabs>
                <w:tab w:val="left" w:pos="1507"/>
              </w:tabs>
              <w:spacing w:line="360" w:lineRule="auto"/>
              <w:jc w:val="center"/>
              <w:rPr>
                <w:sz w:val="24"/>
              </w:rPr>
            </w:pPr>
            <w:r>
              <w:rPr>
                <w:sz w:val="24"/>
              </w:rPr>
              <w:t>电  话</w:t>
            </w:r>
          </w:p>
        </w:tc>
        <w:tc>
          <w:tcPr>
            <w:tcW w:w="1218" w:type="dxa"/>
            <w:vAlign w:val="center"/>
          </w:tcPr>
          <w:p>
            <w:pPr>
              <w:tabs>
                <w:tab w:val="left" w:pos="1507"/>
              </w:tabs>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6" w:type="dxa"/>
            <w:vAlign w:val="center"/>
          </w:tcPr>
          <w:p>
            <w:pPr>
              <w:tabs>
                <w:tab w:val="left" w:pos="1507"/>
              </w:tabs>
              <w:spacing w:line="360" w:lineRule="auto"/>
              <w:jc w:val="center"/>
              <w:rPr>
                <w:sz w:val="24"/>
              </w:rPr>
            </w:pPr>
            <w:r>
              <w:rPr>
                <w:sz w:val="24"/>
              </w:rPr>
              <w:t>技术负责人</w:t>
            </w:r>
          </w:p>
        </w:tc>
        <w:tc>
          <w:tcPr>
            <w:tcW w:w="1131" w:type="dxa"/>
            <w:vAlign w:val="center"/>
          </w:tcPr>
          <w:p>
            <w:pPr>
              <w:tabs>
                <w:tab w:val="left" w:pos="1507"/>
              </w:tabs>
              <w:spacing w:line="360" w:lineRule="auto"/>
              <w:jc w:val="center"/>
              <w:rPr>
                <w:sz w:val="24"/>
              </w:rPr>
            </w:pPr>
            <w:r>
              <w:rPr>
                <w:sz w:val="24"/>
              </w:rPr>
              <w:t>姓  名</w:t>
            </w:r>
          </w:p>
        </w:tc>
        <w:tc>
          <w:tcPr>
            <w:tcW w:w="1217" w:type="dxa"/>
            <w:vAlign w:val="center"/>
          </w:tcPr>
          <w:p>
            <w:pPr>
              <w:tabs>
                <w:tab w:val="left" w:pos="1507"/>
              </w:tabs>
              <w:spacing w:line="360" w:lineRule="auto"/>
              <w:jc w:val="center"/>
              <w:rPr>
                <w:sz w:val="24"/>
              </w:rPr>
            </w:pPr>
          </w:p>
        </w:tc>
        <w:tc>
          <w:tcPr>
            <w:tcW w:w="1236" w:type="dxa"/>
            <w:vAlign w:val="center"/>
          </w:tcPr>
          <w:p>
            <w:pPr>
              <w:tabs>
                <w:tab w:val="left" w:pos="1507"/>
              </w:tabs>
              <w:spacing w:line="360" w:lineRule="auto"/>
              <w:jc w:val="center"/>
              <w:rPr>
                <w:sz w:val="24"/>
              </w:rPr>
            </w:pPr>
            <w:r>
              <w:rPr>
                <w:sz w:val="24"/>
              </w:rPr>
              <w:t>技术职称</w:t>
            </w:r>
          </w:p>
        </w:tc>
        <w:tc>
          <w:tcPr>
            <w:tcW w:w="1236" w:type="dxa"/>
            <w:vAlign w:val="center"/>
          </w:tcPr>
          <w:p>
            <w:pPr>
              <w:tabs>
                <w:tab w:val="left" w:pos="1507"/>
              </w:tabs>
              <w:spacing w:line="360" w:lineRule="auto"/>
              <w:jc w:val="center"/>
              <w:rPr>
                <w:sz w:val="24"/>
              </w:rPr>
            </w:pPr>
          </w:p>
        </w:tc>
        <w:tc>
          <w:tcPr>
            <w:tcW w:w="1026" w:type="dxa"/>
            <w:vAlign w:val="center"/>
          </w:tcPr>
          <w:p>
            <w:pPr>
              <w:tabs>
                <w:tab w:val="left" w:pos="1507"/>
              </w:tabs>
              <w:spacing w:line="360" w:lineRule="auto"/>
              <w:jc w:val="center"/>
              <w:rPr>
                <w:sz w:val="24"/>
              </w:rPr>
            </w:pPr>
            <w:r>
              <w:rPr>
                <w:sz w:val="24"/>
              </w:rPr>
              <w:t>电  话</w:t>
            </w:r>
          </w:p>
        </w:tc>
        <w:tc>
          <w:tcPr>
            <w:tcW w:w="1218" w:type="dxa"/>
            <w:vAlign w:val="center"/>
          </w:tcPr>
          <w:p>
            <w:pPr>
              <w:tabs>
                <w:tab w:val="left" w:pos="1507"/>
              </w:tabs>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6" w:type="dxa"/>
            <w:vAlign w:val="center"/>
          </w:tcPr>
          <w:p>
            <w:pPr>
              <w:tabs>
                <w:tab w:val="left" w:pos="1507"/>
              </w:tabs>
              <w:spacing w:line="360" w:lineRule="auto"/>
              <w:jc w:val="center"/>
              <w:rPr>
                <w:sz w:val="24"/>
              </w:rPr>
            </w:pPr>
            <w:r>
              <w:rPr>
                <w:sz w:val="24"/>
              </w:rPr>
              <w:t>成立时间</w:t>
            </w:r>
          </w:p>
        </w:tc>
        <w:tc>
          <w:tcPr>
            <w:tcW w:w="2348" w:type="dxa"/>
            <w:gridSpan w:val="2"/>
            <w:vAlign w:val="center"/>
          </w:tcPr>
          <w:p>
            <w:pPr>
              <w:tabs>
                <w:tab w:val="left" w:pos="1507"/>
              </w:tabs>
              <w:spacing w:line="360" w:lineRule="auto"/>
              <w:jc w:val="center"/>
              <w:rPr>
                <w:sz w:val="24"/>
              </w:rPr>
            </w:pPr>
          </w:p>
        </w:tc>
        <w:tc>
          <w:tcPr>
            <w:tcW w:w="4716" w:type="dxa"/>
            <w:gridSpan w:val="4"/>
            <w:vAlign w:val="center"/>
          </w:tcPr>
          <w:p>
            <w:pPr>
              <w:tabs>
                <w:tab w:val="left" w:pos="1507"/>
              </w:tabs>
              <w:spacing w:line="360" w:lineRule="auto"/>
              <w:jc w:val="center"/>
              <w:rPr>
                <w:sz w:val="24"/>
              </w:rPr>
            </w:pPr>
            <w:r>
              <w:rPr>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6" w:type="dxa"/>
            <w:vAlign w:val="center"/>
          </w:tcPr>
          <w:p>
            <w:pPr>
              <w:tabs>
                <w:tab w:val="left" w:pos="1507"/>
              </w:tabs>
              <w:spacing w:line="360" w:lineRule="auto"/>
              <w:jc w:val="center"/>
              <w:rPr>
                <w:sz w:val="24"/>
              </w:rPr>
            </w:pPr>
            <w:r>
              <w:rPr>
                <w:sz w:val="24"/>
              </w:rPr>
              <w:t>营业执照号</w:t>
            </w:r>
          </w:p>
        </w:tc>
        <w:tc>
          <w:tcPr>
            <w:tcW w:w="7064" w:type="dxa"/>
            <w:gridSpan w:val="6"/>
            <w:vAlign w:val="center"/>
          </w:tcPr>
          <w:p>
            <w:pPr>
              <w:tabs>
                <w:tab w:val="left" w:pos="1507"/>
              </w:tabs>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6" w:type="dxa"/>
            <w:vAlign w:val="center"/>
          </w:tcPr>
          <w:p>
            <w:pPr>
              <w:tabs>
                <w:tab w:val="left" w:pos="1507"/>
              </w:tabs>
              <w:spacing w:line="360" w:lineRule="auto"/>
              <w:jc w:val="center"/>
              <w:rPr>
                <w:sz w:val="24"/>
              </w:rPr>
            </w:pPr>
            <w:r>
              <w:rPr>
                <w:sz w:val="24"/>
              </w:rPr>
              <w:t>注册资金</w:t>
            </w:r>
          </w:p>
        </w:tc>
        <w:tc>
          <w:tcPr>
            <w:tcW w:w="7064" w:type="dxa"/>
            <w:gridSpan w:val="6"/>
            <w:vAlign w:val="center"/>
          </w:tcPr>
          <w:p>
            <w:pPr>
              <w:tabs>
                <w:tab w:val="left" w:pos="1507"/>
              </w:tabs>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6" w:type="dxa"/>
            <w:vAlign w:val="center"/>
          </w:tcPr>
          <w:p>
            <w:pPr>
              <w:tabs>
                <w:tab w:val="left" w:pos="1507"/>
              </w:tabs>
              <w:spacing w:line="360" w:lineRule="auto"/>
              <w:jc w:val="center"/>
              <w:rPr>
                <w:sz w:val="24"/>
              </w:rPr>
            </w:pPr>
            <w:r>
              <w:rPr>
                <w:sz w:val="24"/>
              </w:rPr>
              <w:t>开户银行</w:t>
            </w:r>
          </w:p>
        </w:tc>
        <w:tc>
          <w:tcPr>
            <w:tcW w:w="7064" w:type="dxa"/>
            <w:gridSpan w:val="6"/>
            <w:vAlign w:val="center"/>
          </w:tcPr>
          <w:p>
            <w:pPr>
              <w:tabs>
                <w:tab w:val="left" w:pos="1507"/>
              </w:tabs>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6" w:type="dxa"/>
            <w:vAlign w:val="center"/>
          </w:tcPr>
          <w:p>
            <w:pPr>
              <w:tabs>
                <w:tab w:val="left" w:pos="1507"/>
              </w:tabs>
              <w:spacing w:line="360" w:lineRule="auto"/>
              <w:jc w:val="center"/>
              <w:rPr>
                <w:sz w:val="24"/>
              </w:rPr>
            </w:pPr>
            <w:r>
              <w:rPr>
                <w:sz w:val="24"/>
              </w:rPr>
              <w:t>账号</w:t>
            </w:r>
          </w:p>
        </w:tc>
        <w:tc>
          <w:tcPr>
            <w:tcW w:w="7064" w:type="dxa"/>
            <w:gridSpan w:val="6"/>
            <w:vAlign w:val="center"/>
          </w:tcPr>
          <w:p>
            <w:pPr>
              <w:tabs>
                <w:tab w:val="left" w:pos="1507"/>
              </w:tabs>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1656" w:type="dxa"/>
            <w:vAlign w:val="center"/>
          </w:tcPr>
          <w:p>
            <w:pPr>
              <w:tabs>
                <w:tab w:val="left" w:pos="1507"/>
              </w:tabs>
              <w:spacing w:line="360" w:lineRule="auto"/>
              <w:jc w:val="center"/>
              <w:rPr>
                <w:sz w:val="24"/>
              </w:rPr>
            </w:pPr>
            <w:r>
              <w:rPr>
                <w:sz w:val="24"/>
              </w:rPr>
              <w:t>经营范围</w:t>
            </w:r>
          </w:p>
        </w:tc>
        <w:tc>
          <w:tcPr>
            <w:tcW w:w="7064" w:type="dxa"/>
            <w:gridSpan w:val="6"/>
            <w:vAlign w:val="center"/>
          </w:tcPr>
          <w:p>
            <w:pPr>
              <w:tabs>
                <w:tab w:val="left" w:pos="1507"/>
              </w:tabs>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6" w:type="dxa"/>
            <w:vAlign w:val="center"/>
          </w:tcPr>
          <w:p>
            <w:pPr>
              <w:tabs>
                <w:tab w:val="left" w:pos="1507"/>
              </w:tabs>
              <w:spacing w:line="360" w:lineRule="auto"/>
              <w:jc w:val="center"/>
              <w:rPr>
                <w:sz w:val="24"/>
              </w:rPr>
            </w:pPr>
            <w:r>
              <w:rPr>
                <w:sz w:val="24"/>
              </w:rPr>
              <w:t>备注</w:t>
            </w:r>
          </w:p>
        </w:tc>
        <w:tc>
          <w:tcPr>
            <w:tcW w:w="7064" w:type="dxa"/>
            <w:gridSpan w:val="6"/>
            <w:vAlign w:val="center"/>
          </w:tcPr>
          <w:p>
            <w:pPr>
              <w:tabs>
                <w:tab w:val="left" w:pos="1507"/>
              </w:tabs>
              <w:spacing w:line="360" w:lineRule="auto"/>
              <w:jc w:val="center"/>
              <w:rPr>
                <w:sz w:val="24"/>
              </w:rPr>
            </w:pPr>
          </w:p>
        </w:tc>
      </w:tr>
    </w:tbl>
    <w:p>
      <w:pPr>
        <w:spacing w:line="400" w:lineRule="exact"/>
        <w:rPr>
          <w:b/>
          <w:szCs w:val="21"/>
        </w:rPr>
      </w:pPr>
      <w:r>
        <w:rPr>
          <w:rFonts w:hint="eastAsia"/>
          <w:b/>
          <w:szCs w:val="21"/>
        </w:rPr>
        <w:t>备注：本表后应附供应商营业执照副本、资格信用承诺函、中小企业声明函等材料的复印件。所填写内容应准确无误。</w:t>
      </w:r>
    </w:p>
    <w:p>
      <w:pPr>
        <w:tabs>
          <w:tab w:val="left" w:pos="1507"/>
        </w:tabs>
        <w:spacing w:line="360" w:lineRule="auto"/>
        <w:jc w:val="center"/>
        <w:rPr>
          <w:b/>
          <w:sz w:val="28"/>
          <w:szCs w:val="28"/>
        </w:rPr>
      </w:pPr>
    </w:p>
    <w:p>
      <w:pPr>
        <w:pStyle w:val="50"/>
      </w:pPr>
    </w:p>
    <w:p>
      <w:pPr>
        <w:pStyle w:val="50"/>
        <w:sectPr>
          <w:footerReference r:id="rId16" w:type="first"/>
          <w:headerReference r:id="rId14" w:type="default"/>
          <w:footerReference r:id="rId15" w:type="default"/>
          <w:pgSz w:w="11906" w:h="16838"/>
          <w:pgMar w:top="1417" w:right="1417" w:bottom="1417" w:left="1417" w:header="879" w:footer="833" w:gutter="0"/>
          <w:pgNumType w:fmt="decimal"/>
          <w:cols w:space="720" w:num="1"/>
          <w:titlePg/>
          <w:docGrid w:type="linesAndChars" w:linePitch="312" w:charSpace="394"/>
        </w:sectPr>
      </w:pPr>
    </w:p>
    <w:p>
      <w:pPr>
        <w:spacing w:line="360" w:lineRule="auto"/>
        <w:jc w:val="center"/>
        <w:rPr>
          <w:b/>
          <w:bCs/>
          <w:sz w:val="24"/>
        </w:rPr>
      </w:pPr>
      <w:r>
        <w:rPr>
          <w:rFonts w:hint="eastAsia"/>
          <w:b/>
          <w:bCs/>
          <w:sz w:val="24"/>
        </w:rPr>
        <w:t>项目主要实施人员技术资格一览表</w:t>
      </w:r>
    </w:p>
    <w:tbl>
      <w:tblPr>
        <w:tblStyle w:val="25"/>
        <w:tblpPr w:leftFromText="180" w:rightFromText="180" w:vertAnchor="text" w:horzAnchor="page" w:tblpX="1713" w:tblpY="519"/>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37"/>
        <w:gridCol w:w="1410"/>
        <w:gridCol w:w="2005"/>
        <w:gridCol w:w="1559"/>
        <w:gridCol w:w="1986"/>
        <w:gridCol w:w="1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037" w:type="dxa"/>
          </w:tcPr>
          <w:p>
            <w:pPr>
              <w:pStyle w:val="49"/>
              <w:tabs>
                <w:tab w:val="left" w:pos="637"/>
              </w:tabs>
              <w:spacing w:before="127"/>
              <w:ind w:left="158"/>
              <w:rPr>
                <w:sz w:val="24"/>
              </w:rPr>
            </w:pPr>
            <w:r>
              <w:rPr>
                <w:sz w:val="24"/>
              </w:rPr>
              <w:t>姓</w:t>
            </w:r>
            <w:r>
              <w:rPr>
                <w:sz w:val="24"/>
              </w:rPr>
              <w:tab/>
            </w:r>
            <w:r>
              <w:rPr>
                <w:sz w:val="24"/>
              </w:rPr>
              <w:t>名</w:t>
            </w:r>
          </w:p>
        </w:tc>
        <w:tc>
          <w:tcPr>
            <w:tcW w:w="1410" w:type="dxa"/>
          </w:tcPr>
          <w:p>
            <w:pPr>
              <w:pStyle w:val="49"/>
              <w:spacing w:before="127"/>
              <w:ind w:left="462"/>
              <w:rPr>
                <w:sz w:val="24"/>
              </w:rPr>
            </w:pPr>
            <w:r>
              <w:rPr>
                <w:sz w:val="24"/>
              </w:rPr>
              <w:t>职务</w:t>
            </w:r>
          </w:p>
        </w:tc>
        <w:tc>
          <w:tcPr>
            <w:tcW w:w="2005" w:type="dxa"/>
          </w:tcPr>
          <w:p>
            <w:pPr>
              <w:pStyle w:val="49"/>
              <w:spacing w:before="127"/>
              <w:ind w:left="277"/>
              <w:rPr>
                <w:sz w:val="24"/>
              </w:rPr>
            </w:pPr>
            <w:r>
              <w:rPr>
                <w:sz w:val="24"/>
              </w:rPr>
              <w:t>专业技术资格</w:t>
            </w:r>
          </w:p>
        </w:tc>
        <w:tc>
          <w:tcPr>
            <w:tcW w:w="1559" w:type="dxa"/>
          </w:tcPr>
          <w:p>
            <w:pPr>
              <w:pStyle w:val="49"/>
              <w:spacing w:before="127"/>
              <w:ind w:left="295"/>
              <w:rPr>
                <w:sz w:val="24"/>
              </w:rPr>
            </w:pPr>
            <w:r>
              <w:rPr>
                <w:sz w:val="24"/>
              </w:rPr>
              <w:t>证书编号</w:t>
            </w:r>
          </w:p>
        </w:tc>
        <w:tc>
          <w:tcPr>
            <w:tcW w:w="1986" w:type="dxa"/>
          </w:tcPr>
          <w:p>
            <w:pPr>
              <w:pStyle w:val="49"/>
              <w:spacing w:before="127"/>
              <w:ind w:left="268"/>
              <w:rPr>
                <w:sz w:val="24"/>
              </w:rPr>
            </w:pPr>
            <w:r>
              <w:rPr>
                <w:sz w:val="24"/>
              </w:rPr>
              <w:t>劳动合同编号</w:t>
            </w:r>
          </w:p>
        </w:tc>
        <w:tc>
          <w:tcPr>
            <w:tcW w:w="1294" w:type="dxa"/>
          </w:tcPr>
          <w:p>
            <w:pPr>
              <w:pStyle w:val="49"/>
              <w:spacing w:before="127"/>
              <w:ind w:left="401"/>
              <w:rPr>
                <w:sz w:val="24"/>
              </w:rPr>
            </w:pPr>
            <w:r>
              <w:rPr>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037" w:type="dxa"/>
          </w:tcPr>
          <w:p>
            <w:pPr>
              <w:pStyle w:val="49"/>
              <w:rPr>
                <w:rFonts w:ascii="Times New Roman"/>
                <w:sz w:val="22"/>
              </w:rPr>
            </w:pPr>
          </w:p>
        </w:tc>
        <w:tc>
          <w:tcPr>
            <w:tcW w:w="1410" w:type="dxa"/>
          </w:tcPr>
          <w:p>
            <w:pPr>
              <w:pStyle w:val="49"/>
              <w:rPr>
                <w:rFonts w:ascii="Times New Roman"/>
                <w:sz w:val="22"/>
              </w:rPr>
            </w:pPr>
          </w:p>
        </w:tc>
        <w:tc>
          <w:tcPr>
            <w:tcW w:w="2005" w:type="dxa"/>
          </w:tcPr>
          <w:p>
            <w:pPr>
              <w:pStyle w:val="49"/>
              <w:rPr>
                <w:rFonts w:ascii="Times New Roman"/>
                <w:sz w:val="22"/>
              </w:rPr>
            </w:pPr>
          </w:p>
        </w:tc>
        <w:tc>
          <w:tcPr>
            <w:tcW w:w="1559" w:type="dxa"/>
          </w:tcPr>
          <w:p>
            <w:pPr>
              <w:pStyle w:val="49"/>
              <w:rPr>
                <w:rFonts w:ascii="Times New Roman"/>
                <w:sz w:val="22"/>
              </w:rPr>
            </w:pPr>
          </w:p>
        </w:tc>
        <w:tc>
          <w:tcPr>
            <w:tcW w:w="1986" w:type="dxa"/>
          </w:tcPr>
          <w:p>
            <w:pPr>
              <w:pStyle w:val="49"/>
              <w:rPr>
                <w:rFonts w:ascii="Times New Roman"/>
                <w:sz w:val="22"/>
              </w:rPr>
            </w:pPr>
          </w:p>
        </w:tc>
        <w:tc>
          <w:tcPr>
            <w:tcW w:w="1294" w:type="dxa"/>
          </w:tcPr>
          <w:p>
            <w:pPr>
              <w:pStyle w:val="4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037" w:type="dxa"/>
          </w:tcPr>
          <w:p>
            <w:pPr>
              <w:pStyle w:val="49"/>
              <w:rPr>
                <w:rFonts w:ascii="Times New Roman"/>
                <w:sz w:val="22"/>
              </w:rPr>
            </w:pPr>
          </w:p>
        </w:tc>
        <w:tc>
          <w:tcPr>
            <w:tcW w:w="1410" w:type="dxa"/>
          </w:tcPr>
          <w:p>
            <w:pPr>
              <w:pStyle w:val="49"/>
              <w:rPr>
                <w:rFonts w:ascii="Times New Roman"/>
                <w:sz w:val="22"/>
              </w:rPr>
            </w:pPr>
          </w:p>
        </w:tc>
        <w:tc>
          <w:tcPr>
            <w:tcW w:w="2005" w:type="dxa"/>
          </w:tcPr>
          <w:p>
            <w:pPr>
              <w:pStyle w:val="49"/>
              <w:rPr>
                <w:rFonts w:ascii="Times New Roman"/>
                <w:sz w:val="22"/>
              </w:rPr>
            </w:pPr>
          </w:p>
        </w:tc>
        <w:tc>
          <w:tcPr>
            <w:tcW w:w="1559" w:type="dxa"/>
          </w:tcPr>
          <w:p>
            <w:pPr>
              <w:pStyle w:val="49"/>
              <w:rPr>
                <w:rFonts w:ascii="Times New Roman"/>
                <w:sz w:val="22"/>
              </w:rPr>
            </w:pPr>
          </w:p>
        </w:tc>
        <w:tc>
          <w:tcPr>
            <w:tcW w:w="1986" w:type="dxa"/>
          </w:tcPr>
          <w:p>
            <w:pPr>
              <w:pStyle w:val="49"/>
              <w:rPr>
                <w:rFonts w:ascii="Times New Roman"/>
                <w:sz w:val="22"/>
              </w:rPr>
            </w:pPr>
          </w:p>
        </w:tc>
        <w:tc>
          <w:tcPr>
            <w:tcW w:w="1294" w:type="dxa"/>
          </w:tcPr>
          <w:p>
            <w:pPr>
              <w:pStyle w:val="4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037" w:type="dxa"/>
          </w:tcPr>
          <w:p>
            <w:pPr>
              <w:pStyle w:val="49"/>
              <w:rPr>
                <w:rFonts w:ascii="Times New Roman"/>
                <w:sz w:val="22"/>
              </w:rPr>
            </w:pPr>
          </w:p>
        </w:tc>
        <w:tc>
          <w:tcPr>
            <w:tcW w:w="1410" w:type="dxa"/>
          </w:tcPr>
          <w:p>
            <w:pPr>
              <w:pStyle w:val="49"/>
              <w:rPr>
                <w:rFonts w:ascii="Times New Roman"/>
                <w:sz w:val="22"/>
              </w:rPr>
            </w:pPr>
          </w:p>
        </w:tc>
        <w:tc>
          <w:tcPr>
            <w:tcW w:w="2005" w:type="dxa"/>
          </w:tcPr>
          <w:p>
            <w:pPr>
              <w:pStyle w:val="49"/>
              <w:rPr>
                <w:rFonts w:ascii="Times New Roman"/>
                <w:sz w:val="22"/>
              </w:rPr>
            </w:pPr>
          </w:p>
        </w:tc>
        <w:tc>
          <w:tcPr>
            <w:tcW w:w="1559" w:type="dxa"/>
          </w:tcPr>
          <w:p>
            <w:pPr>
              <w:pStyle w:val="49"/>
              <w:rPr>
                <w:rFonts w:ascii="Times New Roman"/>
                <w:sz w:val="22"/>
              </w:rPr>
            </w:pPr>
          </w:p>
        </w:tc>
        <w:tc>
          <w:tcPr>
            <w:tcW w:w="1986" w:type="dxa"/>
          </w:tcPr>
          <w:p>
            <w:pPr>
              <w:pStyle w:val="49"/>
              <w:rPr>
                <w:rFonts w:ascii="Times New Roman"/>
                <w:sz w:val="22"/>
              </w:rPr>
            </w:pPr>
          </w:p>
        </w:tc>
        <w:tc>
          <w:tcPr>
            <w:tcW w:w="1294" w:type="dxa"/>
          </w:tcPr>
          <w:p>
            <w:pPr>
              <w:pStyle w:val="4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037" w:type="dxa"/>
          </w:tcPr>
          <w:p>
            <w:pPr>
              <w:pStyle w:val="49"/>
              <w:rPr>
                <w:rFonts w:ascii="Times New Roman"/>
                <w:sz w:val="22"/>
              </w:rPr>
            </w:pPr>
          </w:p>
        </w:tc>
        <w:tc>
          <w:tcPr>
            <w:tcW w:w="1410" w:type="dxa"/>
          </w:tcPr>
          <w:p>
            <w:pPr>
              <w:pStyle w:val="49"/>
              <w:rPr>
                <w:rFonts w:ascii="Times New Roman"/>
                <w:sz w:val="22"/>
              </w:rPr>
            </w:pPr>
          </w:p>
        </w:tc>
        <w:tc>
          <w:tcPr>
            <w:tcW w:w="2005" w:type="dxa"/>
          </w:tcPr>
          <w:p>
            <w:pPr>
              <w:pStyle w:val="49"/>
              <w:rPr>
                <w:rFonts w:ascii="Times New Roman"/>
                <w:sz w:val="22"/>
              </w:rPr>
            </w:pPr>
          </w:p>
        </w:tc>
        <w:tc>
          <w:tcPr>
            <w:tcW w:w="1559" w:type="dxa"/>
          </w:tcPr>
          <w:p>
            <w:pPr>
              <w:pStyle w:val="49"/>
              <w:rPr>
                <w:rFonts w:ascii="Times New Roman"/>
                <w:sz w:val="22"/>
              </w:rPr>
            </w:pPr>
          </w:p>
        </w:tc>
        <w:tc>
          <w:tcPr>
            <w:tcW w:w="1986" w:type="dxa"/>
          </w:tcPr>
          <w:p>
            <w:pPr>
              <w:pStyle w:val="49"/>
              <w:rPr>
                <w:rFonts w:ascii="Times New Roman"/>
                <w:sz w:val="22"/>
              </w:rPr>
            </w:pPr>
          </w:p>
        </w:tc>
        <w:tc>
          <w:tcPr>
            <w:tcW w:w="1294" w:type="dxa"/>
          </w:tcPr>
          <w:p>
            <w:pPr>
              <w:pStyle w:val="4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037" w:type="dxa"/>
          </w:tcPr>
          <w:p>
            <w:pPr>
              <w:pStyle w:val="49"/>
              <w:rPr>
                <w:rFonts w:ascii="Times New Roman"/>
                <w:sz w:val="22"/>
              </w:rPr>
            </w:pPr>
          </w:p>
        </w:tc>
        <w:tc>
          <w:tcPr>
            <w:tcW w:w="1410" w:type="dxa"/>
          </w:tcPr>
          <w:p>
            <w:pPr>
              <w:pStyle w:val="49"/>
              <w:rPr>
                <w:rFonts w:ascii="Times New Roman"/>
                <w:sz w:val="22"/>
              </w:rPr>
            </w:pPr>
          </w:p>
        </w:tc>
        <w:tc>
          <w:tcPr>
            <w:tcW w:w="2005" w:type="dxa"/>
          </w:tcPr>
          <w:p>
            <w:pPr>
              <w:pStyle w:val="49"/>
              <w:rPr>
                <w:rFonts w:ascii="Times New Roman"/>
                <w:sz w:val="22"/>
              </w:rPr>
            </w:pPr>
          </w:p>
        </w:tc>
        <w:tc>
          <w:tcPr>
            <w:tcW w:w="1559" w:type="dxa"/>
          </w:tcPr>
          <w:p>
            <w:pPr>
              <w:pStyle w:val="49"/>
              <w:rPr>
                <w:rFonts w:ascii="Times New Roman"/>
                <w:sz w:val="22"/>
              </w:rPr>
            </w:pPr>
          </w:p>
        </w:tc>
        <w:tc>
          <w:tcPr>
            <w:tcW w:w="1986" w:type="dxa"/>
          </w:tcPr>
          <w:p>
            <w:pPr>
              <w:pStyle w:val="49"/>
              <w:rPr>
                <w:rFonts w:ascii="Times New Roman"/>
                <w:sz w:val="22"/>
              </w:rPr>
            </w:pPr>
          </w:p>
        </w:tc>
        <w:tc>
          <w:tcPr>
            <w:tcW w:w="1294" w:type="dxa"/>
          </w:tcPr>
          <w:p>
            <w:pPr>
              <w:pStyle w:val="4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037" w:type="dxa"/>
          </w:tcPr>
          <w:p>
            <w:pPr>
              <w:pStyle w:val="49"/>
              <w:rPr>
                <w:rFonts w:ascii="Times New Roman"/>
                <w:sz w:val="22"/>
              </w:rPr>
            </w:pPr>
          </w:p>
        </w:tc>
        <w:tc>
          <w:tcPr>
            <w:tcW w:w="1410" w:type="dxa"/>
          </w:tcPr>
          <w:p>
            <w:pPr>
              <w:pStyle w:val="49"/>
              <w:rPr>
                <w:rFonts w:ascii="Times New Roman"/>
                <w:sz w:val="22"/>
              </w:rPr>
            </w:pPr>
          </w:p>
        </w:tc>
        <w:tc>
          <w:tcPr>
            <w:tcW w:w="2005" w:type="dxa"/>
          </w:tcPr>
          <w:p>
            <w:pPr>
              <w:pStyle w:val="49"/>
              <w:rPr>
                <w:rFonts w:ascii="Times New Roman"/>
                <w:sz w:val="22"/>
              </w:rPr>
            </w:pPr>
          </w:p>
        </w:tc>
        <w:tc>
          <w:tcPr>
            <w:tcW w:w="1559" w:type="dxa"/>
          </w:tcPr>
          <w:p>
            <w:pPr>
              <w:pStyle w:val="49"/>
              <w:rPr>
                <w:rFonts w:ascii="Times New Roman"/>
                <w:sz w:val="22"/>
              </w:rPr>
            </w:pPr>
          </w:p>
        </w:tc>
        <w:tc>
          <w:tcPr>
            <w:tcW w:w="1986" w:type="dxa"/>
          </w:tcPr>
          <w:p>
            <w:pPr>
              <w:pStyle w:val="49"/>
              <w:rPr>
                <w:rFonts w:ascii="Times New Roman"/>
                <w:sz w:val="22"/>
              </w:rPr>
            </w:pPr>
          </w:p>
        </w:tc>
        <w:tc>
          <w:tcPr>
            <w:tcW w:w="1294" w:type="dxa"/>
          </w:tcPr>
          <w:p>
            <w:pPr>
              <w:pStyle w:val="4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037" w:type="dxa"/>
          </w:tcPr>
          <w:p>
            <w:pPr>
              <w:pStyle w:val="49"/>
              <w:rPr>
                <w:rFonts w:ascii="Times New Roman"/>
                <w:sz w:val="22"/>
              </w:rPr>
            </w:pPr>
          </w:p>
        </w:tc>
        <w:tc>
          <w:tcPr>
            <w:tcW w:w="1410" w:type="dxa"/>
          </w:tcPr>
          <w:p>
            <w:pPr>
              <w:pStyle w:val="49"/>
              <w:rPr>
                <w:rFonts w:ascii="Times New Roman"/>
                <w:sz w:val="22"/>
              </w:rPr>
            </w:pPr>
          </w:p>
        </w:tc>
        <w:tc>
          <w:tcPr>
            <w:tcW w:w="2005" w:type="dxa"/>
          </w:tcPr>
          <w:p>
            <w:pPr>
              <w:pStyle w:val="49"/>
              <w:rPr>
                <w:rFonts w:ascii="Times New Roman"/>
                <w:sz w:val="22"/>
              </w:rPr>
            </w:pPr>
          </w:p>
        </w:tc>
        <w:tc>
          <w:tcPr>
            <w:tcW w:w="1559" w:type="dxa"/>
          </w:tcPr>
          <w:p>
            <w:pPr>
              <w:pStyle w:val="49"/>
              <w:rPr>
                <w:rFonts w:ascii="Times New Roman"/>
                <w:sz w:val="22"/>
              </w:rPr>
            </w:pPr>
          </w:p>
        </w:tc>
        <w:tc>
          <w:tcPr>
            <w:tcW w:w="1986" w:type="dxa"/>
          </w:tcPr>
          <w:p>
            <w:pPr>
              <w:pStyle w:val="49"/>
              <w:rPr>
                <w:rFonts w:ascii="Times New Roman"/>
                <w:sz w:val="22"/>
              </w:rPr>
            </w:pPr>
          </w:p>
        </w:tc>
        <w:tc>
          <w:tcPr>
            <w:tcW w:w="1294" w:type="dxa"/>
          </w:tcPr>
          <w:p>
            <w:pPr>
              <w:pStyle w:val="4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037" w:type="dxa"/>
          </w:tcPr>
          <w:p>
            <w:pPr>
              <w:pStyle w:val="49"/>
              <w:rPr>
                <w:rFonts w:ascii="Times New Roman"/>
                <w:sz w:val="22"/>
              </w:rPr>
            </w:pPr>
          </w:p>
        </w:tc>
        <w:tc>
          <w:tcPr>
            <w:tcW w:w="1410" w:type="dxa"/>
          </w:tcPr>
          <w:p>
            <w:pPr>
              <w:pStyle w:val="49"/>
              <w:rPr>
                <w:rFonts w:ascii="Times New Roman"/>
                <w:sz w:val="22"/>
              </w:rPr>
            </w:pPr>
          </w:p>
        </w:tc>
        <w:tc>
          <w:tcPr>
            <w:tcW w:w="2005" w:type="dxa"/>
          </w:tcPr>
          <w:p>
            <w:pPr>
              <w:pStyle w:val="49"/>
              <w:rPr>
                <w:rFonts w:ascii="Times New Roman"/>
                <w:sz w:val="22"/>
              </w:rPr>
            </w:pPr>
          </w:p>
        </w:tc>
        <w:tc>
          <w:tcPr>
            <w:tcW w:w="1559" w:type="dxa"/>
          </w:tcPr>
          <w:p>
            <w:pPr>
              <w:pStyle w:val="49"/>
              <w:rPr>
                <w:rFonts w:ascii="Times New Roman"/>
                <w:sz w:val="22"/>
              </w:rPr>
            </w:pPr>
          </w:p>
        </w:tc>
        <w:tc>
          <w:tcPr>
            <w:tcW w:w="1986" w:type="dxa"/>
          </w:tcPr>
          <w:p>
            <w:pPr>
              <w:pStyle w:val="49"/>
              <w:rPr>
                <w:rFonts w:ascii="Times New Roman"/>
                <w:sz w:val="22"/>
              </w:rPr>
            </w:pPr>
          </w:p>
        </w:tc>
        <w:tc>
          <w:tcPr>
            <w:tcW w:w="1294" w:type="dxa"/>
          </w:tcPr>
          <w:p>
            <w:pPr>
              <w:pStyle w:val="4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037" w:type="dxa"/>
          </w:tcPr>
          <w:p>
            <w:pPr>
              <w:pStyle w:val="49"/>
              <w:rPr>
                <w:rFonts w:ascii="Times New Roman"/>
                <w:sz w:val="22"/>
              </w:rPr>
            </w:pPr>
          </w:p>
        </w:tc>
        <w:tc>
          <w:tcPr>
            <w:tcW w:w="1410" w:type="dxa"/>
          </w:tcPr>
          <w:p>
            <w:pPr>
              <w:pStyle w:val="49"/>
              <w:rPr>
                <w:rFonts w:ascii="Times New Roman"/>
                <w:sz w:val="22"/>
              </w:rPr>
            </w:pPr>
          </w:p>
        </w:tc>
        <w:tc>
          <w:tcPr>
            <w:tcW w:w="2005" w:type="dxa"/>
          </w:tcPr>
          <w:p>
            <w:pPr>
              <w:pStyle w:val="49"/>
              <w:rPr>
                <w:rFonts w:ascii="Times New Roman"/>
                <w:sz w:val="22"/>
              </w:rPr>
            </w:pPr>
          </w:p>
        </w:tc>
        <w:tc>
          <w:tcPr>
            <w:tcW w:w="1559" w:type="dxa"/>
          </w:tcPr>
          <w:p>
            <w:pPr>
              <w:pStyle w:val="49"/>
              <w:rPr>
                <w:rFonts w:ascii="Times New Roman"/>
                <w:sz w:val="22"/>
              </w:rPr>
            </w:pPr>
          </w:p>
        </w:tc>
        <w:tc>
          <w:tcPr>
            <w:tcW w:w="1986" w:type="dxa"/>
          </w:tcPr>
          <w:p>
            <w:pPr>
              <w:pStyle w:val="49"/>
              <w:rPr>
                <w:rFonts w:ascii="Times New Roman"/>
                <w:sz w:val="22"/>
              </w:rPr>
            </w:pPr>
          </w:p>
        </w:tc>
        <w:tc>
          <w:tcPr>
            <w:tcW w:w="1294" w:type="dxa"/>
          </w:tcPr>
          <w:p>
            <w:pPr>
              <w:pStyle w:val="49"/>
              <w:rPr>
                <w:rFonts w:ascii="Times New Roman"/>
                <w:sz w:val="22"/>
              </w:rPr>
            </w:pPr>
          </w:p>
        </w:tc>
      </w:tr>
    </w:tbl>
    <w:p>
      <w:pPr>
        <w:pStyle w:val="12"/>
      </w:pPr>
    </w:p>
    <w:p>
      <w:pPr>
        <w:pStyle w:val="12"/>
        <w:spacing w:before="67"/>
        <w:ind w:left="589"/>
        <w:rPr>
          <w:b/>
          <w:bCs/>
        </w:rPr>
      </w:pPr>
      <w:r>
        <w:rPr>
          <w:b/>
          <w:bCs/>
        </w:rPr>
        <w:t>注：在填写时，如本表格不适合</w:t>
      </w:r>
      <w:r>
        <w:rPr>
          <w:rFonts w:hint="eastAsia"/>
          <w:b/>
          <w:bCs/>
        </w:rPr>
        <w:t>供应商</w:t>
      </w:r>
      <w:r>
        <w:rPr>
          <w:b/>
          <w:bCs/>
        </w:rPr>
        <w:t>的实际情况，可根据本表格式自行制表填写。</w:t>
      </w:r>
      <w:r>
        <w:rPr>
          <w:rFonts w:hint="eastAsia"/>
          <w:b/>
          <w:bCs/>
        </w:rPr>
        <w:t>本表后应附项目实施人员身份证、等相关资料的复印件，所填写内容应准确无误。</w:t>
      </w:r>
    </w:p>
    <w:p>
      <w:pPr>
        <w:pStyle w:val="12"/>
      </w:pPr>
    </w:p>
    <w:p>
      <w:pPr>
        <w:pStyle w:val="44"/>
        <w:ind w:firstLine="0" w:firstLineChars="0"/>
      </w:pPr>
      <w:r>
        <w:rPr>
          <w:rFonts w:hint="eastAsia"/>
        </w:rPr>
        <w:t>供应商 ：</w:t>
      </w:r>
      <w:r>
        <w:rPr>
          <w:rFonts w:hint="eastAsia"/>
          <w:u w:val="single"/>
        </w:rPr>
        <w:t xml:space="preserve">              </w:t>
      </w:r>
      <w:r>
        <w:rPr>
          <w:rFonts w:hint="eastAsia"/>
        </w:rPr>
        <w:t xml:space="preserve">（ 盖单位章 ） </w:t>
      </w:r>
    </w:p>
    <w:p>
      <w:pPr>
        <w:pStyle w:val="44"/>
        <w:ind w:firstLine="0" w:firstLineChars="0"/>
      </w:pPr>
      <w:r>
        <w:rPr>
          <w:rFonts w:hint="eastAsia"/>
        </w:rPr>
        <w:t>法定代表人或委托代理人：</w:t>
      </w:r>
      <w:r>
        <w:rPr>
          <w:rFonts w:hint="eastAsia"/>
          <w:u w:val="single"/>
        </w:rPr>
        <w:t xml:space="preserve">              </w:t>
      </w:r>
      <w:r>
        <w:rPr>
          <w:rFonts w:hint="eastAsia"/>
        </w:rPr>
        <w:t xml:space="preserve">（签字或盖章） </w:t>
      </w:r>
    </w:p>
    <w:p>
      <w:pPr>
        <w:pStyle w:val="44"/>
        <w:ind w:firstLine="0" w:firstLineChars="0"/>
      </w:pPr>
      <w:r>
        <w:rPr>
          <w:rFonts w:hint="eastAsia"/>
        </w:rPr>
        <w:t>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 xml:space="preserve">日 </w:t>
      </w:r>
    </w:p>
    <w:p>
      <w:pPr>
        <w:pStyle w:val="2"/>
        <w:ind w:left="424" w:firstLine="424"/>
      </w:pPr>
    </w:p>
    <w:p>
      <w:pPr>
        <w:tabs>
          <w:tab w:val="left" w:pos="1507"/>
        </w:tabs>
        <w:spacing w:line="360" w:lineRule="auto"/>
        <w:jc w:val="center"/>
        <w:rPr>
          <w:b/>
          <w:sz w:val="28"/>
          <w:szCs w:val="28"/>
        </w:rPr>
      </w:pPr>
    </w:p>
    <w:p>
      <w:pPr>
        <w:tabs>
          <w:tab w:val="left" w:pos="1507"/>
        </w:tabs>
        <w:spacing w:line="360" w:lineRule="auto"/>
        <w:jc w:val="center"/>
        <w:rPr>
          <w:b/>
          <w:sz w:val="28"/>
          <w:szCs w:val="28"/>
        </w:rPr>
      </w:pPr>
    </w:p>
    <w:p>
      <w:pPr>
        <w:tabs>
          <w:tab w:val="left" w:pos="1507"/>
        </w:tabs>
        <w:spacing w:line="360" w:lineRule="auto"/>
        <w:jc w:val="center"/>
        <w:rPr>
          <w:b/>
          <w:sz w:val="28"/>
          <w:szCs w:val="28"/>
        </w:rPr>
      </w:pPr>
    </w:p>
    <w:p>
      <w:pPr>
        <w:tabs>
          <w:tab w:val="left" w:pos="1507"/>
        </w:tabs>
        <w:spacing w:line="360" w:lineRule="auto"/>
        <w:jc w:val="center"/>
        <w:rPr>
          <w:b/>
          <w:sz w:val="28"/>
          <w:szCs w:val="28"/>
        </w:rPr>
      </w:pPr>
    </w:p>
    <w:p>
      <w:pPr>
        <w:tabs>
          <w:tab w:val="left" w:pos="1507"/>
        </w:tabs>
        <w:spacing w:line="360" w:lineRule="auto"/>
        <w:jc w:val="center"/>
        <w:rPr>
          <w:b/>
          <w:sz w:val="28"/>
          <w:szCs w:val="28"/>
        </w:rPr>
      </w:pPr>
    </w:p>
    <w:p>
      <w:pPr>
        <w:tabs>
          <w:tab w:val="left" w:pos="1507"/>
        </w:tabs>
        <w:spacing w:line="360" w:lineRule="auto"/>
        <w:jc w:val="center"/>
        <w:rPr>
          <w:b/>
          <w:sz w:val="28"/>
          <w:szCs w:val="28"/>
        </w:rPr>
      </w:pPr>
      <w:r>
        <w:rPr>
          <w:rFonts w:hint="eastAsia" w:ascii="宋体" w:hAnsi="宋体" w:cs="宋体"/>
          <w:b/>
          <w:bCs/>
          <w:sz w:val="30"/>
          <w:szCs w:val="30"/>
        </w:rPr>
        <w:br w:type="page"/>
      </w:r>
      <w:r>
        <w:rPr>
          <w:rFonts w:hint="eastAsia" w:ascii="宋体" w:hAnsi="宋体" w:cs="宋体"/>
          <w:b/>
          <w:bCs/>
          <w:sz w:val="30"/>
          <w:szCs w:val="30"/>
        </w:rPr>
        <w:t>七</w:t>
      </w:r>
      <w:r>
        <w:rPr>
          <w:rFonts w:hint="eastAsia"/>
          <w:b/>
          <w:sz w:val="28"/>
          <w:szCs w:val="28"/>
        </w:rPr>
        <w:t>、供应商认为需要提供的其他资料</w:t>
      </w:r>
    </w:p>
    <w:p/>
    <w:p/>
    <w:p/>
    <w:p>
      <w:r>
        <w:rPr>
          <w:rFonts w:hint="eastAsia"/>
        </w:rPr>
        <w:t xml:space="preserve">  </w:t>
      </w:r>
    </w:p>
    <w:p>
      <w:pPr>
        <w:pStyle w:val="2"/>
        <w:ind w:left="424" w:firstLine="424"/>
      </w:pPr>
    </w:p>
    <w:p/>
    <w:p>
      <w:pPr>
        <w:pStyle w:val="2"/>
        <w:ind w:left="424" w:firstLine="424"/>
      </w:pPr>
    </w:p>
    <w:p/>
    <w:p>
      <w:pPr>
        <w:pStyle w:val="2"/>
        <w:ind w:left="424" w:firstLine="424"/>
      </w:pPr>
    </w:p>
    <w:p/>
    <w:p>
      <w:pPr>
        <w:pStyle w:val="2"/>
        <w:ind w:left="424" w:firstLine="424"/>
      </w:pPr>
    </w:p>
    <w:p/>
    <w:p>
      <w:pPr>
        <w:pStyle w:val="2"/>
        <w:ind w:left="424" w:firstLine="424"/>
      </w:pPr>
    </w:p>
    <w:p/>
    <w:p/>
    <w:p/>
    <w:p/>
    <w:p/>
    <w:p/>
    <w:p/>
    <w:p/>
    <w:p/>
    <w:p/>
    <w:p/>
    <w:p/>
    <w:p/>
    <w:p/>
    <w:p/>
    <w:p/>
    <w:p/>
    <w:p/>
    <w:p/>
    <w:p/>
    <w:p/>
    <w:p/>
    <w:p/>
    <w:p/>
    <w:p/>
    <w:p/>
    <w:p>
      <w:pPr>
        <w:spacing w:line="500" w:lineRule="exact"/>
        <w:jc w:val="center"/>
        <w:rPr>
          <w:rFonts w:ascii="宋体" w:hAnsi="宋体" w:cs="宋体"/>
          <w:b/>
          <w:sz w:val="30"/>
          <w:szCs w:val="30"/>
        </w:rPr>
      </w:pPr>
    </w:p>
    <w:p>
      <w:pPr>
        <w:pStyle w:val="7"/>
      </w:pPr>
      <w:r>
        <w:rPr>
          <w:rFonts w:hint="eastAsia" w:ascii="宋体" w:hAnsi="宋体" w:eastAsia="宋体" w:cs="宋体"/>
          <w:sz w:val="30"/>
          <w:szCs w:val="30"/>
        </w:rPr>
        <w:t xml:space="preserve"> </w:t>
      </w:r>
      <w:r>
        <w:t>附件：</w:t>
      </w:r>
    </w:p>
    <w:p>
      <w:pPr>
        <w:pStyle w:val="12"/>
        <w:ind w:right="1295"/>
        <w:jc w:val="center"/>
        <w:outlineLvl w:val="0"/>
        <w:rPr>
          <w:rFonts w:ascii="宋体" w:hAnsi="宋体" w:cs="宋体"/>
          <w:b/>
          <w:sz w:val="30"/>
          <w:szCs w:val="30"/>
        </w:rPr>
      </w:pPr>
      <w:r>
        <w:rPr>
          <w:rFonts w:hint="eastAsia" w:ascii="宋体" w:hAnsi="宋体" w:cs="宋体"/>
          <w:b/>
          <w:sz w:val="30"/>
          <w:szCs w:val="30"/>
        </w:rPr>
        <w:t xml:space="preserve">       </w:t>
      </w:r>
      <w:bookmarkStart w:id="115" w:name="_Toc20808"/>
      <w:bookmarkStart w:id="116" w:name="_Toc27816"/>
      <w:bookmarkStart w:id="117" w:name="_Toc29878"/>
      <w:bookmarkStart w:id="118" w:name="_Toc10737"/>
      <w:r>
        <w:rPr>
          <w:rFonts w:hint="eastAsia" w:ascii="宋体" w:hAnsi="宋体" w:cs="宋体"/>
          <w:b/>
          <w:sz w:val="30"/>
          <w:szCs w:val="30"/>
        </w:rPr>
        <w:t>符合政府采购政策的证明材料</w:t>
      </w:r>
      <w:bookmarkEnd w:id="115"/>
      <w:bookmarkEnd w:id="116"/>
      <w:bookmarkEnd w:id="117"/>
      <w:bookmarkEnd w:id="118"/>
    </w:p>
    <w:p>
      <w:pPr>
        <w:pStyle w:val="12"/>
        <w:ind w:left="1034" w:right="1295"/>
        <w:jc w:val="center"/>
        <w:outlineLvl w:val="0"/>
      </w:pPr>
      <w:bookmarkStart w:id="119" w:name="_Toc20481"/>
      <w:bookmarkStart w:id="120" w:name="_Toc23135"/>
      <w:bookmarkStart w:id="121" w:name="_Toc13121"/>
      <w:bookmarkStart w:id="122" w:name="_Toc21974"/>
      <w:r>
        <w:t>（非小微企业不需要填写此表）</w:t>
      </w:r>
      <w:bookmarkEnd w:id="119"/>
      <w:bookmarkEnd w:id="120"/>
      <w:bookmarkEnd w:id="121"/>
      <w:bookmarkEnd w:id="122"/>
    </w:p>
    <w:p>
      <w:pPr>
        <w:adjustRightInd w:val="0"/>
        <w:snapToGrid w:val="0"/>
        <w:spacing w:before="156" w:beforeLines="50" w:line="360" w:lineRule="auto"/>
        <w:jc w:val="center"/>
        <w:outlineLvl w:val="0"/>
        <w:rPr>
          <w:rFonts w:ascii="宋体" w:hAnsi="宋体" w:cs="宋体"/>
          <w:sz w:val="28"/>
          <w:szCs w:val="28"/>
        </w:rPr>
      </w:pPr>
      <w:bookmarkStart w:id="123" w:name="_Toc26360"/>
      <w:bookmarkStart w:id="124" w:name="_Toc14761"/>
      <w:bookmarkStart w:id="125" w:name="_Toc6775"/>
      <w:bookmarkStart w:id="126" w:name="_Toc25376"/>
      <w:r>
        <w:rPr>
          <w:rFonts w:hint="eastAsia" w:ascii="宋体" w:hAnsi="宋体" w:cs="宋体"/>
          <w:bCs/>
          <w:sz w:val="28"/>
          <w:szCs w:val="28"/>
        </w:rPr>
        <w:t>1、中小微企业声明函</w:t>
      </w:r>
      <w:bookmarkEnd w:id="123"/>
      <w:bookmarkEnd w:id="124"/>
      <w:bookmarkEnd w:id="125"/>
      <w:bookmarkEnd w:id="126"/>
    </w:p>
    <w:p>
      <w:pPr>
        <w:spacing w:line="480" w:lineRule="exact"/>
        <w:ind w:firstLine="482"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 xml:space="preserve">          </w:t>
      </w:r>
      <w:r>
        <w:rPr>
          <w:rFonts w:hint="eastAsia" w:ascii="宋体" w:hAnsi="宋体" w:cs="宋体"/>
          <w:sz w:val="24"/>
        </w:rPr>
        <w:t>（单位名称）的                （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480" w:lineRule="exact"/>
        <w:ind w:firstLine="482" w:firstLineChars="200"/>
        <w:rPr>
          <w:rFonts w:ascii="宋体" w:hAnsi="宋体" w:cs="宋体"/>
          <w:sz w:val="24"/>
        </w:rPr>
      </w:pPr>
      <w:r>
        <w:rPr>
          <w:rFonts w:hint="eastAsia" w:ascii="宋体" w:hAnsi="宋体" w:cs="宋体"/>
          <w:sz w:val="24"/>
        </w:rPr>
        <w:t>1.（标的名称），属于（采购文件中明确的所属行业）承建（承接）企业为（企业名称），从业人员___人，营业收入为____万元，资产总额为____万元，属于（中型企业、小型企业、微型企业），</w:t>
      </w:r>
    </w:p>
    <w:p>
      <w:pPr>
        <w:spacing w:line="480" w:lineRule="exact"/>
        <w:ind w:firstLine="482" w:firstLineChars="200"/>
        <w:rPr>
          <w:rFonts w:ascii="宋体" w:hAnsi="宋体" w:cs="宋体"/>
          <w:sz w:val="24"/>
        </w:rPr>
      </w:pPr>
      <w:r>
        <w:rPr>
          <w:rFonts w:hint="eastAsia" w:ascii="宋体" w:hAnsi="宋体" w:cs="宋体"/>
          <w:sz w:val="24"/>
        </w:rPr>
        <w:t>2.（标的名称），属于（采购文件中明确的所属行业）承建（承接）企业为（企业名称）从业人员___人，营业收入为___万元，资产总额为____万元，属于（中型企业、小型企业、微型企业），</w:t>
      </w:r>
    </w:p>
    <w:p>
      <w:pPr>
        <w:spacing w:line="480" w:lineRule="exact"/>
        <w:ind w:firstLine="482" w:firstLineChars="200"/>
        <w:rPr>
          <w:rFonts w:ascii="宋体" w:hAnsi="宋体" w:cs="宋体"/>
          <w:sz w:val="24"/>
        </w:rPr>
      </w:pPr>
      <w:r>
        <w:rPr>
          <w:rFonts w:hint="eastAsia" w:ascii="宋体" w:hAnsi="宋体" w:cs="宋体"/>
          <w:sz w:val="24"/>
        </w:rPr>
        <w:t>........</w:t>
      </w:r>
    </w:p>
    <w:p>
      <w:pPr>
        <w:spacing w:line="480" w:lineRule="exact"/>
        <w:ind w:firstLine="482"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480" w:lineRule="exact"/>
        <w:ind w:firstLine="482" w:firstLineChars="200"/>
        <w:rPr>
          <w:rFonts w:ascii="宋体" w:hAnsi="宋体" w:cs="宋体"/>
          <w:sz w:val="24"/>
        </w:rPr>
      </w:pPr>
    </w:p>
    <w:p>
      <w:pPr>
        <w:spacing w:line="480" w:lineRule="exact"/>
        <w:ind w:firstLine="482"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pacing w:line="480" w:lineRule="exact"/>
        <w:ind w:firstLine="482" w:firstLineChars="200"/>
        <w:rPr>
          <w:rFonts w:ascii="宋体" w:hAnsi="宋体" w:cs="宋体"/>
          <w:sz w:val="24"/>
        </w:rPr>
      </w:pPr>
    </w:p>
    <w:p>
      <w:pPr>
        <w:spacing w:line="480" w:lineRule="exact"/>
        <w:ind w:firstLine="482" w:firstLineChars="200"/>
        <w:rPr>
          <w:rFonts w:ascii="宋体" w:hAnsi="宋体" w:cs="宋体"/>
          <w:sz w:val="24"/>
        </w:rPr>
      </w:pPr>
    </w:p>
    <w:p>
      <w:pPr>
        <w:spacing w:line="480" w:lineRule="exact"/>
        <w:ind w:firstLine="4579" w:firstLineChars="1900"/>
        <w:rPr>
          <w:rFonts w:ascii="宋体" w:hAnsi="宋体" w:cs="宋体"/>
          <w:sz w:val="24"/>
        </w:rPr>
      </w:pPr>
      <w:r>
        <w:rPr>
          <w:rFonts w:hint="eastAsia" w:ascii="宋体" w:hAnsi="宋体" w:cs="宋体"/>
          <w:sz w:val="24"/>
        </w:rPr>
        <w:t>投标单位名称（盖章）∶</w:t>
      </w:r>
    </w:p>
    <w:p>
      <w:pPr>
        <w:spacing w:line="480" w:lineRule="exact"/>
        <w:ind w:firstLine="4579" w:firstLineChars="1900"/>
        <w:rPr>
          <w:rFonts w:ascii="宋体" w:hAnsi="宋体" w:cs="宋体"/>
          <w:sz w:val="24"/>
        </w:rPr>
      </w:pPr>
      <w:r>
        <w:rPr>
          <w:rFonts w:hint="eastAsia" w:ascii="宋体" w:hAnsi="宋体" w:cs="宋体"/>
          <w:sz w:val="24"/>
        </w:rPr>
        <w:t>日 期∶</w:t>
      </w:r>
      <w:bookmarkStart w:id="127" w:name="_Toc515476713"/>
      <w:bookmarkStart w:id="128" w:name="_Toc512764472"/>
      <w:bookmarkStart w:id="129" w:name="_Toc12680"/>
      <w:bookmarkStart w:id="130" w:name="_Toc17278091"/>
      <w:bookmarkStart w:id="131" w:name="_Toc2476"/>
      <w:bookmarkStart w:id="132" w:name="_Toc16373"/>
      <w:bookmarkStart w:id="133" w:name="_Toc512681595"/>
    </w:p>
    <w:p>
      <w:pPr>
        <w:spacing w:line="480" w:lineRule="exact"/>
        <w:ind w:firstLine="562" w:firstLineChars="200"/>
        <w:rPr>
          <w:rFonts w:ascii="宋体" w:hAnsi="宋体" w:cs="宋体"/>
          <w:bCs/>
          <w:sz w:val="28"/>
          <w:szCs w:val="28"/>
        </w:rPr>
      </w:pPr>
    </w:p>
    <w:p>
      <w:pPr>
        <w:tabs>
          <w:tab w:val="left" w:pos="1507"/>
        </w:tabs>
        <w:spacing w:line="500" w:lineRule="exact"/>
        <w:ind w:firstLine="482" w:firstLineChars="200"/>
        <w:jc w:val="center"/>
        <w:rPr>
          <w:rFonts w:ascii="宋体" w:hAnsi="宋体" w:cs="宋体"/>
          <w:b/>
          <w:sz w:val="24"/>
        </w:rPr>
      </w:pPr>
    </w:p>
    <w:p>
      <w:pPr>
        <w:tabs>
          <w:tab w:val="left" w:pos="1507"/>
        </w:tabs>
        <w:spacing w:line="500" w:lineRule="exact"/>
        <w:ind w:firstLine="482" w:firstLineChars="200"/>
        <w:jc w:val="center"/>
        <w:rPr>
          <w:rFonts w:ascii="宋体" w:hAnsi="宋体" w:cs="宋体"/>
          <w:b/>
          <w:sz w:val="24"/>
        </w:rPr>
      </w:pPr>
    </w:p>
    <w:p>
      <w:pPr>
        <w:tabs>
          <w:tab w:val="left" w:pos="1507"/>
        </w:tabs>
        <w:spacing w:line="500" w:lineRule="exact"/>
        <w:ind w:firstLine="482" w:firstLineChars="200"/>
        <w:jc w:val="center"/>
        <w:rPr>
          <w:rFonts w:ascii="宋体" w:hAnsi="宋体" w:cs="宋体"/>
          <w:b/>
          <w:sz w:val="24"/>
        </w:rPr>
      </w:pPr>
      <w:r>
        <w:rPr>
          <w:rFonts w:hint="eastAsia" w:ascii="宋体" w:hAnsi="宋体" w:cs="宋体"/>
          <w:b/>
          <w:sz w:val="24"/>
        </w:rPr>
        <w:t>从业人员声明函</w:t>
      </w:r>
    </w:p>
    <w:p>
      <w:pPr>
        <w:tabs>
          <w:tab w:val="left" w:pos="1507"/>
        </w:tabs>
        <w:spacing w:line="500" w:lineRule="exact"/>
        <w:ind w:firstLine="482" w:firstLineChars="200"/>
        <w:rPr>
          <w:rFonts w:ascii="宋体" w:hAnsi="宋体" w:cs="宋体"/>
          <w:sz w:val="24"/>
        </w:rPr>
      </w:pPr>
      <w:r>
        <w:rPr>
          <w:rFonts w:hint="eastAsia" w:ascii="宋体" w:hAnsi="宋体" w:cs="宋体"/>
          <w:sz w:val="24"/>
        </w:rPr>
        <w:t xml:space="preserve">  本公司郑重声明：根据《政府采购促进中小企业发展暂行办法》（财库[2011]181 号）、《工业和信息部、国家统计局、国家发展和改革委员会、财政部关于印发中小企业划型标准规定的通知》（工信部联企业[2011]300 号）规定，本公司从业人员数为</w:t>
      </w:r>
      <w:r>
        <w:rPr>
          <w:rFonts w:hint="eastAsia" w:ascii="宋体" w:hAnsi="宋体" w:cs="宋体"/>
          <w:sz w:val="24"/>
          <w:u w:val="single"/>
        </w:rPr>
        <w:t xml:space="preserve">     </w:t>
      </w:r>
      <w:r>
        <w:rPr>
          <w:rFonts w:hint="eastAsia" w:ascii="宋体" w:hAnsi="宋体" w:cs="宋体"/>
          <w:sz w:val="24"/>
        </w:rPr>
        <w:t>人。本公司对上述声明的真实性负责，如有虚假，将依法承担相应责任。</w:t>
      </w:r>
    </w:p>
    <w:p>
      <w:pPr>
        <w:tabs>
          <w:tab w:val="left" w:pos="1507"/>
        </w:tabs>
        <w:spacing w:line="500" w:lineRule="exact"/>
        <w:ind w:firstLine="482" w:firstLineChars="200"/>
        <w:rPr>
          <w:rFonts w:ascii="宋体" w:hAnsi="宋体" w:cs="宋体"/>
          <w:sz w:val="24"/>
        </w:rPr>
      </w:pPr>
    </w:p>
    <w:p>
      <w:pPr>
        <w:tabs>
          <w:tab w:val="left" w:pos="1507"/>
        </w:tabs>
        <w:spacing w:line="500" w:lineRule="exact"/>
        <w:ind w:firstLine="482" w:firstLineChars="200"/>
        <w:rPr>
          <w:rFonts w:ascii="宋体" w:hAnsi="宋体" w:cs="宋体"/>
          <w:sz w:val="24"/>
        </w:rPr>
      </w:pPr>
    </w:p>
    <w:p>
      <w:pPr>
        <w:spacing w:line="500" w:lineRule="exact"/>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（盖单位章）</w:t>
      </w:r>
    </w:p>
    <w:p>
      <w:pPr>
        <w:spacing w:line="500" w:lineRule="exact"/>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（签字或盖章）</w:t>
      </w:r>
    </w:p>
    <w:p>
      <w:pPr>
        <w:spacing w:line="50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80" w:lineRule="exact"/>
        <w:ind w:firstLine="562" w:firstLineChars="200"/>
        <w:rPr>
          <w:rFonts w:ascii="宋体" w:hAnsi="宋体" w:cs="宋体"/>
          <w:bCs/>
          <w:sz w:val="28"/>
          <w:szCs w:val="28"/>
        </w:rPr>
        <w:sectPr>
          <w:footerReference r:id="rId18" w:type="first"/>
          <w:footerReference r:id="rId17" w:type="default"/>
          <w:pgSz w:w="11906" w:h="16838"/>
          <w:pgMar w:top="1417" w:right="1417" w:bottom="1417" w:left="1417" w:header="879" w:footer="833" w:gutter="0"/>
          <w:pgNumType w:fmt="decimal"/>
          <w:cols w:space="720" w:num="1"/>
          <w:titlePg/>
          <w:docGrid w:type="linesAndChars" w:linePitch="312" w:charSpace="394"/>
        </w:sectPr>
      </w:pPr>
    </w:p>
    <w:p>
      <w:pPr>
        <w:spacing w:line="480" w:lineRule="exact"/>
        <w:ind w:firstLine="562" w:firstLineChars="200"/>
        <w:rPr>
          <w:rFonts w:ascii="宋体" w:hAnsi="宋体" w:cs="宋体"/>
          <w:bCs/>
          <w:sz w:val="28"/>
          <w:szCs w:val="28"/>
        </w:rPr>
      </w:pPr>
      <w:r>
        <w:rPr>
          <w:rFonts w:hint="eastAsia" w:ascii="宋体" w:hAnsi="宋体" w:cs="宋体"/>
          <w:bCs/>
          <w:sz w:val="28"/>
          <w:szCs w:val="28"/>
        </w:rPr>
        <w:t>2、小型和微型企业、监狱企业产品报价说明表（如有）</w:t>
      </w:r>
      <w:bookmarkEnd w:id="127"/>
      <w:bookmarkEnd w:id="128"/>
      <w:bookmarkEnd w:id="129"/>
      <w:bookmarkEnd w:id="130"/>
      <w:bookmarkEnd w:id="131"/>
      <w:bookmarkEnd w:id="132"/>
      <w:bookmarkEnd w:id="133"/>
    </w:p>
    <w:p>
      <w:pPr>
        <w:spacing w:line="240" w:lineRule="exact"/>
        <w:jc w:val="center"/>
        <w:rPr>
          <w:rFonts w:ascii="宋体" w:hAnsi="宋体" w:cs="宋体"/>
          <w:b/>
          <w:szCs w:val="21"/>
        </w:rPr>
      </w:pPr>
    </w:p>
    <w:p>
      <w:pPr>
        <w:tabs>
          <w:tab w:val="left" w:pos="7470"/>
        </w:tabs>
        <w:spacing w:line="400" w:lineRule="exact"/>
        <w:jc w:val="right"/>
        <w:rPr>
          <w:rFonts w:ascii="宋体" w:hAnsi="宋体" w:cs="宋体"/>
          <w:b/>
          <w:sz w:val="24"/>
        </w:rPr>
      </w:pPr>
      <w:r>
        <w:rPr>
          <w:rFonts w:hint="eastAsia" w:ascii="宋体" w:hAnsi="宋体" w:cs="宋体"/>
          <w:sz w:val="24"/>
        </w:rPr>
        <w:t xml:space="preserve">                              单位：元 </w:t>
      </w:r>
    </w:p>
    <w:tbl>
      <w:tblPr>
        <w:tblStyle w:val="2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715"/>
        <w:gridCol w:w="1573"/>
        <w:gridCol w:w="958"/>
        <w:gridCol w:w="1100"/>
        <w:gridCol w:w="1661"/>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16"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715" w:type="dxa"/>
            <w:vAlign w:val="center"/>
          </w:tcPr>
          <w:p>
            <w:pPr>
              <w:spacing w:line="360" w:lineRule="auto"/>
              <w:jc w:val="center"/>
              <w:rPr>
                <w:rFonts w:ascii="宋体" w:hAnsi="宋体" w:cs="宋体"/>
                <w:sz w:val="24"/>
              </w:rPr>
            </w:pPr>
            <w:r>
              <w:rPr>
                <w:rFonts w:hint="eastAsia" w:ascii="宋体" w:hAnsi="宋体" w:cs="宋体"/>
                <w:sz w:val="24"/>
              </w:rPr>
              <w:t>名称</w:t>
            </w:r>
          </w:p>
        </w:tc>
        <w:tc>
          <w:tcPr>
            <w:tcW w:w="1573" w:type="dxa"/>
            <w:vAlign w:val="center"/>
          </w:tcPr>
          <w:p>
            <w:pPr>
              <w:spacing w:line="360" w:lineRule="auto"/>
              <w:jc w:val="center"/>
              <w:rPr>
                <w:rFonts w:ascii="宋体" w:hAnsi="宋体" w:cs="宋体"/>
                <w:sz w:val="24"/>
              </w:rPr>
            </w:pPr>
            <w:r>
              <w:rPr>
                <w:rFonts w:hint="eastAsia" w:ascii="宋体" w:hAnsi="宋体" w:cs="宋体"/>
                <w:sz w:val="24"/>
              </w:rPr>
              <w:t>型号/规格</w:t>
            </w:r>
          </w:p>
        </w:tc>
        <w:tc>
          <w:tcPr>
            <w:tcW w:w="958" w:type="dxa"/>
            <w:vAlign w:val="center"/>
          </w:tcPr>
          <w:p>
            <w:pPr>
              <w:spacing w:line="360" w:lineRule="auto"/>
              <w:jc w:val="center"/>
              <w:rPr>
                <w:rFonts w:ascii="宋体" w:hAnsi="宋体" w:cs="宋体"/>
                <w:sz w:val="24"/>
              </w:rPr>
            </w:pPr>
            <w:r>
              <w:rPr>
                <w:rFonts w:hint="eastAsia" w:ascii="宋体" w:hAnsi="宋体" w:cs="宋体"/>
                <w:sz w:val="24"/>
              </w:rPr>
              <w:t>数量</w:t>
            </w:r>
          </w:p>
        </w:tc>
        <w:tc>
          <w:tcPr>
            <w:tcW w:w="1100" w:type="dxa"/>
            <w:vAlign w:val="center"/>
          </w:tcPr>
          <w:p>
            <w:pPr>
              <w:spacing w:line="360" w:lineRule="auto"/>
              <w:jc w:val="center"/>
              <w:rPr>
                <w:rFonts w:ascii="宋体" w:hAnsi="宋体" w:cs="宋体"/>
                <w:sz w:val="24"/>
              </w:rPr>
            </w:pPr>
            <w:r>
              <w:rPr>
                <w:rFonts w:hint="eastAsia" w:ascii="宋体" w:hAnsi="宋体" w:cs="宋体"/>
                <w:sz w:val="24"/>
              </w:rPr>
              <w:t>单价</w:t>
            </w:r>
          </w:p>
        </w:tc>
        <w:tc>
          <w:tcPr>
            <w:tcW w:w="1661" w:type="dxa"/>
            <w:vAlign w:val="center"/>
          </w:tcPr>
          <w:p>
            <w:pPr>
              <w:spacing w:line="360" w:lineRule="auto"/>
              <w:jc w:val="center"/>
              <w:rPr>
                <w:rFonts w:ascii="宋体" w:hAnsi="宋体" w:cs="宋体"/>
                <w:sz w:val="24"/>
              </w:rPr>
            </w:pPr>
            <w:r>
              <w:rPr>
                <w:rFonts w:hint="eastAsia" w:ascii="宋体" w:hAnsi="宋体" w:cs="宋体"/>
                <w:sz w:val="24"/>
              </w:rPr>
              <w:t>制造厂名称</w:t>
            </w:r>
          </w:p>
        </w:tc>
        <w:tc>
          <w:tcPr>
            <w:tcW w:w="2231" w:type="dxa"/>
            <w:vAlign w:val="center"/>
          </w:tcPr>
          <w:p>
            <w:pPr>
              <w:jc w:val="center"/>
              <w:rPr>
                <w:rFonts w:ascii="宋体" w:hAnsi="宋体" w:cs="宋体"/>
                <w:sz w:val="24"/>
              </w:rPr>
            </w:pPr>
            <w:r>
              <w:rPr>
                <w:rFonts w:hint="eastAsia" w:ascii="宋体" w:hAnsi="宋体" w:cs="宋体"/>
                <w:sz w:val="24"/>
              </w:rPr>
              <w:t>产品制造商所属类型（监狱企业、小型、微型企业）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16" w:type="dxa"/>
            <w:vAlign w:val="center"/>
          </w:tcPr>
          <w:p>
            <w:pPr>
              <w:spacing w:line="360" w:lineRule="auto"/>
              <w:jc w:val="center"/>
              <w:rPr>
                <w:rFonts w:ascii="宋体" w:hAnsi="宋体" w:cs="宋体"/>
                <w:sz w:val="24"/>
              </w:rPr>
            </w:pPr>
            <w:r>
              <w:rPr>
                <w:rFonts w:hint="eastAsia" w:ascii="宋体" w:hAnsi="宋体" w:cs="宋体"/>
                <w:sz w:val="24"/>
              </w:rPr>
              <w:t>1</w:t>
            </w:r>
          </w:p>
        </w:tc>
        <w:tc>
          <w:tcPr>
            <w:tcW w:w="1715" w:type="dxa"/>
            <w:vAlign w:val="center"/>
          </w:tcPr>
          <w:p>
            <w:pPr>
              <w:spacing w:line="360" w:lineRule="auto"/>
              <w:jc w:val="center"/>
              <w:rPr>
                <w:rFonts w:ascii="宋体" w:hAnsi="宋体" w:cs="宋体"/>
                <w:sz w:val="24"/>
              </w:rPr>
            </w:pPr>
          </w:p>
        </w:tc>
        <w:tc>
          <w:tcPr>
            <w:tcW w:w="1573" w:type="dxa"/>
            <w:vAlign w:val="center"/>
          </w:tcPr>
          <w:p>
            <w:pPr>
              <w:spacing w:line="360" w:lineRule="auto"/>
              <w:jc w:val="center"/>
              <w:rPr>
                <w:rFonts w:ascii="宋体" w:hAnsi="宋体" w:cs="宋体"/>
                <w:sz w:val="24"/>
              </w:rPr>
            </w:pPr>
          </w:p>
        </w:tc>
        <w:tc>
          <w:tcPr>
            <w:tcW w:w="958" w:type="dxa"/>
            <w:vAlign w:val="center"/>
          </w:tcPr>
          <w:p>
            <w:pPr>
              <w:spacing w:line="360" w:lineRule="auto"/>
              <w:jc w:val="center"/>
              <w:rPr>
                <w:rFonts w:ascii="宋体" w:hAnsi="宋体" w:cs="宋体"/>
                <w:sz w:val="24"/>
              </w:rPr>
            </w:pPr>
          </w:p>
        </w:tc>
        <w:tc>
          <w:tcPr>
            <w:tcW w:w="1100" w:type="dxa"/>
            <w:vAlign w:val="center"/>
          </w:tcPr>
          <w:p>
            <w:pPr>
              <w:spacing w:line="360" w:lineRule="auto"/>
              <w:jc w:val="center"/>
              <w:rPr>
                <w:rFonts w:ascii="宋体" w:hAnsi="宋体" w:cs="宋体"/>
                <w:sz w:val="24"/>
              </w:rPr>
            </w:pPr>
          </w:p>
        </w:tc>
        <w:tc>
          <w:tcPr>
            <w:tcW w:w="1661" w:type="dxa"/>
            <w:vAlign w:val="center"/>
          </w:tcPr>
          <w:p>
            <w:pPr>
              <w:spacing w:line="360" w:lineRule="auto"/>
              <w:jc w:val="center"/>
              <w:rPr>
                <w:rFonts w:ascii="宋体" w:hAnsi="宋体" w:cs="宋体"/>
                <w:sz w:val="24"/>
              </w:rPr>
            </w:pPr>
          </w:p>
        </w:tc>
        <w:tc>
          <w:tcPr>
            <w:tcW w:w="223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16" w:type="dxa"/>
            <w:vAlign w:val="center"/>
          </w:tcPr>
          <w:p>
            <w:pPr>
              <w:spacing w:line="360" w:lineRule="auto"/>
              <w:jc w:val="center"/>
              <w:rPr>
                <w:rFonts w:ascii="宋体" w:hAnsi="宋体" w:cs="宋体"/>
                <w:sz w:val="24"/>
              </w:rPr>
            </w:pPr>
            <w:r>
              <w:rPr>
                <w:rFonts w:hint="eastAsia" w:ascii="宋体" w:hAnsi="宋体" w:cs="宋体"/>
                <w:sz w:val="24"/>
              </w:rPr>
              <w:t>2</w:t>
            </w:r>
          </w:p>
        </w:tc>
        <w:tc>
          <w:tcPr>
            <w:tcW w:w="1715" w:type="dxa"/>
            <w:vAlign w:val="center"/>
          </w:tcPr>
          <w:p>
            <w:pPr>
              <w:spacing w:line="360" w:lineRule="auto"/>
              <w:jc w:val="center"/>
              <w:rPr>
                <w:rFonts w:ascii="宋体" w:hAnsi="宋体" w:cs="宋体"/>
                <w:sz w:val="24"/>
              </w:rPr>
            </w:pPr>
          </w:p>
        </w:tc>
        <w:tc>
          <w:tcPr>
            <w:tcW w:w="1573" w:type="dxa"/>
            <w:vAlign w:val="center"/>
          </w:tcPr>
          <w:p>
            <w:pPr>
              <w:spacing w:line="360" w:lineRule="auto"/>
              <w:jc w:val="center"/>
              <w:rPr>
                <w:rFonts w:ascii="宋体" w:hAnsi="宋体" w:cs="宋体"/>
                <w:sz w:val="24"/>
              </w:rPr>
            </w:pPr>
          </w:p>
        </w:tc>
        <w:tc>
          <w:tcPr>
            <w:tcW w:w="958" w:type="dxa"/>
            <w:vAlign w:val="center"/>
          </w:tcPr>
          <w:p>
            <w:pPr>
              <w:spacing w:line="360" w:lineRule="auto"/>
              <w:jc w:val="center"/>
              <w:rPr>
                <w:rFonts w:ascii="宋体" w:hAnsi="宋体" w:cs="宋体"/>
                <w:sz w:val="24"/>
              </w:rPr>
            </w:pPr>
          </w:p>
        </w:tc>
        <w:tc>
          <w:tcPr>
            <w:tcW w:w="1100" w:type="dxa"/>
            <w:vAlign w:val="center"/>
          </w:tcPr>
          <w:p>
            <w:pPr>
              <w:spacing w:line="360" w:lineRule="auto"/>
              <w:jc w:val="center"/>
              <w:rPr>
                <w:rFonts w:ascii="宋体" w:hAnsi="宋体" w:cs="宋体"/>
                <w:sz w:val="24"/>
              </w:rPr>
            </w:pPr>
          </w:p>
        </w:tc>
        <w:tc>
          <w:tcPr>
            <w:tcW w:w="1661" w:type="dxa"/>
            <w:vAlign w:val="center"/>
          </w:tcPr>
          <w:p>
            <w:pPr>
              <w:spacing w:line="360" w:lineRule="auto"/>
              <w:jc w:val="center"/>
              <w:rPr>
                <w:rFonts w:ascii="宋体" w:hAnsi="宋体" w:cs="宋体"/>
                <w:sz w:val="24"/>
              </w:rPr>
            </w:pPr>
          </w:p>
        </w:tc>
        <w:tc>
          <w:tcPr>
            <w:tcW w:w="223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16" w:type="dxa"/>
            <w:vAlign w:val="center"/>
          </w:tcPr>
          <w:p>
            <w:pPr>
              <w:spacing w:line="360" w:lineRule="auto"/>
              <w:jc w:val="center"/>
              <w:rPr>
                <w:rFonts w:ascii="宋体" w:hAnsi="宋体" w:cs="宋体"/>
                <w:sz w:val="24"/>
              </w:rPr>
            </w:pPr>
            <w:r>
              <w:rPr>
                <w:rFonts w:hint="eastAsia" w:ascii="宋体" w:hAnsi="宋体" w:cs="宋体"/>
                <w:sz w:val="24"/>
              </w:rPr>
              <w:t>…</w:t>
            </w:r>
          </w:p>
        </w:tc>
        <w:tc>
          <w:tcPr>
            <w:tcW w:w="1715" w:type="dxa"/>
            <w:vAlign w:val="center"/>
          </w:tcPr>
          <w:p>
            <w:pPr>
              <w:spacing w:line="360" w:lineRule="auto"/>
              <w:jc w:val="center"/>
              <w:rPr>
                <w:rFonts w:ascii="宋体" w:hAnsi="宋体" w:cs="宋体"/>
                <w:sz w:val="24"/>
              </w:rPr>
            </w:pPr>
          </w:p>
        </w:tc>
        <w:tc>
          <w:tcPr>
            <w:tcW w:w="1573" w:type="dxa"/>
            <w:vAlign w:val="center"/>
          </w:tcPr>
          <w:p>
            <w:pPr>
              <w:spacing w:line="360" w:lineRule="auto"/>
              <w:jc w:val="center"/>
              <w:rPr>
                <w:rFonts w:ascii="宋体" w:hAnsi="宋体" w:cs="宋体"/>
                <w:sz w:val="24"/>
              </w:rPr>
            </w:pPr>
          </w:p>
        </w:tc>
        <w:tc>
          <w:tcPr>
            <w:tcW w:w="958" w:type="dxa"/>
            <w:vAlign w:val="center"/>
          </w:tcPr>
          <w:p>
            <w:pPr>
              <w:spacing w:line="360" w:lineRule="auto"/>
              <w:jc w:val="center"/>
              <w:rPr>
                <w:rFonts w:ascii="宋体" w:hAnsi="宋体" w:cs="宋体"/>
                <w:sz w:val="24"/>
              </w:rPr>
            </w:pPr>
          </w:p>
        </w:tc>
        <w:tc>
          <w:tcPr>
            <w:tcW w:w="1100" w:type="dxa"/>
            <w:vAlign w:val="center"/>
          </w:tcPr>
          <w:p>
            <w:pPr>
              <w:spacing w:line="360" w:lineRule="auto"/>
              <w:jc w:val="center"/>
              <w:rPr>
                <w:rFonts w:ascii="宋体" w:hAnsi="宋体" w:cs="宋体"/>
                <w:sz w:val="24"/>
              </w:rPr>
            </w:pPr>
          </w:p>
        </w:tc>
        <w:tc>
          <w:tcPr>
            <w:tcW w:w="1661" w:type="dxa"/>
            <w:vAlign w:val="center"/>
          </w:tcPr>
          <w:p>
            <w:pPr>
              <w:spacing w:line="360" w:lineRule="auto"/>
              <w:jc w:val="center"/>
              <w:rPr>
                <w:rFonts w:ascii="宋体" w:hAnsi="宋体" w:cs="宋体"/>
                <w:sz w:val="24"/>
              </w:rPr>
            </w:pPr>
          </w:p>
        </w:tc>
        <w:tc>
          <w:tcPr>
            <w:tcW w:w="223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16" w:type="dxa"/>
            <w:vAlign w:val="center"/>
          </w:tcPr>
          <w:p>
            <w:pPr>
              <w:spacing w:line="360" w:lineRule="auto"/>
              <w:jc w:val="center"/>
              <w:rPr>
                <w:rFonts w:ascii="宋体" w:hAnsi="宋体" w:cs="宋体"/>
                <w:sz w:val="24"/>
              </w:rPr>
            </w:pPr>
          </w:p>
        </w:tc>
        <w:tc>
          <w:tcPr>
            <w:tcW w:w="1715" w:type="dxa"/>
            <w:vAlign w:val="center"/>
          </w:tcPr>
          <w:p>
            <w:pPr>
              <w:spacing w:line="360" w:lineRule="auto"/>
              <w:jc w:val="center"/>
              <w:rPr>
                <w:rFonts w:ascii="宋体" w:hAnsi="宋体" w:cs="宋体"/>
                <w:sz w:val="24"/>
              </w:rPr>
            </w:pPr>
          </w:p>
        </w:tc>
        <w:tc>
          <w:tcPr>
            <w:tcW w:w="1573" w:type="dxa"/>
            <w:vAlign w:val="center"/>
          </w:tcPr>
          <w:p>
            <w:pPr>
              <w:spacing w:line="360" w:lineRule="auto"/>
              <w:jc w:val="center"/>
              <w:rPr>
                <w:rFonts w:ascii="宋体" w:hAnsi="宋体" w:cs="宋体"/>
                <w:sz w:val="24"/>
              </w:rPr>
            </w:pPr>
          </w:p>
        </w:tc>
        <w:tc>
          <w:tcPr>
            <w:tcW w:w="958" w:type="dxa"/>
            <w:vAlign w:val="center"/>
          </w:tcPr>
          <w:p>
            <w:pPr>
              <w:spacing w:line="360" w:lineRule="auto"/>
              <w:jc w:val="center"/>
              <w:rPr>
                <w:rFonts w:ascii="宋体" w:hAnsi="宋体" w:cs="宋体"/>
                <w:sz w:val="24"/>
              </w:rPr>
            </w:pPr>
          </w:p>
        </w:tc>
        <w:tc>
          <w:tcPr>
            <w:tcW w:w="1100" w:type="dxa"/>
            <w:vAlign w:val="center"/>
          </w:tcPr>
          <w:p>
            <w:pPr>
              <w:spacing w:line="360" w:lineRule="auto"/>
              <w:jc w:val="center"/>
              <w:rPr>
                <w:rFonts w:ascii="宋体" w:hAnsi="宋体" w:cs="宋体"/>
                <w:sz w:val="24"/>
              </w:rPr>
            </w:pPr>
          </w:p>
        </w:tc>
        <w:tc>
          <w:tcPr>
            <w:tcW w:w="1661" w:type="dxa"/>
            <w:vAlign w:val="center"/>
          </w:tcPr>
          <w:p>
            <w:pPr>
              <w:spacing w:line="360" w:lineRule="auto"/>
              <w:jc w:val="center"/>
              <w:rPr>
                <w:rFonts w:ascii="宋体" w:hAnsi="宋体" w:cs="宋体"/>
                <w:sz w:val="24"/>
              </w:rPr>
            </w:pPr>
          </w:p>
        </w:tc>
        <w:tc>
          <w:tcPr>
            <w:tcW w:w="223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862" w:type="dxa"/>
            <w:gridSpan w:val="4"/>
            <w:vAlign w:val="center"/>
          </w:tcPr>
          <w:p>
            <w:pPr>
              <w:spacing w:line="360" w:lineRule="auto"/>
              <w:jc w:val="center"/>
              <w:rPr>
                <w:rFonts w:ascii="宋体" w:hAnsi="宋体" w:cs="宋体"/>
                <w:sz w:val="24"/>
              </w:rPr>
            </w:pPr>
            <w:r>
              <w:rPr>
                <w:rFonts w:hint="eastAsia" w:ascii="宋体" w:hAnsi="宋体" w:cs="宋体"/>
                <w:sz w:val="24"/>
              </w:rPr>
              <w:t>监狱、小型、微型企业产品报价总计</w:t>
            </w:r>
          </w:p>
        </w:tc>
        <w:tc>
          <w:tcPr>
            <w:tcW w:w="4992" w:type="dxa"/>
            <w:gridSpan w:val="3"/>
            <w:vAlign w:val="center"/>
          </w:tcPr>
          <w:p>
            <w:pPr>
              <w:spacing w:line="360" w:lineRule="auto"/>
              <w:jc w:val="center"/>
              <w:rPr>
                <w:rFonts w:ascii="宋体" w:hAnsi="宋体" w:cs="宋体"/>
                <w:sz w:val="24"/>
              </w:rPr>
            </w:pPr>
          </w:p>
        </w:tc>
      </w:tr>
    </w:tbl>
    <w:p>
      <w:pPr>
        <w:spacing w:line="500" w:lineRule="exact"/>
        <w:ind w:right="482"/>
        <w:rPr>
          <w:rFonts w:ascii="宋体" w:hAnsi="宋体" w:cs="宋体"/>
          <w:b/>
          <w:sz w:val="24"/>
        </w:rPr>
      </w:pPr>
      <w:r>
        <w:rPr>
          <w:rFonts w:hint="eastAsia" w:ascii="宋体" w:hAnsi="宋体" w:cs="宋体"/>
          <w:b/>
          <w:sz w:val="24"/>
        </w:rPr>
        <w:t>附注：</w:t>
      </w:r>
    </w:p>
    <w:p>
      <w:pPr>
        <w:spacing w:line="480" w:lineRule="exact"/>
        <w:ind w:firstLine="482" w:firstLineChars="200"/>
        <w:rPr>
          <w:rFonts w:ascii="宋体" w:hAnsi="宋体" w:cs="宋体"/>
          <w:sz w:val="24"/>
        </w:rPr>
      </w:pPr>
      <w:r>
        <w:rPr>
          <w:rFonts w:hint="eastAsia" w:ascii="宋体" w:hAnsi="宋体" w:cs="宋体"/>
          <w:sz w:val="24"/>
        </w:rPr>
        <w:t>1、填入的产品必须是本企业生产的产品，或代理的其他监狱企业、小型企业、微型企业的产品；</w:t>
      </w:r>
    </w:p>
    <w:p>
      <w:pPr>
        <w:spacing w:line="480" w:lineRule="exact"/>
        <w:ind w:firstLine="482" w:firstLineChars="200"/>
        <w:rPr>
          <w:rFonts w:ascii="宋体" w:hAnsi="宋体" w:cs="宋体"/>
          <w:sz w:val="24"/>
        </w:rPr>
      </w:pPr>
      <w:r>
        <w:rPr>
          <w:rFonts w:hint="eastAsia" w:ascii="宋体" w:hAnsi="宋体" w:cs="宋体"/>
          <w:sz w:val="24"/>
        </w:rPr>
        <w:t>2、填写本表的小型和微型企业须同时按附件格式提供“中小企业声明函”；填写本表的监狱企业须提供由省级以上监狱管理局、戒毒管理局（含新疆生产建设兵团）出具的属于监狱企业证明文件。代理监狱企业、小型、微型企业的产品，须同时提供该企业的监狱企业、小型企业、微型企业证明。</w:t>
      </w:r>
    </w:p>
    <w:p>
      <w:pPr>
        <w:spacing w:line="480" w:lineRule="exact"/>
        <w:ind w:firstLine="482" w:firstLineChars="200"/>
        <w:rPr>
          <w:rFonts w:ascii="宋体" w:hAnsi="宋体" w:cs="宋体"/>
          <w:b/>
          <w:sz w:val="24"/>
        </w:rPr>
      </w:pPr>
      <w:r>
        <w:rPr>
          <w:rFonts w:hint="eastAsia" w:ascii="宋体" w:hAnsi="宋体" w:cs="宋体"/>
          <w:sz w:val="24"/>
        </w:rPr>
        <w:t>3、不填报本表，不需提供“中小企业声明函”和证明文件，评审时不对其产品给予评审价折扣。</w:t>
      </w:r>
    </w:p>
    <w:p>
      <w:pPr>
        <w:spacing w:after="240"/>
        <w:ind w:left="1063" w:leftChars="504" w:firstLine="3133" w:firstLineChars="1300"/>
        <w:rPr>
          <w:rFonts w:ascii="宋体" w:hAnsi="宋体" w:cs="宋体"/>
          <w:sz w:val="24"/>
        </w:rPr>
      </w:pPr>
    </w:p>
    <w:p>
      <w:pPr>
        <w:spacing w:line="360" w:lineRule="auto"/>
        <w:ind w:firstLine="241" w:firstLineChars="100"/>
        <w:jc w:val="center"/>
        <w:outlineLvl w:val="0"/>
        <w:rPr>
          <w:rFonts w:ascii="宋体" w:hAnsi="宋体" w:cs="宋体"/>
          <w:sz w:val="24"/>
        </w:rPr>
      </w:pPr>
      <w:r>
        <w:rPr>
          <w:rFonts w:hint="eastAsia" w:ascii="宋体" w:hAnsi="宋体" w:cs="宋体"/>
          <w:sz w:val="24"/>
        </w:rPr>
        <w:t xml:space="preserve">     </w:t>
      </w:r>
      <w:bookmarkStart w:id="134" w:name="_Toc5897"/>
      <w:bookmarkStart w:id="135" w:name="_Toc12445"/>
      <w:bookmarkStart w:id="136" w:name="_Toc25024"/>
      <w:bookmarkStart w:id="137" w:name="_Toc13652"/>
      <w:r>
        <w:rPr>
          <w:rFonts w:hint="eastAsia" w:ascii="宋体" w:hAnsi="宋体" w:cs="宋体"/>
          <w:sz w:val="24"/>
        </w:rPr>
        <w:t>供应商名称（盖章）：</w:t>
      </w:r>
      <w:bookmarkEnd w:id="134"/>
      <w:bookmarkEnd w:id="135"/>
      <w:bookmarkEnd w:id="136"/>
      <w:bookmarkEnd w:id="137"/>
      <w:r>
        <w:rPr>
          <w:rFonts w:hint="eastAsia" w:ascii="宋体" w:hAnsi="宋体" w:cs="宋体"/>
          <w:sz w:val="24"/>
        </w:rPr>
        <w:t xml:space="preserve"> </w:t>
      </w:r>
    </w:p>
    <w:p>
      <w:pPr>
        <w:spacing w:line="360" w:lineRule="auto"/>
        <w:ind w:firstLine="241" w:firstLineChars="100"/>
        <w:rPr>
          <w:rFonts w:ascii="宋体" w:hAnsi="宋体" w:cs="宋体"/>
          <w:sz w:val="24"/>
        </w:rPr>
      </w:pPr>
      <w:r>
        <w:rPr>
          <w:rFonts w:hint="eastAsia" w:ascii="宋体" w:hAnsi="宋体" w:cs="宋体"/>
          <w:sz w:val="24"/>
        </w:rPr>
        <w:t xml:space="preserve">      </w:t>
      </w:r>
    </w:p>
    <w:p>
      <w:pPr>
        <w:autoSpaceDE w:val="0"/>
        <w:autoSpaceDN w:val="0"/>
        <w:spacing w:line="360" w:lineRule="auto"/>
        <w:ind w:firstLine="241" w:firstLineChars="100"/>
        <w:jc w:val="center"/>
        <w:outlineLvl w:val="0"/>
        <w:rPr>
          <w:rFonts w:ascii="宋体" w:hAnsi="宋体" w:cs="宋体"/>
          <w:sz w:val="24"/>
          <w:lang w:val="zh-CN"/>
        </w:rPr>
      </w:pPr>
      <w:r>
        <w:rPr>
          <w:rFonts w:hint="eastAsia" w:ascii="宋体" w:hAnsi="宋体" w:cs="宋体"/>
          <w:sz w:val="24"/>
        </w:rPr>
        <w:t xml:space="preserve">                      </w:t>
      </w:r>
      <w:bookmarkStart w:id="138" w:name="_Toc22202"/>
      <w:bookmarkStart w:id="139" w:name="_Toc11000"/>
      <w:bookmarkStart w:id="140" w:name="_Toc27217"/>
      <w:bookmarkStart w:id="141" w:name="_Toc19087"/>
      <w:r>
        <w:rPr>
          <w:rFonts w:hint="eastAsia" w:ascii="宋体" w:hAnsi="宋体" w:cs="宋体"/>
          <w:sz w:val="24"/>
          <w:lang w:val="zh-CN"/>
        </w:rPr>
        <w:t>法定代表人或其授权代表</w:t>
      </w:r>
      <w:r>
        <w:rPr>
          <w:rFonts w:hint="eastAsia" w:ascii="宋体" w:hAnsi="宋体" w:cs="宋体"/>
          <w:sz w:val="24"/>
        </w:rPr>
        <w:t>（签字或盖章）</w:t>
      </w:r>
      <w:r>
        <w:rPr>
          <w:rFonts w:hint="eastAsia" w:ascii="宋体" w:hAnsi="宋体" w:cs="宋体"/>
          <w:sz w:val="24"/>
          <w:lang w:val="zh-CN"/>
        </w:rPr>
        <w:t>：</w:t>
      </w:r>
      <w:bookmarkEnd w:id="138"/>
      <w:bookmarkEnd w:id="139"/>
      <w:bookmarkEnd w:id="140"/>
      <w:bookmarkEnd w:id="141"/>
      <w:r>
        <w:rPr>
          <w:rFonts w:hint="eastAsia" w:ascii="宋体" w:hAnsi="宋体" w:cs="宋体"/>
          <w:sz w:val="24"/>
          <w:lang w:val="zh-CN"/>
        </w:rPr>
        <w:t xml:space="preserve">   </w:t>
      </w:r>
    </w:p>
    <w:p>
      <w:pPr>
        <w:pStyle w:val="2"/>
        <w:ind w:left="424" w:firstLine="484"/>
        <w:rPr>
          <w:rFonts w:ascii="宋体" w:hAnsi="宋体" w:cs="宋体"/>
          <w:sz w:val="24"/>
          <w:lang w:val="zh-CN"/>
        </w:rPr>
      </w:pPr>
    </w:p>
    <w:p>
      <w:pPr>
        <w:autoSpaceDE w:val="0"/>
        <w:autoSpaceDN w:val="0"/>
        <w:spacing w:line="360" w:lineRule="auto"/>
        <w:ind w:firstLine="241" w:firstLineChars="100"/>
        <w:jc w:val="right"/>
        <w:rPr>
          <w:rFonts w:ascii="宋体" w:hAnsi="宋体" w:cs="宋体"/>
          <w:sz w:val="24"/>
        </w:rPr>
        <w:sectPr>
          <w:pgSz w:w="11906" w:h="16838"/>
          <w:pgMar w:top="1417" w:right="1417" w:bottom="1417" w:left="1417" w:header="879" w:footer="833" w:gutter="0"/>
          <w:pgNumType w:fmt="decimal"/>
          <w:cols w:space="720" w:num="1"/>
          <w:titlePg/>
          <w:docGrid w:type="linesAndChars" w:linePitch="312" w:charSpace="394"/>
        </w:sectPr>
      </w:pPr>
      <w:r>
        <w:rPr>
          <w:rFonts w:hint="eastAsia" w:ascii="宋体" w:hAnsi="宋体" w:cs="宋体"/>
          <w:sz w:val="24"/>
          <w:lang w:val="zh-CN"/>
        </w:rPr>
        <w:t>日期：</w:t>
      </w: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 xml:space="preserve"> </w:t>
      </w:r>
    </w:p>
    <w:p>
      <w:pPr>
        <w:pStyle w:val="6"/>
        <w:spacing w:before="55"/>
        <w:jc w:val="center"/>
      </w:pPr>
    </w:p>
    <w:p>
      <w:pPr>
        <w:pStyle w:val="6"/>
        <w:spacing w:before="55"/>
        <w:jc w:val="center"/>
      </w:pPr>
      <w:r>
        <w:rPr>
          <w:rFonts w:hint="eastAsia"/>
        </w:rPr>
        <w:t>监狱企业证明材料</w:t>
      </w:r>
    </w:p>
    <w:p>
      <w:pPr>
        <w:spacing w:line="360" w:lineRule="auto"/>
        <w:rPr>
          <w:sz w:val="24"/>
        </w:rPr>
      </w:pPr>
      <w:r>
        <w:rPr>
          <w:rFonts w:hint="eastAsia"/>
          <w:sz w:val="24"/>
        </w:rPr>
        <w:t>（若企业非监狱企业，则不需填写）</w:t>
      </w:r>
    </w:p>
    <w:p>
      <w:pPr>
        <w:spacing w:line="360" w:lineRule="auto"/>
        <w:rPr>
          <w:sz w:val="24"/>
        </w:rPr>
      </w:pPr>
    </w:p>
    <w:p>
      <w:pPr>
        <w:spacing w:line="360" w:lineRule="auto"/>
        <w:ind w:firstLine="482" w:firstLineChars="200"/>
        <w:rPr>
          <w:sz w:val="24"/>
        </w:rPr>
      </w:pPr>
      <w:r>
        <w:rPr>
          <w:rFonts w:hint="eastAsia"/>
          <w:sz w:val="24"/>
        </w:rPr>
        <w:t>提供由省级以上监狱管理局、戒毒管理局（含新疆生产建设兵团）出具的属于监狱企业的证明文件。</w:t>
      </w:r>
    </w:p>
    <w:p/>
    <w:p/>
    <w:p/>
    <w:p/>
    <w:p/>
    <w:p>
      <w:pPr>
        <w:spacing w:line="500" w:lineRule="exact"/>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（盖单位章）</w:t>
      </w:r>
    </w:p>
    <w:p>
      <w:pPr>
        <w:spacing w:line="500" w:lineRule="exact"/>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（签字或盖章）</w:t>
      </w:r>
    </w:p>
    <w:p>
      <w:pPr>
        <w:spacing w:line="50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6"/>
      </w:pPr>
    </w:p>
    <w:p>
      <w:pPr>
        <w:pStyle w:val="6"/>
        <w:spacing w:before="55" w:line="360" w:lineRule="auto"/>
        <w:ind w:firstLine="2321" w:firstLineChars="1100"/>
        <w:rPr>
          <w:rFonts w:ascii="宋体" w:hAnsi="宋体" w:eastAsia="宋体"/>
          <w:bCs w:val="0"/>
          <w:sz w:val="21"/>
          <w:szCs w:val="21"/>
        </w:rPr>
        <w:sectPr>
          <w:footerReference r:id="rId19" w:type="default"/>
          <w:pgSz w:w="11906" w:h="16838"/>
          <w:pgMar w:top="1417" w:right="1417" w:bottom="1417" w:left="1417" w:header="879" w:footer="833" w:gutter="0"/>
          <w:pgNumType w:fmt="decimal"/>
          <w:cols w:space="720" w:num="1"/>
          <w:titlePg/>
          <w:docGrid w:type="linesAndChars" w:linePitch="312" w:charSpace="394"/>
        </w:sectPr>
      </w:pPr>
    </w:p>
    <w:p>
      <w:pPr>
        <w:adjustRightInd w:val="0"/>
        <w:snapToGrid w:val="0"/>
        <w:spacing w:before="156" w:beforeLines="50" w:line="360" w:lineRule="auto"/>
        <w:ind w:right="-20" w:firstLine="562" w:firstLineChars="200"/>
        <w:jc w:val="center"/>
        <w:rPr>
          <w:rFonts w:ascii="宋体" w:hAnsi="宋体" w:cs="宋体"/>
          <w:bCs/>
          <w:sz w:val="28"/>
          <w:szCs w:val="28"/>
        </w:rPr>
      </w:pPr>
    </w:p>
    <w:p>
      <w:pPr>
        <w:adjustRightInd w:val="0"/>
        <w:snapToGrid w:val="0"/>
        <w:spacing w:before="156" w:beforeLines="50" w:line="360" w:lineRule="auto"/>
        <w:ind w:right="-20" w:firstLine="562" w:firstLineChars="200"/>
        <w:jc w:val="center"/>
        <w:outlineLvl w:val="0"/>
        <w:rPr>
          <w:rFonts w:ascii="宋体" w:hAnsi="宋体" w:cs="宋体"/>
          <w:bCs/>
          <w:sz w:val="28"/>
          <w:szCs w:val="28"/>
        </w:rPr>
      </w:pPr>
      <w:bookmarkStart w:id="142" w:name="_Toc32276"/>
      <w:bookmarkStart w:id="143" w:name="_Toc1271"/>
      <w:bookmarkStart w:id="144" w:name="_Toc1450"/>
      <w:bookmarkStart w:id="145" w:name="_Toc29306"/>
      <w:r>
        <w:rPr>
          <w:rFonts w:hint="eastAsia" w:ascii="宋体" w:hAnsi="宋体" w:cs="宋体"/>
          <w:bCs/>
          <w:sz w:val="28"/>
          <w:szCs w:val="28"/>
        </w:rPr>
        <w:t>3、环境标志产品明细表</w:t>
      </w:r>
      <w:bookmarkEnd w:id="142"/>
      <w:bookmarkEnd w:id="143"/>
      <w:bookmarkEnd w:id="144"/>
      <w:bookmarkEnd w:id="145"/>
    </w:p>
    <w:p>
      <w:pPr>
        <w:adjustRightInd w:val="0"/>
        <w:snapToGrid w:val="0"/>
        <w:spacing w:before="156" w:beforeLines="50" w:line="360" w:lineRule="auto"/>
        <w:ind w:left="420" w:right="-20" w:firstLine="89" w:firstLineChars="42"/>
        <w:jc w:val="center"/>
        <w:outlineLvl w:val="0"/>
        <w:rPr>
          <w:rFonts w:ascii="宋体" w:hAnsi="宋体" w:cs="宋体"/>
          <w:b/>
          <w:spacing w:val="1"/>
          <w:position w:val="-2"/>
          <w:szCs w:val="21"/>
        </w:rPr>
      </w:pPr>
      <w:bookmarkStart w:id="146" w:name="_Toc13749"/>
      <w:bookmarkStart w:id="147" w:name="_Toc19568"/>
      <w:bookmarkStart w:id="148" w:name="_Toc12758"/>
      <w:bookmarkStart w:id="149" w:name="_Toc20901"/>
      <w:r>
        <w:rPr>
          <w:rFonts w:hint="eastAsia" w:ascii="宋体" w:hAnsi="宋体" w:cs="宋体"/>
          <w:b/>
          <w:spacing w:val="1"/>
          <w:position w:val="-2"/>
          <w:szCs w:val="21"/>
        </w:rPr>
        <w:t>（所投产品如为环境标志产品填写）</w:t>
      </w:r>
      <w:bookmarkEnd w:id="146"/>
      <w:bookmarkEnd w:id="147"/>
      <w:bookmarkEnd w:id="148"/>
      <w:bookmarkEnd w:id="149"/>
    </w:p>
    <w:p>
      <w:pPr>
        <w:adjustRightInd w:val="0"/>
        <w:snapToGrid w:val="0"/>
        <w:spacing w:before="156" w:beforeLines="50" w:line="360" w:lineRule="auto"/>
        <w:ind w:right="187"/>
        <w:jc w:val="right"/>
        <w:rPr>
          <w:rFonts w:ascii="宋体" w:hAnsi="宋体" w:cs="宋体"/>
          <w:bCs/>
          <w:sz w:val="24"/>
        </w:rPr>
      </w:pPr>
      <w:r>
        <w:rPr>
          <w:rFonts w:hint="eastAsia" w:ascii="宋体" w:hAnsi="宋体" w:cs="宋体"/>
          <w:bCs/>
          <w:sz w:val="24"/>
        </w:rPr>
        <w:t xml:space="preserve">                         单位：元</w:t>
      </w:r>
    </w:p>
    <w:tbl>
      <w:tblPr>
        <w:tblStyle w:val="25"/>
        <w:tblW w:w="985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12"/>
        <w:gridCol w:w="884"/>
        <w:gridCol w:w="899"/>
        <w:gridCol w:w="726"/>
        <w:gridCol w:w="1156"/>
        <w:gridCol w:w="1808"/>
        <w:gridCol w:w="1581"/>
        <w:gridCol w:w="518"/>
        <w:gridCol w:w="723"/>
        <w:gridCol w:w="9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jc w:val="center"/>
        </w:trPr>
        <w:tc>
          <w:tcPr>
            <w:tcW w:w="612" w:type="dxa"/>
            <w:vMerge w:val="restart"/>
            <w:vAlign w:val="center"/>
          </w:tcPr>
          <w:p>
            <w:pPr>
              <w:adjustRightInd w:val="0"/>
              <w:snapToGrid w:val="0"/>
              <w:spacing w:before="156" w:beforeLines="50" w:line="360" w:lineRule="auto"/>
              <w:jc w:val="center"/>
              <w:rPr>
                <w:rFonts w:ascii="宋体" w:hAnsi="宋体" w:cs="宋体"/>
                <w:position w:val="-1"/>
                <w:sz w:val="24"/>
              </w:rPr>
            </w:pPr>
            <w:r>
              <w:rPr>
                <w:rFonts w:hint="eastAsia" w:ascii="宋体" w:hAnsi="宋体" w:cs="宋体"/>
                <w:position w:val="-1"/>
                <w:sz w:val="24"/>
              </w:rPr>
              <w:t>序号</w:t>
            </w:r>
          </w:p>
        </w:tc>
        <w:tc>
          <w:tcPr>
            <w:tcW w:w="884" w:type="dxa"/>
            <w:vMerge w:val="restart"/>
            <w:vAlign w:val="center"/>
          </w:tcPr>
          <w:p>
            <w:pPr>
              <w:adjustRightInd w:val="0"/>
              <w:snapToGrid w:val="0"/>
              <w:spacing w:before="156" w:beforeLines="50" w:line="360" w:lineRule="auto"/>
              <w:jc w:val="center"/>
              <w:rPr>
                <w:rFonts w:ascii="宋体" w:hAnsi="宋体" w:cs="宋体"/>
                <w:position w:val="-1"/>
                <w:sz w:val="24"/>
              </w:rPr>
            </w:pPr>
            <w:r>
              <w:rPr>
                <w:rFonts w:hint="eastAsia" w:ascii="宋体" w:hAnsi="宋体" w:cs="宋体"/>
                <w:position w:val="-1"/>
                <w:sz w:val="24"/>
              </w:rPr>
              <w:t>产品名称</w:t>
            </w:r>
          </w:p>
        </w:tc>
        <w:tc>
          <w:tcPr>
            <w:tcW w:w="899" w:type="dxa"/>
            <w:vMerge w:val="restart"/>
            <w:vAlign w:val="center"/>
          </w:tcPr>
          <w:p>
            <w:pPr>
              <w:adjustRightInd w:val="0"/>
              <w:snapToGrid w:val="0"/>
              <w:spacing w:before="156" w:beforeLines="50" w:line="360" w:lineRule="auto"/>
              <w:jc w:val="center"/>
              <w:rPr>
                <w:rFonts w:ascii="宋体" w:hAnsi="宋体" w:cs="宋体"/>
                <w:position w:val="-1"/>
                <w:sz w:val="24"/>
              </w:rPr>
            </w:pPr>
            <w:r>
              <w:rPr>
                <w:rFonts w:hint="eastAsia" w:ascii="宋体" w:hAnsi="宋体" w:cs="宋体"/>
                <w:position w:val="-1"/>
                <w:sz w:val="24"/>
              </w:rPr>
              <w:t>企业名称</w:t>
            </w:r>
          </w:p>
        </w:tc>
        <w:tc>
          <w:tcPr>
            <w:tcW w:w="726" w:type="dxa"/>
            <w:vMerge w:val="restart"/>
            <w:vAlign w:val="center"/>
          </w:tcPr>
          <w:p>
            <w:pPr>
              <w:adjustRightInd w:val="0"/>
              <w:snapToGrid w:val="0"/>
              <w:spacing w:before="156" w:beforeLines="50" w:line="360" w:lineRule="auto"/>
              <w:jc w:val="center"/>
              <w:rPr>
                <w:rFonts w:ascii="宋体" w:hAnsi="宋体" w:cs="宋体"/>
                <w:position w:val="-1"/>
                <w:sz w:val="24"/>
              </w:rPr>
            </w:pPr>
            <w:r>
              <w:rPr>
                <w:rFonts w:hint="eastAsia" w:ascii="宋体" w:hAnsi="宋体" w:cs="宋体"/>
                <w:position w:val="-1"/>
                <w:sz w:val="24"/>
              </w:rPr>
              <w:t>品牌</w:t>
            </w:r>
          </w:p>
        </w:tc>
        <w:tc>
          <w:tcPr>
            <w:tcW w:w="1156" w:type="dxa"/>
            <w:vMerge w:val="restart"/>
            <w:vAlign w:val="center"/>
          </w:tcPr>
          <w:p>
            <w:pPr>
              <w:adjustRightInd w:val="0"/>
              <w:snapToGrid w:val="0"/>
              <w:spacing w:before="156" w:beforeLines="50" w:line="360" w:lineRule="auto"/>
              <w:rPr>
                <w:rFonts w:ascii="宋体" w:hAnsi="宋体" w:cs="宋体"/>
                <w:position w:val="-1"/>
                <w:sz w:val="24"/>
              </w:rPr>
            </w:pPr>
            <w:r>
              <w:rPr>
                <w:rFonts w:hint="eastAsia" w:ascii="宋体" w:hAnsi="宋体" w:cs="宋体"/>
                <w:position w:val="-1"/>
                <w:sz w:val="24"/>
              </w:rPr>
              <w:t>规格型号</w:t>
            </w:r>
          </w:p>
        </w:tc>
        <w:tc>
          <w:tcPr>
            <w:tcW w:w="1808" w:type="dxa"/>
            <w:vMerge w:val="restart"/>
            <w:vAlign w:val="center"/>
          </w:tcPr>
          <w:p>
            <w:pPr>
              <w:adjustRightInd w:val="0"/>
              <w:snapToGrid w:val="0"/>
              <w:spacing w:before="156" w:beforeLines="50" w:line="360" w:lineRule="auto"/>
              <w:jc w:val="center"/>
              <w:rPr>
                <w:rFonts w:ascii="宋体" w:hAnsi="宋体" w:cs="宋体"/>
                <w:position w:val="-1"/>
                <w:sz w:val="24"/>
              </w:rPr>
            </w:pPr>
            <w:r>
              <w:rPr>
                <w:rFonts w:hint="eastAsia" w:ascii="宋体" w:hAnsi="宋体" w:cs="宋体"/>
                <w:sz w:val="24"/>
              </w:rPr>
              <w:t>中国环境标志认证证书编号</w:t>
            </w:r>
          </w:p>
        </w:tc>
        <w:tc>
          <w:tcPr>
            <w:tcW w:w="1581" w:type="dxa"/>
            <w:vMerge w:val="restart"/>
            <w:vAlign w:val="center"/>
          </w:tcPr>
          <w:p>
            <w:pPr>
              <w:adjustRightInd w:val="0"/>
              <w:snapToGrid w:val="0"/>
              <w:spacing w:before="156" w:beforeLines="50" w:line="360" w:lineRule="auto"/>
              <w:jc w:val="center"/>
              <w:rPr>
                <w:rFonts w:ascii="宋体" w:hAnsi="宋体" w:cs="宋体"/>
                <w:position w:val="-1"/>
                <w:sz w:val="24"/>
              </w:rPr>
            </w:pPr>
            <w:r>
              <w:rPr>
                <w:rFonts w:hint="eastAsia" w:ascii="宋体" w:hAnsi="宋体" w:cs="宋体"/>
                <w:sz w:val="24"/>
              </w:rPr>
              <w:t>认证证书有效截止日期</w:t>
            </w:r>
          </w:p>
        </w:tc>
        <w:tc>
          <w:tcPr>
            <w:tcW w:w="2188" w:type="dxa"/>
            <w:gridSpan w:val="3"/>
            <w:vAlign w:val="center"/>
          </w:tcPr>
          <w:p>
            <w:pPr>
              <w:adjustRightInd w:val="0"/>
              <w:snapToGrid w:val="0"/>
              <w:spacing w:before="156" w:beforeLines="50" w:line="360" w:lineRule="auto"/>
              <w:ind w:right="-20"/>
              <w:jc w:val="center"/>
              <w:rPr>
                <w:rFonts w:ascii="宋体" w:hAnsi="宋体" w:cs="宋体"/>
                <w:sz w:val="24"/>
              </w:rPr>
            </w:pPr>
            <w:r>
              <w:rPr>
                <w:rFonts w:hint="eastAsia" w:ascii="宋体" w:hAnsi="宋体" w:cs="宋体"/>
                <w:sz w:val="24"/>
              </w:rPr>
              <w:t>价格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jc w:val="center"/>
        </w:trPr>
        <w:tc>
          <w:tcPr>
            <w:tcW w:w="612" w:type="dxa"/>
            <w:vMerge w:val="continue"/>
            <w:vAlign w:val="center"/>
          </w:tcPr>
          <w:p>
            <w:pPr>
              <w:adjustRightInd w:val="0"/>
              <w:snapToGrid w:val="0"/>
              <w:spacing w:before="156" w:beforeLines="50" w:line="360" w:lineRule="auto"/>
              <w:jc w:val="center"/>
              <w:rPr>
                <w:rFonts w:ascii="宋体" w:hAnsi="宋体" w:cs="宋体"/>
                <w:position w:val="-1"/>
                <w:sz w:val="24"/>
              </w:rPr>
            </w:pPr>
          </w:p>
        </w:tc>
        <w:tc>
          <w:tcPr>
            <w:tcW w:w="884" w:type="dxa"/>
            <w:vMerge w:val="continue"/>
            <w:vAlign w:val="center"/>
          </w:tcPr>
          <w:p>
            <w:pPr>
              <w:adjustRightInd w:val="0"/>
              <w:snapToGrid w:val="0"/>
              <w:spacing w:before="156" w:beforeLines="50" w:line="360" w:lineRule="auto"/>
              <w:jc w:val="center"/>
              <w:rPr>
                <w:rFonts w:ascii="宋体" w:hAnsi="宋体" w:cs="宋体"/>
                <w:position w:val="-1"/>
                <w:sz w:val="24"/>
              </w:rPr>
            </w:pPr>
          </w:p>
        </w:tc>
        <w:tc>
          <w:tcPr>
            <w:tcW w:w="899" w:type="dxa"/>
            <w:vMerge w:val="continue"/>
            <w:vAlign w:val="center"/>
          </w:tcPr>
          <w:p>
            <w:pPr>
              <w:adjustRightInd w:val="0"/>
              <w:snapToGrid w:val="0"/>
              <w:spacing w:before="156" w:beforeLines="50" w:line="360" w:lineRule="auto"/>
              <w:jc w:val="center"/>
              <w:rPr>
                <w:rFonts w:ascii="宋体" w:hAnsi="宋体" w:cs="宋体"/>
                <w:position w:val="-1"/>
                <w:sz w:val="24"/>
              </w:rPr>
            </w:pPr>
          </w:p>
        </w:tc>
        <w:tc>
          <w:tcPr>
            <w:tcW w:w="726" w:type="dxa"/>
            <w:vMerge w:val="continue"/>
            <w:vAlign w:val="center"/>
          </w:tcPr>
          <w:p>
            <w:pPr>
              <w:adjustRightInd w:val="0"/>
              <w:snapToGrid w:val="0"/>
              <w:spacing w:before="156" w:beforeLines="50" w:line="360" w:lineRule="auto"/>
              <w:jc w:val="center"/>
              <w:rPr>
                <w:rFonts w:ascii="宋体" w:hAnsi="宋体" w:cs="宋体"/>
                <w:position w:val="-1"/>
                <w:sz w:val="24"/>
              </w:rPr>
            </w:pPr>
          </w:p>
        </w:tc>
        <w:tc>
          <w:tcPr>
            <w:tcW w:w="1156" w:type="dxa"/>
            <w:vMerge w:val="continue"/>
            <w:vAlign w:val="center"/>
          </w:tcPr>
          <w:p>
            <w:pPr>
              <w:adjustRightInd w:val="0"/>
              <w:snapToGrid w:val="0"/>
              <w:spacing w:before="156" w:beforeLines="50" w:line="360" w:lineRule="auto"/>
              <w:jc w:val="center"/>
              <w:rPr>
                <w:rFonts w:ascii="宋体" w:hAnsi="宋体" w:cs="宋体"/>
                <w:position w:val="-1"/>
                <w:sz w:val="24"/>
              </w:rPr>
            </w:pPr>
          </w:p>
        </w:tc>
        <w:tc>
          <w:tcPr>
            <w:tcW w:w="1808" w:type="dxa"/>
            <w:vMerge w:val="continue"/>
            <w:vAlign w:val="center"/>
          </w:tcPr>
          <w:p>
            <w:pPr>
              <w:adjustRightInd w:val="0"/>
              <w:snapToGrid w:val="0"/>
              <w:spacing w:before="156" w:beforeLines="50" w:line="360" w:lineRule="auto"/>
              <w:jc w:val="center"/>
              <w:rPr>
                <w:rFonts w:ascii="宋体" w:hAnsi="宋体" w:cs="宋体"/>
                <w:sz w:val="24"/>
              </w:rPr>
            </w:pPr>
          </w:p>
        </w:tc>
        <w:tc>
          <w:tcPr>
            <w:tcW w:w="1581" w:type="dxa"/>
            <w:vMerge w:val="continue"/>
            <w:vAlign w:val="center"/>
          </w:tcPr>
          <w:p>
            <w:pPr>
              <w:adjustRightInd w:val="0"/>
              <w:snapToGrid w:val="0"/>
              <w:spacing w:before="156" w:beforeLines="50" w:line="360" w:lineRule="auto"/>
              <w:jc w:val="center"/>
              <w:rPr>
                <w:rFonts w:ascii="宋体" w:hAnsi="宋体" w:cs="宋体"/>
                <w:sz w:val="24"/>
              </w:rPr>
            </w:pPr>
          </w:p>
        </w:tc>
        <w:tc>
          <w:tcPr>
            <w:tcW w:w="518" w:type="dxa"/>
            <w:vAlign w:val="center"/>
          </w:tcPr>
          <w:p>
            <w:pPr>
              <w:adjustRightInd w:val="0"/>
              <w:snapToGrid w:val="0"/>
              <w:spacing w:before="156" w:beforeLines="50" w:line="360" w:lineRule="auto"/>
              <w:ind w:right="-20"/>
              <w:jc w:val="center"/>
              <w:rPr>
                <w:rFonts w:ascii="宋体" w:hAnsi="宋体" w:cs="宋体"/>
                <w:sz w:val="24"/>
              </w:rPr>
            </w:pPr>
            <w:r>
              <w:rPr>
                <w:rFonts w:hint="eastAsia" w:ascii="宋体" w:hAnsi="宋体" w:cs="宋体"/>
                <w:sz w:val="24"/>
              </w:rPr>
              <w:t>单价</w:t>
            </w:r>
          </w:p>
        </w:tc>
        <w:tc>
          <w:tcPr>
            <w:tcW w:w="723" w:type="dxa"/>
            <w:vAlign w:val="center"/>
          </w:tcPr>
          <w:p>
            <w:pPr>
              <w:adjustRightInd w:val="0"/>
              <w:snapToGrid w:val="0"/>
              <w:spacing w:before="156" w:beforeLines="50" w:line="360" w:lineRule="auto"/>
              <w:ind w:right="-20"/>
              <w:jc w:val="center"/>
              <w:rPr>
                <w:rFonts w:ascii="宋体" w:hAnsi="宋体" w:cs="宋体"/>
                <w:sz w:val="24"/>
              </w:rPr>
            </w:pPr>
            <w:r>
              <w:rPr>
                <w:rFonts w:hint="eastAsia" w:ascii="宋体" w:hAnsi="宋体" w:cs="宋体"/>
                <w:sz w:val="24"/>
              </w:rPr>
              <w:t>数量</w:t>
            </w:r>
          </w:p>
        </w:tc>
        <w:tc>
          <w:tcPr>
            <w:tcW w:w="947" w:type="dxa"/>
            <w:vAlign w:val="center"/>
          </w:tcPr>
          <w:p>
            <w:pPr>
              <w:adjustRightInd w:val="0"/>
              <w:snapToGrid w:val="0"/>
              <w:spacing w:before="156" w:beforeLines="50" w:line="360" w:lineRule="auto"/>
              <w:ind w:right="-20"/>
              <w:jc w:val="center"/>
              <w:rPr>
                <w:rFonts w:ascii="宋体" w:hAnsi="宋体" w:cs="宋体"/>
                <w:sz w:val="24"/>
              </w:rPr>
            </w:pPr>
            <w:r>
              <w:rPr>
                <w:rFonts w:hint="eastAsia" w:ascii="宋体" w:hAnsi="宋体" w:cs="宋体"/>
                <w:sz w:val="24"/>
              </w:rPr>
              <w:t>合价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612" w:type="dxa"/>
          </w:tcPr>
          <w:p>
            <w:pPr>
              <w:adjustRightInd w:val="0"/>
              <w:snapToGrid w:val="0"/>
              <w:spacing w:before="156" w:beforeLines="50" w:line="360" w:lineRule="auto"/>
              <w:jc w:val="center"/>
              <w:rPr>
                <w:rFonts w:ascii="宋体" w:hAnsi="宋体" w:cs="宋体"/>
                <w:position w:val="-1"/>
                <w:sz w:val="24"/>
              </w:rPr>
            </w:pPr>
            <w:r>
              <w:rPr>
                <w:rFonts w:hint="eastAsia" w:ascii="宋体" w:hAnsi="宋体" w:cs="宋体"/>
                <w:position w:val="-1"/>
                <w:sz w:val="24"/>
              </w:rPr>
              <w:t>1</w:t>
            </w:r>
          </w:p>
        </w:tc>
        <w:tc>
          <w:tcPr>
            <w:tcW w:w="884" w:type="dxa"/>
          </w:tcPr>
          <w:p>
            <w:pPr>
              <w:adjustRightInd w:val="0"/>
              <w:snapToGrid w:val="0"/>
              <w:spacing w:before="156" w:beforeLines="50" w:line="360" w:lineRule="auto"/>
              <w:rPr>
                <w:rFonts w:ascii="宋体" w:hAnsi="宋体" w:cs="宋体"/>
                <w:position w:val="-1"/>
                <w:sz w:val="24"/>
              </w:rPr>
            </w:pPr>
          </w:p>
        </w:tc>
        <w:tc>
          <w:tcPr>
            <w:tcW w:w="899" w:type="dxa"/>
          </w:tcPr>
          <w:p>
            <w:pPr>
              <w:adjustRightInd w:val="0"/>
              <w:snapToGrid w:val="0"/>
              <w:spacing w:before="156" w:beforeLines="50" w:line="360" w:lineRule="auto"/>
              <w:rPr>
                <w:rFonts w:ascii="宋体" w:hAnsi="宋体" w:cs="宋体"/>
                <w:position w:val="-1"/>
                <w:sz w:val="24"/>
              </w:rPr>
            </w:pPr>
          </w:p>
        </w:tc>
        <w:tc>
          <w:tcPr>
            <w:tcW w:w="726" w:type="dxa"/>
          </w:tcPr>
          <w:p>
            <w:pPr>
              <w:adjustRightInd w:val="0"/>
              <w:snapToGrid w:val="0"/>
              <w:spacing w:before="156" w:beforeLines="50" w:line="360" w:lineRule="auto"/>
              <w:rPr>
                <w:rFonts w:ascii="宋体" w:hAnsi="宋体" w:cs="宋体"/>
                <w:position w:val="-1"/>
                <w:sz w:val="24"/>
              </w:rPr>
            </w:pPr>
          </w:p>
        </w:tc>
        <w:tc>
          <w:tcPr>
            <w:tcW w:w="1156" w:type="dxa"/>
          </w:tcPr>
          <w:p>
            <w:pPr>
              <w:adjustRightInd w:val="0"/>
              <w:snapToGrid w:val="0"/>
              <w:spacing w:before="156" w:beforeLines="50" w:line="360" w:lineRule="auto"/>
              <w:rPr>
                <w:rFonts w:ascii="宋体" w:hAnsi="宋体" w:cs="宋体"/>
                <w:position w:val="-1"/>
                <w:sz w:val="24"/>
              </w:rPr>
            </w:pPr>
          </w:p>
        </w:tc>
        <w:tc>
          <w:tcPr>
            <w:tcW w:w="1808" w:type="dxa"/>
          </w:tcPr>
          <w:p>
            <w:pPr>
              <w:adjustRightInd w:val="0"/>
              <w:snapToGrid w:val="0"/>
              <w:spacing w:before="156" w:beforeLines="50" w:line="360" w:lineRule="auto"/>
              <w:rPr>
                <w:rFonts w:ascii="宋体" w:hAnsi="宋体" w:cs="宋体"/>
                <w:position w:val="-1"/>
                <w:sz w:val="24"/>
              </w:rPr>
            </w:pPr>
          </w:p>
        </w:tc>
        <w:tc>
          <w:tcPr>
            <w:tcW w:w="1581" w:type="dxa"/>
          </w:tcPr>
          <w:p>
            <w:pPr>
              <w:adjustRightInd w:val="0"/>
              <w:snapToGrid w:val="0"/>
              <w:spacing w:before="156" w:beforeLines="50" w:line="360" w:lineRule="auto"/>
              <w:rPr>
                <w:rFonts w:ascii="宋体" w:hAnsi="宋体" w:cs="宋体"/>
                <w:position w:val="-1"/>
                <w:sz w:val="24"/>
              </w:rPr>
            </w:pPr>
          </w:p>
        </w:tc>
        <w:tc>
          <w:tcPr>
            <w:tcW w:w="518" w:type="dxa"/>
          </w:tcPr>
          <w:p>
            <w:pPr>
              <w:adjustRightInd w:val="0"/>
              <w:snapToGrid w:val="0"/>
              <w:spacing w:before="156" w:beforeLines="50" w:line="360" w:lineRule="auto"/>
              <w:rPr>
                <w:rFonts w:ascii="宋体" w:hAnsi="宋体" w:cs="宋体"/>
                <w:position w:val="-1"/>
                <w:sz w:val="24"/>
              </w:rPr>
            </w:pPr>
          </w:p>
        </w:tc>
        <w:tc>
          <w:tcPr>
            <w:tcW w:w="723" w:type="dxa"/>
          </w:tcPr>
          <w:p>
            <w:pPr>
              <w:adjustRightInd w:val="0"/>
              <w:snapToGrid w:val="0"/>
              <w:spacing w:before="156" w:beforeLines="50" w:line="360" w:lineRule="auto"/>
              <w:rPr>
                <w:rFonts w:ascii="宋体" w:hAnsi="宋体" w:cs="宋体"/>
                <w:position w:val="-1"/>
                <w:sz w:val="24"/>
              </w:rPr>
            </w:pPr>
          </w:p>
        </w:tc>
        <w:tc>
          <w:tcPr>
            <w:tcW w:w="947" w:type="dxa"/>
          </w:tcPr>
          <w:p>
            <w:pPr>
              <w:adjustRightInd w:val="0"/>
              <w:snapToGrid w:val="0"/>
              <w:spacing w:before="156" w:beforeLines="50" w:line="360" w:lineRule="auto"/>
              <w:rPr>
                <w:rFonts w:ascii="宋体" w:hAnsi="宋体" w:cs="宋体"/>
                <w:positio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612" w:type="dxa"/>
          </w:tcPr>
          <w:p>
            <w:pPr>
              <w:adjustRightInd w:val="0"/>
              <w:snapToGrid w:val="0"/>
              <w:spacing w:before="156" w:beforeLines="50" w:line="360" w:lineRule="auto"/>
              <w:jc w:val="center"/>
              <w:rPr>
                <w:rFonts w:ascii="宋体" w:hAnsi="宋体" w:cs="宋体"/>
                <w:position w:val="-1"/>
                <w:sz w:val="24"/>
              </w:rPr>
            </w:pPr>
            <w:r>
              <w:rPr>
                <w:rFonts w:hint="eastAsia" w:ascii="宋体" w:hAnsi="宋体" w:cs="宋体"/>
                <w:position w:val="-1"/>
                <w:sz w:val="24"/>
              </w:rPr>
              <w:t>2</w:t>
            </w:r>
          </w:p>
        </w:tc>
        <w:tc>
          <w:tcPr>
            <w:tcW w:w="884" w:type="dxa"/>
          </w:tcPr>
          <w:p>
            <w:pPr>
              <w:adjustRightInd w:val="0"/>
              <w:snapToGrid w:val="0"/>
              <w:spacing w:before="156" w:beforeLines="50" w:line="360" w:lineRule="auto"/>
              <w:rPr>
                <w:rFonts w:ascii="宋体" w:hAnsi="宋体" w:cs="宋体"/>
                <w:position w:val="-1"/>
                <w:sz w:val="24"/>
              </w:rPr>
            </w:pPr>
          </w:p>
        </w:tc>
        <w:tc>
          <w:tcPr>
            <w:tcW w:w="899" w:type="dxa"/>
          </w:tcPr>
          <w:p>
            <w:pPr>
              <w:adjustRightInd w:val="0"/>
              <w:snapToGrid w:val="0"/>
              <w:spacing w:before="156" w:beforeLines="50" w:line="360" w:lineRule="auto"/>
              <w:rPr>
                <w:rFonts w:ascii="宋体" w:hAnsi="宋体" w:cs="宋体"/>
                <w:position w:val="-1"/>
                <w:sz w:val="24"/>
              </w:rPr>
            </w:pPr>
          </w:p>
        </w:tc>
        <w:tc>
          <w:tcPr>
            <w:tcW w:w="726" w:type="dxa"/>
          </w:tcPr>
          <w:p>
            <w:pPr>
              <w:adjustRightInd w:val="0"/>
              <w:snapToGrid w:val="0"/>
              <w:spacing w:before="156" w:beforeLines="50" w:line="360" w:lineRule="auto"/>
              <w:rPr>
                <w:rFonts w:ascii="宋体" w:hAnsi="宋体" w:cs="宋体"/>
                <w:position w:val="-1"/>
                <w:sz w:val="24"/>
              </w:rPr>
            </w:pPr>
          </w:p>
        </w:tc>
        <w:tc>
          <w:tcPr>
            <w:tcW w:w="1156" w:type="dxa"/>
          </w:tcPr>
          <w:p>
            <w:pPr>
              <w:adjustRightInd w:val="0"/>
              <w:snapToGrid w:val="0"/>
              <w:spacing w:before="156" w:beforeLines="50" w:line="360" w:lineRule="auto"/>
              <w:rPr>
                <w:rFonts w:ascii="宋体" w:hAnsi="宋体" w:cs="宋体"/>
                <w:position w:val="-1"/>
                <w:sz w:val="24"/>
              </w:rPr>
            </w:pPr>
          </w:p>
        </w:tc>
        <w:tc>
          <w:tcPr>
            <w:tcW w:w="1808" w:type="dxa"/>
          </w:tcPr>
          <w:p>
            <w:pPr>
              <w:adjustRightInd w:val="0"/>
              <w:snapToGrid w:val="0"/>
              <w:spacing w:before="156" w:beforeLines="50" w:line="360" w:lineRule="auto"/>
              <w:rPr>
                <w:rFonts w:ascii="宋体" w:hAnsi="宋体" w:cs="宋体"/>
                <w:position w:val="-1"/>
                <w:sz w:val="24"/>
              </w:rPr>
            </w:pPr>
          </w:p>
        </w:tc>
        <w:tc>
          <w:tcPr>
            <w:tcW w:w="1581" w:type="dxa"/>
          </w:tcPr>
          <w:p>
            <w:pPr>
              <w:adjustRightInd w:val="0"/>
              <w:snapToGrid w:val="0"/>
              <w:spacing w:before="156" w:beforeLines="50" w:line="360" w:lineRule="auto"/>
              <w:rPr>
                <w:rFonts w:ascii="宋体" w:hAnsi="宋体" w:cs="宋体"/>
                <w:position w:val="-1"/>
                <w:sz w:val="24"/>
              </w:rPr>
            </w:pPr>
          </w:p>
        </w:tc>
        <w:tc>
          <w:tcPr>
            <w:tcW w:w="518" w:type="dxa"/>
          </w:tcPr>
          <w:p>
            <w:pPr>
              <w:adjustRightInd w:val="0"/>
              <w:snapToGrid w:val="0"/>
              <w:spacing w:before="156" w:beforeLines="50" w:line="360" w:lineRule="auto"/>
              <w:rPr>
                <w:rFonts w:ascii="宋体" w:hAnsi="宋体" w:cs="宋体"/>
                <w:position w:val="-1"/>
                <w:sz w:val="24"/>
              </w:rPr>
            </w:pPr>
          </w:p>
        </w:tc>
        <w:tc>
          <w:tcPr>
            <w:tcW w:w="723" w:type="dxa"/>
          </w:tcPr>
          <w:p>
            <w:pPr>
              <w:adjustRightInd w:val="0"/>
              <w:snapToGrid w:val="0"/>
              <w:spacing w:before="156" w:beforeLines="50" w:line="360" w:lineRule="auto"/>
              <w:rPr>
                <w:rFonts w:ascii="宋体" w:hAnsi="宋体" w:cs="宋体"/>
                <w:position w:val="-1"/>
                <w:sz w:val="24"/>
              </w:rPr>
            </w:pPr>
          </w:p>
        </w:tc>
        <w:tc>
          <w:tcPr>
            <w:tcW w:w="947" w:type="dxa"/>
          </w:tcPr>
          <w:p>
            <w:pPr>
              <w:adjustRightInd w:val="0"/>
              <w:snapToGrid w:val="0"/>
              <w:spacing w:before="156" w:beforeLines="50" w:line="360" w:lineRule="auto"/>
              <w:rPr>
                <w:rFonts w:ascii="宋体" w:hAnsi="宋体" w:cs="宋体"/>
                <w:positio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612" w:type="dxa"/>
          </w:tcPr>
          <w:p>
            <w:pPr>
              <w:adjustRightInd w:val="0"/>
              <w:snapToGrid w:val="0"/>
              <w:spacing w:before="156" w:beforeLines="50" w:line="360" w:lineRule="auto"/>
              <w:jc w:val="center"/>
              <w:rPr>
                <w:rFonts w:ascii="宋体" w:hAnsi="宋体" w:cs="宋体"/>
                <w:position w:val="-1"/>
                <w:sz w:val="24"/>
              </w:rPr>
            </w:pPr>
            <w:r>
              <w:rPr>
                <w:rFonts w:hint="eastAsia" w:ascii="宋体" w:hAnsi="宋体" w:cs="宋体"/>
                <w:position w:val="-1"/>
                <w:sz w:val="24"/>
              </w:rPr>
              <w:t>3</w:t>
            </w:r>
          </w:p>
        </w:tc>
        <w:tc>
          <w:tcPr>
            <w:tcW w:w="884" w:type="dxa"/>
          </w:tcPr>
          <w:p>
            <w:pPr>
              <w:adjustRightInd w:val="0"/>
              <w:snapToGrid w:val="0"/>
              <w:spacing w:before="156" w:beforeLines="50" w:line="360" w:lineRule="auto"/>
              <w:rPr>
                <w:rFonts w:ascii="宋体" w:hAnsi="宋体" w:cs="宋体"/>
                <w:position w:val="-1"/>
                <w:sz w:val="24"/>
              </w:rPr>
            </w:pPr>
          </w:p>
        </w:tc>
        <w:tc>
          <w:tcPr>
            <w:tcW w:w="899" w:type="dxa"/>
          </w:tcPr>
          <w:p>
            <w:pPr>
              <w:adjustRightInd w:val="0"/>
              <w:snapToGrid w:val="0"/>
              <w:spacing w:before="156" w:beforeLines="50" w:line="360" w:lineRule="auto"/>
              <w:rPr>
                <w:rFonts w:ascii="宋体" w:hAnsi="宋体" w:cs="宋体"/>
                <w:position w:val="-1"/>
                <w:sz w:val="24"/>
              </w:rPr>
            </w:pPr>
          </w:p>
        </w:tc>
        <w:tc>
          <w:tcPr>
            <w:tcW w:w="726" w:type="dxa"/>
          </w:tcPr>
          <w:p>
            <w:pPr>
              <w:adjustRightInd w:val="0"/>
              <w:snapToGrid w:val="0"/>
              <w:spacing w:before="156" w:beforeLines="50" w:line="360" w:lineRule="auto"/>
              <w:rPr>
                <w:rFonts w:ascii="宋体" w:hAnsi="宋体" w:cs="宋体"/>
                <w:position w:val="-1"/>
                <w:sz w:val="24"/>
              </w:rPr>
            </w:pPr>
          </w:p>
        </w:tc>
        <w:tc>
          <w:tcPr>
            <w:tcW w:w="1156" w:type="dxa"/>
          </w:tcPr>
          <w:p>
            <w:pPr>
              <w:adjustRightInd w:val="0"/>
              <w:snapToGrid w:val="0"/>
              <w:spacing w:before="156" w:beforeLines="50" w:line="360" w:lineRule="auto"/>
              <w:rPr>
                <w:rFonts w:ascii="宋体" w:hAnsi="宋体" w:cs="宋体"/>
                <w:position w:val="-1"/>
                <w:sz w:val="24"/>
              </w:rPr>
            </w:pPr>
          </w:p>
        </w:tc>
        <w:tc>
          <w:tcPr>
            <w:tcW w:w="1808" w:type="dxa"/>
          </w:tcPr>
          <w:p>
            <w:pPr>
              <w:adjustRightInd w:val="0"/>
              <w:snapToGrid w:val="0"/>
              <w:spacing w:before="156" w:beforeLines="50" w:line="360" w:lineRule="auto"/>
              <w:rPr>
                <w:rFonts w:ascii="宋体" w:hAnsi="宋体" w:cs="宋体"/>
                <w:position w:val="-1"/>
                <w:sz w:val="24"/>
              </w:rPr>
            </w:pPr>
          </w:p>
        </w:tc>
        <w:tc>
          <w:tcPr>
            <w:tcW w:w="1581" w:type="dxa"/>
          </w:tcPr>
          <w:p>
            <w:pPr>
              <w:adjustRightInd w:val="0"/>
              <w:snapToGrid w:val="0"/>
              <w:spacing w:before="156" w:beforeLines="50" w:line="360" w:lineRule="auto"/>
              <w:rPr>
                <w:rFonts w:ascii="宋体" w:hAnsi="宋体" w:cs="宋体"/>
                <w:position w:val="-1"/>
                <w:sz w:val="24"/>
              </w:rPr>
            </w:pPr>
          </w:p>
        </w:tc>
        <w:tc>
          <w:tcPr>
            <w:tcW w:w="518" w:type="dxa"/>
          </w:tcPr>
          <w:p>
            <w:pPr>
              <w:adjustRightInd w:val="0"/>
              <w:snapToGrid w:val="0"/>
              <w:spacing w:before="156" w:beforeLines="50" w:line="360" w:lineRule="auto"/>
              <w:rPr>
                <w:rFonts w:ascii="宋体" w:hAnsi="宋体" w:cs="宋体"/>
                <w:position w:val="-1"/>
                <w:sz w:val="24"/>
              </w:rPr>
            </w:pPr>
          </w:p>
        </w:tc>
        <w:tc>
          <w:tcPr>
            <w:tcW w:w="723" w:type="dxa"/>
          </w:tcPr>
          <w:p>
            <w:pPr>
              <w:adjustRightInd w:val="0"/>
              <w:snapToGrid w:val="0"/>
              <w:spacing w:before="156" w:beforeLines="50" w:line="360" w:lineRule="auto"/>
              <w:rPr>
                <w:rFonts w:ascii="宋体" w:hAnsi="宋体" w:cs="宋体"/>
                <w:position w:val="-1"/>
                <w:sz w:val="24"/>
              </w:rPr>
            </w:pPr>
          </w:p>
        </w:tc>
        <w:tc>
          <w:tcPr>
            <w:tcW w:w="947" w:type="dxa"/>
          </w:tcPr>
          <w:p>
            <w:pPr>
              <w:adjustRightInd w:val="0"/>
              <w:snapToGrid w:val="0"/>
              <w:spacing w:before="156" w:beforeLines="50" w:line="360" w:lineRule="auto"/>
              <w:rPr>
                <w:rFonts w:ascii="宋体" w:hAnsi="宋体" w:cs="宋体"/>
                <w:positio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6" w:hRule="atLeast"/>
          <w:jc w:val="center"/>
        </w:trPr>
        <w:tc>
          <w:tcPr>
            <w:tcW w:w="612" w:type="dxa"/>
          </w:tcPr>
          <w:p>
            <w:pPr>
              <w:adjustRightInd w:val="0"/>
              <w:snapToGrid w:val="0"/>
              <w:spacing w:before="156" w:beforeLines="50" w:line="360" w:lineRule="auto"/>
              <w:jc w:val="center"/>
              <w:rPr>
                <w:rFonts w:ascii="宋体" w:hAnsi="宋体" w:cs="宋体"/>
                <w:position w:val="-1"/>
                <w:sz w:val="24"/>
              </w:rPr>
            </w:pPr>
            <w:r>
              <w:rPr>
                <w:rFonts w:hint="eastAsia" w:ascii="宋体" w:hAnsi="宋体" w:cs="宋体"/>
                <w:position w:val="-1"/>
                <w:sz w:val="24"/>
              </w:rPr>
              <w:t>…</w:t>
            </w:r>
          </w:p>
        </w:tc>
        <w:tc>
          <w:tcPr>
            <w:tcW w:w="884" w:type="dxa"/>
          </w:tcPr>
          <w:p>
            <w:pPr>
              <w:adjustRightInd w:val="0"/>
              <w:snapToGrid w:val="0"/>
              <w:spacing w:before="156" w:beforeLines="50" w:line="360" w:lineRule="auto"/>
              <w:rPr>
                <w:rFonts w:ascii="宋体" w:hAnsi="宋体" w:cs="宋体"/>
                <w:position w:val="-1"/>
                <w:sz w:val="24"/>
              </w:rPr>
            </w:pPr>
          </w:p>
        </w:tc>
        <w:tc>
          <w:tcPr>
            <w:tcW w:w="899" w:type="dxa"/>
          </w:tcPr>
          <w:p>
            <w:pPr>
              <w:adjustRightInd w:val="0"/>
              <w:snapToGrid w:val="0"/>
              <w:spacing w:before="156" w:beforeLines="50" w:line="360" w:lineRule="auto"/>
              <w:rPr>
                <w:rFonts w:ascii="宋体" w:hAnsi="宋体" w:cs="宋体"/>
                <w:position w:val="-1"/>
                <w:sz w:val="24"/>
              </w:rPr>
            </w:pPr>
          </w:p>
        </w:tc>
        <w:tc>
          <w:tcPr>
            <w:tcW w:w="726" w:type="dxa"/>
          </w:tcPr>
          <w:p>
            <w:pPr>
              <w:adjustRightInd w:val="0"/>
              <w:snapToGrid w:val="0"/>
              <w:spacing w:before="156" w:beforeLines="50" w:line="360" w:lineRule="auto"/>
              <w:rPr>
                <w:rFonts w:ascii="宋体" w:hAnsi="宋体" w:cs="宋体"/>
                <w:position w:val="-1"/>
                <w:sz w:val="24"/>
              </w:rPr>
            </w:pPr>
          </w:p>
        </w:tc>
        <w:tc>
          <w:tcPr>
            <w:tcW w:w="1156" w:type="dxa"/>
          </w:tcPr>
          <w:p>
            <w:pPr>
              <w:adjustRightInd w:val="0"/>
              <w:snapToGrid w:val="0"/>
              <w:spacing w:before="156" w:beforeLines="50" w:line="360" w:lineRule="auto"/>
              <w:rPr>
                <w:rFonts w:ascii="宋体" w:hAnsi="宋体" w:cs="宋体"/>
                <w:position w:val="-1"/>
                <w:sz w:val="24"/>
              </w:rPr>
            </w:pPr>
          </w:p>
        </w:tc>
        <w:tc>
          <w:tcPr>
            <w:tcW w:w="1808" w:type="dxa"/>
          </w:tcPr>
          <w:p>
            <w:pPr>
              <w:adjustRightInd w:val="0"/>
              <w:snapToGrid w:val="0"/>
              <w:spacing w:before="156" w:beforeLines="50" w:line="360" w:lineRule="auto"/>
              <w:rPr>
                <w:rFonts w:ascii="宋体" w:hAnsi="宋体" w:cs="宋体"/>
                <w:position w:val="-1"/>
                <w:sz w:val="24"/>
              </w:rPr>
            </w:pPr>
          </w:p>
        </w:tc>
        <w:tc>
          <w:tcPr>
            <w:tcW w:w="1581" w:type="dxa"/>
          </w:tcPr>
          <w:p>
            <w:pPr>
              <w:adjustRightInd w:val="0"/>
              <w:snapToGrid w:val="0"/>
              <w:spacing w:before="156" w:beforeLines="50" w:line="360" w:lineRule="auto"/>
              <w:rPr>
                <w:rFonts w:ascii="宋体" w:hAnsi="宋体" w:cs="宋体"/>
                <w:position w:val="-1"/>
                <w:sz w:val="24"/>
              </w:rPr>
            </w:pPr>
          </w:p>
        </w:tc>
        <w:tc>
          <w:tcPr>
            <w:tcW w:w="518" w:type="dxa"/>
          </w:tcPr>
          <w:p>
            <w:pPr>
              <w:adjustRightInd w:val="0"/>
              <w:snapToGrid w:val="0"/>
              <w:spacing w:before="156" w:beforeLines="50" w:line="360" w:lineRule="auto"/>
              <w:rPr>
                <w:rFonts w:ascii="宋体" w:hAnsi="宋体" w:cs="宋体"/>
                <w:position w:val="-1"/>
                <w:sz w:val="24"/>
              </w:rPr>
            </w:pPr>
          </w:p>
        </w:tc>
        <w:tc>
          <w:tcPr>
            <w:tcW w:w="723" w:type="dxa"/>
          </w:tcPr>
          <w:p>
            <w:pPr>
              <w:adjustRightInd w:val="0"/>
              <w:snapToGrid w:val="0"/>
              <w:spacing w:before="156" w:beforeLines="50" w:line="360" w:lineRule="auto"/>
              <w:rPr>
                <w:rFonts w:ascii="宋体" w:hAnsi="宋体" w:cs="宋体"/>
                <w:position w:val="-1"/>
                <w:sz w:val="24"/>
              </w:rPr>
            </w:pPr>
          </w:p>
        </w:tc>
        <w:tc>
          <w:tcPr>
            <w:tcW w:w="947" w:type="dxa"/>
          </w:tcPr>
          <w:p>
            <w:pPr>
              <w:adjustRightInd w:val="0"/>
              <w:snapToGrid w:val="0"/>
              <w:spacing w:before="156" w:beforeLines="50" w:line="360" w:lineRule="auto"/>
              <w:rPr>
                <w:rFonts w:ascii="宋体" w:hAnsi="宋体" w:cs="宋体"/>
                <w:positio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8" w:hRule="atLeast"/>
          <w:jc w:val="center"/>
        </w:trPr>
        <w:tc>
          <w:tcPr>
            <w:tcW w:w="8907" w:type="dxa"/>
            <w:gridSpan w:val="9"/>
          </w:tcPr>
          <w:p>
            <w:pPr>
              <w:adjustRightInd w:val="0"/>
              <w:snapToGrid w:val="0"/>
              <w:spacing w:before="156" w:beforeLines="50" w:line="360" w:lineRule="auto"/>
              <w:jc w:val="center"/>
              <w:rPr>
                <w:rFonts w:ascii="宋体" w:hAnsi="宋体" w:cs="宋体"/>
                <w:position w:val="-1"/>
                <w:sz w:val="24"/>
              </w:rPr>
            </w:pPr>
            <w:r>
              <w:rPr>
                <w:rFonts w:hint="eastAsia" w:ascii="宋体" w:hAnsi="宋体" w:cs="宋体"/>
                <w:position w:val="-1"/>
                <w:sz w:val="24"/>
              </w:rPr>
              <w:t>合计</w:t>
            </w:r>
          </w:p>
        </w:tc>
        <w:tc>
          <w:tcPr>
            <w:tcW w:w="947" w:type="dxa"/>
          </w:tcPr>
          <w:p>
            <w:pPr>
              <w:adjustRightInd w:val="0"/>
              <w:snapToGrid w:val="0"/>
              <w:spacing w:before="156" w:beforeLines="50" w:line="360" w:lineRule="auto"/>
              <w:rPr>
                <w:rFonts w:ascii="宋体" w:hAnsi="宋体" w:cs="宋体"/>
                <w:position w:val="-1"/>
                <w:sz w:val="24"/>
              </w:rPr>
            </w:pPr>
          </w:p>
        </w:tc>
      </w:tr>
    </w:tbl>
    <w:p>
      <w:pPr>
        <w:adjustRightInd w:val="0"/>
        <w:snapToGrid w:val="0"/>
        <w:spacing w:before="156" w:beforeLines="50" w:line="360" w:lineRule="auto"/>
        <w:ind w:left="1061" w:leftChars="114" w:right="46" w:hanging="821" w:hangingChars="341"/>
        <w:rPr>
          <w:rFonts w:ascii="宋体" w:hAnsi="宋体" w:cs="宋体"/>
          <w:sz w:val="24"/>
        </w:rPr>
      </w:pPr>
      <w:r>
        <w:rPr>
          <w:rFonts w:hint="eastAsia" w:ascii="宋体" w:hAnsi="宋体" w:cs="宋体"/>
          <w:b/>
          <w:sz w:val="24"/>
        </w:rPr>
        <w:t>说明</w:t>
      </w:r>
      <w:r>
        <w:rPr>
          <w:rFonts w:hint="eastAsia" w:ascii="宋体" w:hAnsi="宋体" w:cs="宋体"/>
          <w:sz w:val="24"/>
        </w:rPr>
        <w:t>：</w:t>
      </w:r>
      <w:r>
        <w:rPr>
          <w:rFonts w:hint="eastAsia" w:ascii="宋体" w:hAnsi="宋体" w:cs="宋体"/>
          <w:spacing w:val="1"/>
          <w:sz w:val="24"/>
        </w:rPr>
        <w:t>1、</w:t>
      </w:r>
      <w:r>
        <w:rPr>
          <w:rFonts w:hint="eastAsia" w:ascii="宋体" w:hAnsi="宋体" w:cs="宋体"/>
          <w:spacing w:val="-1"/>
          <w:sz w:val="24"/>
        </w:rPr>
        <w:t>环</w:t>
      </w:r>
      <w:r>
        <w:rPr>
          <w:rFonts w:hint="eastAsia" w:ascii="宋体" w:hAnsi="宋体" w:cs="宋体"/>
          <w:sz w:val="24"/>
        </w:rPr>
        <w:t>境标志产品根据财政部、环境保护部最新公布的环境标志产品政府采购清单确定。</w:t>
      </w:r>
    </w:p>
    <w:p>
      <w:pPr>
        <w:adjustRightInd w:val="0"/>
        <w:snapToGrid w:val="0"/>
        <w:spacing w:before="156" w:beforeLines="50" w:line="360" w:lineRule="auto"/>
        <w:ind w:left="1061" w:leftChars="114" w:right="46" w:hanging="821" w:hangingChars="341"/>
        <w:rPr>
          <w:rFonts w:ascii="宋体" w:hAnsi="宋体" w:cs="宋体"/>
          <w:sz w:val="24"/>
        </w:rPr>
      </w:pPr>
      <w:r>
        <w:rPr>
          <w:rFonts w:hint="eastAsia" w:ascii="宋体" w:hAnsi="宋体" w:cs="宋体"/>
          <w:sz w:val="24"/>
        </w:rPr>
        <w:t xml:space="preserve">      </w:t>
      </w:r>
      <w:r>
        <w:rPr>
          <w:rFonts w:hint="eastAsia" w:ascii="宋体" w:hAnsi="宋体" w:cs="宋体"/>
          <w:spacing w:val="-1"/>
          <w:sz w:val="24"/>
        </w:rPr>
        <w:t>2、如</w:t>
      </w:r>
      <w:r>
        <w:rPr>
          <w:rFonts w:hint="eastAsia" w:ascii="宋体" w:hAnsi="宋体" w:cs="宋体"/>
          <w:sz w:val="24"/>
        </w:rPr>
        <w:t>所报产品为环保产品，必须按规定格式逐项填写，否则评审时不予加分。</w:t>
      </w:r>
    </w:p>
    <w:p>
      <w:pPr>
        <w:autoSpaceDE w:val="0"/>
        <w:autoSpaceDN w:val="0"/>
        <w:adjustRightInd w:val="0"/>
        <w:snapToGrid w:val="0"/>
        <w:spacing w:before="156" w:beforeLines="50" w:line="360" w:lineRule="auto"/>
        <w:ind w:firstLine="380" w:firstLineChars="158"/>
        <w:rPr>
          <w:rFonts w:ascii="宋体" w:hAnsi="宋体" w:cs="宋体"/>
          <w:sz w:val="24"/>
        </w:rPr>
      </w:pPr>
      <w:r>
        <w:rPr>
          <w:rFonts w:hint="eastAsia" w:ascii="宋体" w:hAnsi="宋体" w:cs="宋体"/>
          <w:sz w:val="24"/>
        </w:rPr>
        <w:t xml:space="preserve">     3、后附中国环境标志产品认证证书复印件、最新一期环境标志产品政府采购网清单网页截图； </w:t>
      </w:r>
    </w:p>
    <w:p>
      <w:pPr>
        <w:spacing w:line="360" w:lineRule="auto"/>
        <w:ind w:firstLine="241" w:firstLineChars="100"/>
        <w:rPr>
          <w:rFonts w:ascii="宋体" w:hAnsi="宋体" w:cs="宋体"/>
          <w:sz w:val="24"/>
        </w:rPr>
      </w:pPr>
    </w:p>
    <w:p>
      <w:pPr>
        <w:spacing w:line="360" w:lineRule="auto"/>
        <w:ind w:firstLine="241" w:firstLineChars="100"/>
        <w:jc w:val="left"/>
        <w:rPr>
          <w:rFonts w:ascii="宋体" w:hAnsi="宋体" w:cs="宋体"/>
          <w:sz w:val="24"/>
        </w:rPr>
      </w:pPr>
      <w:r>
        <w:rPr>
          <w:rFonts w:hint="eastAsia" w:ascii="宋体" w:hAnsi="宋体" w:cs="宋体"/>
          <w:sz w:val="24"/>
        </w:rPr>
        <w:t xml:space="preserve">供应商名称（盖章）： </w:t>
      </w:r>
    </w:p>
    <w:p>
      <w:pPr>
        <w:spacing w:line="360" w:lineRule="auto"/>
        <w:ind w:firstLine="241" w:firstLineChars="100"/>
        <w:rPr>
          <w:rFonts w:ascii="宋体" w:hAnsi="宋体" w:cs="宋体"/>
          <w:sz w:val="24"/>
        </w:rPr>
      </w:pPr>
      <w:r>
        <w:rPr>
          <w:rFonts w:hint="eastAsia" w:ascii="宋体" w:hAnsi="宋体" w:cs="宋体"/>
          <w:sz w:val="24"/>
        </w:rPr>
        <w:t xml:space="preserve">      </w:t>
      </w:r>
    </w:p>
    <w:p>
      <w:pPr>
        <w:autoSpaceDE w:val="0"/>
        <w:autoSpaceDN w:val="0"/>
        <w:spacing w:line="360" w:lineRule="auto"/>
        <w:ind w:firstLine="241" w:firstLineChars="100"/>
        <w:rPr>
          <w:rFonts w:ascii="宋体" w:hAnsi="宋体" w:cs="宋体"/>
          <w:sz w:val="24"/>
          <w:lang w:val="zh-CN"/>
        </w:rPr>
      </w:pPr>
      <w:r>
        <w:rPr>
          <w:rFonts w:hint="eastAsia" w:ascii="宋体" w:hAnsi="宋体" w:cs="宋体"/>
          <w:sz w:val="24"/>
          <w:lang w:val="zh-CN"/>
        </w:rPr>
        <w:t>法定代表人或其授权代表</w:t>
      </w:r>
      <w:r>
        <w:rPr>
          <w:rFonts w:hint="eastAsia" w:ascii="宋体" w:hAnsi="宋体" w:cs="宋体"/>
          <w:sz w:val="24"/>
        </w:rPr>
        <w:t>（签字或盖章）</w:t>
      </w:r>
      <w:r>
        <w:rPr>
          <w:rFonts w:hint="eastAsia" w:ascii="宋体" w:hAnsi="宋体" w:cs="宋体"/>
          <w:sz w:val="24"/>
          <w:lang w:val="zh-CN"/>
        </w:rPr>
        <w:t xml:space="preserve">：   </w:t>
      </w:r>
    </w:p>
    <w:p>
      <w:pPr>
        <w:pStyle w:val="2"/>
        <w:ind w:left="424" w:firstLine="484"/>
        <w:rPr>
          <w:rFonts w:ascii="宋体" w:hAnsi="宋体" w:cs="宋体"/>
          <w:sz w:val="24"/>
          <w:lang w:val="zh-CN"/>
        </w:rPr>
      </w:pPr>
    </w:p>
    <w:p>
      <w:pPr>
        <w:autoSpaceDE w:val="0"/>
        <w:autoSpaceDN w:val="0"/>
        <w:spacing w:line="360" w:lineRule="auto"/>
        <w:ind w:firstLine="241" w:firstLineChars="100"/>
        <w:rPr>
          <w:rFonts w:ascii="宋体" w:hAnsi="宋体" w:cs="宋体"/>
          <w:sz w:val="24"/>
        </w:rPr>
      </w:pPr>
      <w:r>
        <w:rPr>
          <w:rFonts w:hint="eastAsia" w:ascii="宋体" w:hAnsi="宋体" w:cs="宋体"/>
          <w:sz w:val="24"/>
          <w:lang w:val="zh-CN"/>
        </w:rPr>
        <w:t>日期：</w:t>
      </w: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 xml:space="preserve"> </w:t>
      </w:r>
    </w:p>
    <w:p>
      <w:pPr>
        <w:adjustRightInd w:val="0"/>
        <w:snapToGrid w:val="0"/>
        <w:spacing w:before="156" w:beforeLines="50" w:line="360" w:lineRule="auto"/>
        <w:ind w:right="-20"/>
        <w:jc w:val="center"/>
        <w:rPr>
          <w:rFonts w:ascii="宋体" w:hAnsi="宋体" w:cs="宋体"/>
          <w:b/>
          <w:position w:val="-2"/>
        </w:rPr>
      </w:pPr>
    </w:p>
    <w:p>
      <w:pPr>
        <w:adjustRightInd w:val="0"/>
        <w:snapToGrid w:val="0"/>
        <w:spacing w:before="156" w:beforeLines="50" w:line="360" w:lineRule="auto"/>
        <w:ind w:right="-20"/>
        <w:jc w:val="center"/>
        <w:rPr>
          <w:rFonts w:ascii="宋体" w:hAnsi="宋体" w:cs="宋体"/>
          <w:bCs/>
          <w:sz w:val="28"/>
          <w:szCs w:val="28"/>
        </w:rPr>
      </w:pPr>
      <w:r>
        <w:rPr>
          <w:rFonts w:hint="eastAsia" w:ascii="宋体" w:hAnsi="宋体" w:cs="宋体"/>
          <w:b/>
          <w:position w:val="-2"/>
        </w:rPr>
        <w:br w:type="page"/>
      </w:r>
      <w:r>
        <w:rPr>
          <w:rFonts w:hint="eastAsia" w:ascii="宋体" w:hAnsi="宋体" w:cs="宋体"/>
          <w:bCs/>
          <w:sz w:val="28"/>
          <w:szCs w:val="28"/>
        </w:rPr>
        <w:t>4、节能产品明细表</w:t>
      </w:r>
    </w:p>
    <w:p>
      <w:pPr>
        <w:adjustRightInd w:val="0"/>
        <w:snapToGrid w:val="0"/>
        <w:spacing w:before="156" w:beforeLines="50" w:line="360" w:lineRule="auto"/>
        <w:ind w:left="420" w:right="-20" w:firstLine="84" w:firstLineChars="42"/>
        <w:jc w:val="center"/>
        <w:outlineLvl w:val="0"/>
        <w:rPr>
          <w:rFonts w:ascii="宋体" w:hAnsi="宋体" w:cs="宋体"/>
          <w:sz w:val="22"/>
        </w:rPr>
      </w:pPr>
      <w:bookmarkStart w:id="150" w:name="_Toc19696"/>
      <w:bookmarkStart w:id="151" w:name="_Toc31050"/>
      <w:bookmarkStart w:id="152" w:name="_Toc8993"/>
      <w:bookmarkStart w:id="153" w:name="_Toc15837"/>
      <w:r>
        <w:rPr>
          <w:rFonts w:hint="eastAsia" w:ascii="宋体" w:hAnsi="宋体" w:cs="宋体"/>
          <w:b/>
          <w:spacing w:val="1"/>
          <w:position w:val="-2"/>
          <w:sz w:val="20"/>
          <w:szCs w:val="20"/>
        </w:rPr>
        <w:t>（所投产品如为节能产品填写）</w:t>
      </w:r>
      <w:bookmarkEnd w:id="150"/>
      <w:bookmarkEnd w:id="151"/>
      <w:bookmarkEnd w:id="152"/>
      <w:bookmarkEnd w:id="153"/>
    </w:p>
    <w:p>
      <w:pPr>
        <w:adjustRightInd w:val="0"/>
        <w:snapToGrid w:val="0"/>
        <w:spacing w:before="156" w:beforeLines="50" w:line="360" w:lineRule="auto"/>
        <w:jc w:val="right"/>
        <w:outlineLvl w:val="0"/>
        <w:rPr>
          <w:rFonts w:ascii="宋体" w:hAnsi="宋体" w:cs="宋体"/>
          <w:position w:val="-1"/>
          <w:sz w:val="22"/>
        </w:rPr>
      </w:pPr>
      <w:r>
        <w:rPr>
          <w:rFonts w:hint="eastAsia" w:ascii="宋体" w:hAnsi="宋体" w:cs="宋体"/>
          <w:sz w:val="22"/>
        </w:rPr>
        <w:t xml:space="preserve">                    </w:t>
      </w:r>
      <w:bookmarkStart w:id="154" w:name="_Toc23679"/>
      <w:bookmarkStart w:id="155" w:name="_Toc28380"/>
      <w:bookmarkStart w:id="156" w:name="_Toc16451"/>
      <w:bookmarkStart w:id="157" w:name="_Toc5843"/>
      <w:r>
        <w:rPr>
          <w:rFonts w:hint="eastAsia" w:ascii="宋体" w:hAnsi="宋体" w:cs="宋体"/>
          <w:position w:val="-1"/>
          <w:sz w:val="22"/>
        </w:rPr>
        <w:t>单位：元</w:t>
      </w:r>
      <w:bookmarkEnd w:id="154"/>
      <w:bookmarkEnd w:id="155"/>
      <w:bookmarkEnd w:id="156"/>
      <w:bookmarkEnd w:id="157"/>
    </w:p>
    <w:tbl>
      <w:tblPr>
        <w:tblStyle w:val="25"/>
        <w:tblW w:w="9854" w:type="dxa"/>
        <w:jc w:val="center"/>
        <w:tblLayout w:type="fixed"/>
        <w:tblCellMar>
          <w:top w:w="0" w:type="dxa"/>
          <w:left w:w="108" w:type="dxa"/>
          <w:bottom w:w="0" w:type="dxa"/>
          <w:right w:w="108" w:type="dxa"/>
        </w:tblCellMar>
      </w:tblPr>
      <w:tblGrid>
        <w:gridCol w:w="496"/>
        <w:gridCol w:w="935"/>
        <w:gridCol w:w="817"/>
        <w:gridCol w:w="764"/>
        <w:gridCol w:w="594"/>
        <w:gridCol w:w="1841"/>
        <w:gridCol w:w="2100"/>
        <w:gridCol w:w="764"/>
        <w:gridCol w:w="763"/>
        <w:gridCol w:w="780"/>
      </w:tblGrid>
      <w:tr>
        <w:tblPrEx>
          <w:tblCellMar>
            <w:top w:w="0" w:type="dxa"/>
            <w:left w:w="108" w:type="dxa"/>
            <w:bottom w:w="0" w:type="dxa"/>
            <w:right w:w="108" w:type="dxa"/>
          </w:tblCellMar>
        </w:tblPrEx>
        <w:trPr>
          <w:trHeight w:val="524" w:hRule="atLeas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56" w:beforeLines="50" w:line="360" w:lineRule="auto"/>
              <w:jc w:val="center"/>
              <w:rPr>
                <w:rFonts w:ascii="宋体" w:hAnsi="宋体" w:cs="宋体"/>
                <w:sz w:val="24"/>
              </w:rPr>
            </w:pPr>
            <w:r>
              <w:rPr>
                <w:rFonts w:hint="eastAsia" w:ascii="宋体" w:hAnsi="宋体" w:cs="宋体"/>
                <w:sz w:val="24"/>
              </w:rPr>
              <w:t>序 号</w:t>
            </w:r>
          </w:p>
        </w:tc>
        <w:tc>
          <w:tcPr>
            <w:tcW w:w="935" w:type="dxa"/>
            <w:vMerge w:val="restart"/>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56" w:beforeLines="50" w:line="360" w:lineRule="auto"/>
              <w:jc w:val="center"/>
              <w:rPr>
                <w:rFonts w:ascii="宋体" w:hAnsi="宋体" w:cs="宋体"/>
                <w:sz w:val="24"/>
              </w:rPr>
            </w:pPr>
            <w:r>
              <w:rPr>
                <w:rFonts w:hint="eastAsia" w:ascii="宋体" w:hAnsi="宋体" w:cs="宋体"/>
                <w:sz w:val="24"/>
              </w:rPr>
              <w:t>产品名称</w:t>
            </w: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56" w:beforeLines="50" w:line="360" w:lineRule="auto"/>
              <w:jc w:val="center"/>
              <w:rPr>
                <w:rFonts w:ascii="宋体" w:hAnsi="宋体" w:cs="宋体"/>
                <w:sz w:val="24"/>
              </w:rPr>
            </w:pPr>
            <w:r>
              <w:rPr>
                <w:rFonts w:hint="eastAsia" w:ascii="宋体" w:hAnsi="宋体" w:cs="宋体"/>
                <w:sz w:val="24"/>
              </w:rPr>
              <w:t>制造商</w:t>
            </w:r>
          </w:p>
        </w:tc>
        <w:tc>
          <w:tcPr>
            <w:tcW w:w="764" w:type="dxa"/>
            <w:vMerge w:val="restart"/>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56" w:beforeLines="50" w:line="360" w:lineRule="auto"/>
              <w:jc w:val="center"/>
              <w:rPr>
                <w:rFonts w:ascii="宋体" w:hAnsi="宋体" w:cs="宋体"/>
                <w:sz w:val="24"/>
              </w:rPr>
            </w:pPr>
            <w:r>
              <w:rPr>
                <w:rFonts w:hint="eastAsia" w:ascii="宋体" w:hAnsi="宋体" w:cs="宋体"/>
                <w:sz w:val="24"/>
              </w:rPr>
              <w:t>品牌</w:t>
            </w:r>
          </w:p>
        </w:tc>
        <w:tc>
          <w:tcPr>
            <w:tcW w:w="594" w:type="dxa"/>
            <w:vMerge w:val="restart"/>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56" w:beforeLines="50" w:line="360" w:lineRule="auto"/>
              <w:jc w:val="center"/>
              <w:rPr>
                <w:rFonts w:ascii="宋体" w:hAnsi="宋体" w:cs="宋体"/>
                <w:sz w:val="24"/>
              </w:rPr>
            </w:pPr>
            <w:r>
              <w:rPr>
                <w:rFonts w:hint="eastAsia" w:ascii="宋体" w:hAnsi="宋体" w:cs="宋体"/>
                <w:sz w:val="24"/>
              </w:rPr>
              <w:t>产品型号</w:t>
            </w:r>
          </w:p>
        </w:tc>
        <w:tc>
          <w:tcPr>
            <w:tcW w:w="1841" w:type="dxa"/>
            <w:vMerge w:val="restart"/>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56" w:beforeLines="50" w:line="360" w:lineRule="auto"/>
              <w:jc w:val="center"/>
              <w:rPr>
                <w:rFonts w:ascii="宋体" w:hAnsi="宋体" w:cs="宋体"/>
                <w:sz w:val="24"/>
              </w:rPr>
            </w:pPr>
            <w:r>
              <w:rPr>
                <w:rFonts w:hint="eastAsia" w:ascii="宋体" w:hAnsi="宋体" w:cs="宋体"/>
                <w:sz w:val="24"/>
              </w:rPr>
              <w:t>国家节能标志认证证书编号</w:t>
            </w:r>
          </w:p>
        </w:tc>
        <w:tc>
          <w:tcPr>
            <w:tcW w:w="2100" w:type="dxa"/>
            <w:vMerge w:val="restart"/>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56" w:beforeLines="50" w:line="360" w:lineRule="auto"/>
              <w:jc w:val="center"/>
              <w:rPr>
                <w:rFonts w:ascii="宋体" w:hAnsi="宋体" w:cs="宋体"/>
                <w:sz w:val="24"/>
              </w:rPr>
            </w:pPr>
            <w:r>
              <w:rPr>
                <w:rFonts w:hint="eastAsia" w:ascii="宋体" w:hAnsi="宋体" w:cs="宋体"/>
                <w:sz w:val="24"/>
              </w:rPr>
              <w:t>节能产品认证证书有效   截止日期</w:t>
            </w:r>
          </w:p>
        </w:tc>
        <w:tc>
          <w:tcPr>
            <w:tcW w:w="2307" w:type="dxa"/>
            <w:gridSpan w:val="3"/>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56" w:beforeLines="50" w:line="360" w:lineRule="auto"/>
              <w:jc w:val="center"/>
              <w:rPr>
                <w:rFonts w:ascii="宋体" w:hAnsi="宋体" w:cs="宋体"/>
                <w:sz w:val="24"/>
              </w:rPr>
            </w:pPr>
            <w:r>
              <w:rPr>
                <w:rFonts w:hint="eastAsia" w:ascii="宋体" w:hAnsi="宋体" w:cs="宋体"/>
                <w:sz w:val="24"/>
              </w:rPr>
              <w:t>价格</w:t>
            </w:r>
          </w:p>
        </w:tc>
      </w:tr>
      <w:tr>
        <w:tblPrEx>
          <w:tblCellMar>
            <w:top w:w="0" w:type="dxa"/>
            <w:left w:w="108" w:type="dxa"/>
            <w:bottom w:w="0" w:type="dxa"/>
            <w:right w:w="108" w:type="dxa"/>
          </w:tblCellMar>
        </w:tblPrEx>
        <w:trPr>
          <w:trHeight w:val="764" w:hRule="atLeast"/>
          <w:jc w:val="center"/>
        </w:trPr>
        <w:tc>
          <w:tcPr>
            <w:tcW w:w="496" w:type="dxa"/>
            <w:vMerge w:val="continue"/>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56" w:beforeLines="50" w:line="360" w:lineRule="auto"/>
              <w:jc w:val="center"/>
              <w:rPr>
                <w:rFonts w:ascii="宋体" w:hAnsi="宋体" w:cs="宋体"/>
                <w:sz w:val="24"/>
              </w:rPr>
            </w:pPr>
          </w:p>
        </w:tc>
        <w:tc>
          <w:tcPr>
            <w:tcW w:w="935" w:type="dxa"/>
            <w:vMerge w:val="continue"/>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56" w:beforeLines="50" w:line="360" w:lineRule="auto"/>
              <w:jc w:val="center"/>
              <w:rPr>
                <w:rFonts w:ascii="宋体" w:hAnsi="宋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56" w:beforeLines="50" w:line="360" w:lineRule="auto"/>
              <w:jc w:val="center"/>
              <w:rPr>
                <w:rFonts w:ascii="宋体" w:hAnsi="宋体" w:cs="宋体"/>
                <w:sz w:val="24"/>
              </w:rPr>
            </w:pPr>
          </w:p>
        </w:tc>
        <w:tc>
          <w:tcPr>
            <w:tcW w:w="764" w:type="dxa"/>
            <w:vMerge w:val="continue"/>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56" w:beforeLines="50" w:line="360" w:lineRule="auto"/>
              <w:jc w:val="center"/>
              <w:rPr>
                <w:rFonts w:ascii="宋体" w:hAnsi="宋体" w:cs="宋体"/>
                <w:sz w:val="24"/>
              </w:rPr>
            </w:pPr>
          </w:p>
        </w:tc>
        <w:tc>
          <w:tcPr>
            <w:tcW w:w="594" w:type="dxa"/>
            <w:vMerge w:val="continue"/>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56" w:beforeLines="50" w:line="360" w:lineRule="auto"/>
              <w:jc w:val="center"/>
              <w:rPr>
                <w:rFonts w:ascii="宋体" w:hAnsi="宋体" w:cs="宋体"/>
                <w:sz w:val="24"/>
              </w:rPr>
            </w:pPr>
          </w:p>
        </w:tc>
        <w:tc>
          <w:tcPr>
            <w:tcW w:w="1841" w:type="dxa"/>
            <w:vMerge w:val="continue"/>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56" w:beforeLines="50" w:line="360" w:lineRule="auto"/>
              <w:jc w:val="center"/>
              <w:rPr>
                <w:rFonts w:ascii="宋体" w:hAnsi="宋体" w:cs="宋体"/>
                <w:sz w:val="24"/>
              </w:rPr>
            </w:pPr>
          </w:p>
        </w:tc>
        <w:tc>
          <w:tcPr>
            <w:tcW w:w="2100" w:type="dxa"/>
            <w:vMerge w:val="continue"/>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56" w:beforeLines="50" w:line="360" w:lineRule="auto"/>
              <w:jc w:val="center"/>
              <w:rPr>
                <w:rFonts w:ascii="宋体" w:hAnsi="宋体" w:cs="宋体"/>
                <w:sz w:val="24"/>
              </w:rPr>
            </w:pPr>
          </w:p>
        </w:tc>
        <w:tc>
          <w:tcPr>
            <w:tcW w:w="76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56" w:beforeLines="50" w:line="360" w:lineRule="auto"/>
              <w:jc w:val="center"/>
              <w:rPr>
                <w:rFonts w:ascii="宋体" w:hAnsi="宋体" w:cs="宋体"/>
                <w:sz w:val="24"/>
              </w:rPr>
            </w:pPr>
            <w:r>
              <w:rPr>
                <w:rFonts w:hint="eastAsia" w:ascii="宋体" w:hAnsi="宋体" w:cs="宋体"/>
                <w:sz w:val="24"/>
              </w:rPr>
              <w:t>单价</w:t>
            </w:r>
          </w:p>
        </w:tc>
        <w:tc>
          <w:tcPr>
            <w:tcW w:w="763"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56" w:beforeLines="50" w:line="360" w:lineRule="auto"/>
              <w:jc w:val="center"/>
              <w:rPr>
                <w:rFonts w:ascii="宋体" w:hAnsi="宋体" w:cs="宋体"/>
                <w:sz w:val="24"/>
              </w:rPr>
            </w:pPr>
            <w:r>
              <w:rPr>
                <w:rFonts w:hint="eastAsia" w:ascii="宋体" w:hAnsi="宋体" w:cs="宋体"/>
                <w:sz w:val="24"/>
              </w:rPr>
              <w:t>数量</w:t>
            </w:r>
          </w:p>
        </w:tc>
        <w:tc>
          <w:tcPr>
            <w:tcW w:w="780"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56" w:beforeLines="50" w:line="360" w:lineRule="auto"/>
              <w:jc w:val="center"/>
              <w:rPr>
                <w:rFonts w:ascii="宋体" w:hAnsi="宋体" w:cs="宋体"/>
                <w:sz w:val="24"/>
              </w:rPr>
            </w:pPr>
            <w:r>
              <w:rPr>
                <w:rFonts w:hint="eastAsia" w:ascii="宋体" w:hAnsi="宋体" w:cs="宋体"/>
                <w:sz w:val="24"/>
              </w:rPr>
              <w:t>合价</w:t>
            </w:r>
          </w:p>
        </w:tc>
      </w:tr>
      <w:tr>
        <w:tblPrEx>
          <w:tblCellMar>
            <w:top w:w="0" w:type="dxa"/>
            <w:left w:w="108" w:type="dxa"/>
            <w:bottom w:w="0" w:type="dxa"/>
            <w:right w:w="108" w:type="dxa"/>
          </w:tblCellMar>
        </w:tblPrEx>
        <w:trPr>
          <w:trHeight w:val="618" w:hRule="atLeast"/>
          <w:jc w:val="center"/>
        </w:trPr>
        <w:tc>
          <w:tcPr>
            <w:tcW w:w="496"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r>
              <w:rPr>
                <w:rFonts w:hint="eastAsia" w:ascii="宋体" w:hAnsi="宋体" w:cs="宋体"/>
                <w:sz w:val="24"/>
              </w:rPr>
              <w:t>1</w:t>
            </w:r>
          </w:p>
        </w:tc>
        <w:tc>
          <w:tcPr>
            <w:tcW w:w="935"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817"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764"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594"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1841"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2100"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764"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763"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780"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r>
      <w:tr>
        <w:tblPrEx>
          <w:tblCellMar>
            <w:top w:w="0" w:type="dxa"/>
            <w:left w:w="108" w:type="dxa"/>
            <w:bottom w:w="0" w:type="dxa"/>
            <w:right w:w="108" w:type="dxa"/>
          </w:tblCellMar>
        </w:tblPrEx>
        <w:trPr>
          <w:trHeight w:val="618" w:hRule="atLeast"/>
          <w:jc w:val="center"/>
        </w:trPr>
        <w:tc>
          <w:tcPr>
            <w:tcW w:w="496"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r>
              <w:rPr>
                <w:rFonts w:hint="eastAsia" w:ascii="宋体" w:hAnsi="宋体" w:cs="宋体"/>
                <w:sz w:val="24"/>
              </w:rPr>
              <w:t>2</w:t>
            </w:r>
          </w:p>
        </w:tc>
        <w:tc>
          <w:tcPr>
            <w:tcW w:w="935"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817"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764"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594"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1841"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2100"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764"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763"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780"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r>
      <w:tr>
        <w:tblPrEx>
          <w:tblCellMar>
            <w:top w:w="0" w:type="dxa"/>
            <w:left w:w="108" w:type="dxa"/>
            <w:bottom w:w="0" w:type="dxa"/>
            <w:right w:w="108" w:type="dxa"/>
          </w:tblCellMar>
        </w:tblPrEx>
        <w:trPr>
          <w:trHeight w:val="618" w:hRule="atLeast"/>
          <w:jc w:val="center"/>
        </w:trPr>
        <w:tc>
          <w:tcPr>
            <w:tcW w:w="496"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r>
              <w:rPr>
                <w:rFonts w:hint="eastAsia" w:ascii="宋体" w:hAnsi="宋体" w:cs="宋体"/>
                <w:sz w:val="24"/>
              </w:rPr>
              <w:t>3</w:t>
            </w:r>
          </w:p>
        </w:tc>
        <w:tc>
          <w:tcPr>
            <w:tcW w:w="935"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817"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764"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594"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1841"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2100"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764"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763"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780"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r>
      <w:tr>
        <w:tblPrEx>
          <w:tblCellMar>
            <w:top w:w="0" w:type="dxa"/>
            <w:left w:w="108" w:type="dxa"/>
            <w:bottom w:w="0" w:type="dxa"/>
            <w:right w:w="108" w:type="dxa"/>
          </w:tblCellMar>
        </w:tblPrEx>
        <w:trPr>
          <w:trHeight w:val="618" w:hRule="atLeast"/>
          <w:jc w:val="center"/>
        </w:trPr>
        <w:tc>
          <w:tcPr>
            <w:tcW w:w="496"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r>
              <w:rPr>
                <w:rFonts w:hint="eastAsia" w:ascii="宋体" w:hAnsi="宋体" w:cs="宋体"/>
                <w:sz w:val="24"/>
              </w:rPr>
              <w:t>…</w:t>
            </w:r>
          </w:p>
        </w:tc>
        <w:tc>
          <w:tcPr>
            <w:tcW w:w="935"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817"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764"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594"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1841"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2100"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764"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763"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c>
          <w:tcPr>
            <w:tcW w:w="780"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r>
      <w:tr>
        <w:tblPrEx>
          <w:tblCellMar>
            <w:top w:w="0" w:type="dxa"/>
            <w:left w:w="108" w:type="dxa"/>
            <w:bottom w:w="0" w:type="dxa"/>
            <w:right w:w="108" w:type="dxa"/>
          </w:tblCellMar>
        </w:tblPrEx>
        <w:trPr>
          <w:trHeight w:val="618" w:hRule="atLeast"/>
          <w:jc w:val="center"/>
        </w:trPr>
        <w:tc>
          <w:tcPr>
            <w:tcW w:w="9074" w:type="dxa"/>
            <w:gridSpan w:val="9"/>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56" w:beforeLines="50" w:line="360" w:lineRule="auto"/>
              <w:jc w:val="center"/>
              <w:rPr>
                <w:rFonts w:ascii="宋体" w:hAnsi="宋体" w:cs="宋体"/>
                <w:sz w:val="24"/>
              </w:rPr>
            </w:pPr>
            <w:r>
              <w:rPr>
                <w:rFonts w:hint="eastAsia" w:ascii="宋体" w:hAnsi="宋体" w:cs="宋体"/>
                <w:sz w:val="24"/>
              </w:rPr>
              <w:t>合计</w:t>
            </w:r>
          </w:p>
        </w:tc>
        <w:tc>
          <w:tcPr>
            <w:tcW w:w="780" w:type="dxa"/>
            <w:tcBorders>
              <w:top w:val="single" w:color="auto" w:sz="4" w:space="0"/>
              <w:left w:val="single" w:color="auto" w:sz="4" w:space="0"/>
              <w:bottom w:val="single" w:color="auto" w:sz="4" w:space="0"/>
              <w:right w:val="single" w:color="auto" w:sz="4" w:space="0"/>
            </w:tcBorders>
          </w:tcPr>
          <w:p>
            <w:pPr>
              <w:tabs>
                <w:tab w:val="left" w:pos="1337"/>
              </w:tabs>
              <w:adjustRightInd w:val="0"/>
              <w:snapToGrid w:val="0"/>
              <w:spacing w:before="156" w:beforeLines="50" w:line="360" w:lineRule="auto"/>
              <w:jc w:val="center"/>
              <w:rPr>
                <w:rFonts w:ascii="宋体" w:hAnsi="宋体" w:cs="宋体"/>
                <w:sz w:val="24"/>
              </w:rPr>
            </w:pPr>
          </w:p>
        </w:tc>
      </w:tr>
    </w:tbl>
    <w:p>
      <w:pPr>
        <w:adjustRightInd w:val="0"/>
        <w:snapToGrid w:val="0"/>
        <w:spacing w:before="156" w:beforeLines="50" w:line="360" w:lineRule="auto"/>
        <w:ind w:right="-20"/>
        <w:rPr>
          <w:rFonts w:ascii="宋体" w:hAnsi="宋体" w:cs="宋体"/>
          <w:spacing w:val="1"/>
          <w:position w:val="-1"/>
          <w:sz w:val="24"/>
        </w:rPr>
      </w:pPr>
      <w:r>
        <w:rPr>
          <w:rFonts w:hint="eastAsia" w:ascii="宋体" w:hAnsi="宋体" w:cs="宋体"/>
          <w:sz w:val="24"/>
        </w:rPr>
        <w:t>说明：</w:t>
      </w:r>
      <w:r>
        <w:rPr>
          <w:rFonts w:hint="eastAsia" w:ascii="宋体" w:hAnsi="宋体" w:cs="宋体"/>
          <w:spacing w:val="1"/>
          <w:position w:val="-1"/>
          <w:sz w:val="24"/>
        </w:rPr>
        <w:t>1、节能产品根据财政部、国家发展改革委最新公布的节能产品政府采购清单确定。</w:t>
      </w:r>
    </w:p>
    <w:p>
      <w:pPr>
        <w:adjustRightInd w:val="0"/>
        <w:snapToGrid w:val="0"/>
        <w:spacing w:before="156" w:beforeLines="50" w:line="360" w:lineRule="auto"/>
        <w:ind w:right="-20"/>
        <w:rPr>
          <w:rFonts w:ascii="宋体" w:hAnsi="宋体" w:cs="宋体"/>
          <w:spacing w:val="1"/>
          <w:position w:val="-1"/>
          <w:sz w:val="24"/>
        </w:rPr>
      </w:pPr>
      <w:r>
        <w:rPr>
          <w:rFonts w:hint="eastAsia" w:ascii="宋体" w:hAnsi="宋体" w:cs="宋体"/>
          <w:spacing w:val="1"/>
          <w:position w:val="-1"/>
          <w:sz w:val="24"/>
        </w:rPr>
        <w:t xml:space="preserve">      2、如所报产品为节能产品（强制采购产品除外），必须按规定格式逐项填写，否则评审时不予加分。</w:t>
      </w:r>
    </w:p>
    <w:p>
      <w:pPr>
        <w:adjustRightInd w:val="0"/>
        <w:snapToGrid w:val="0"/>
        <w:spacing w:before="156" w:beforeLines="50" w:line="360" w:lineRule="auto"/>
        <w:ind w:right="-20"/>
        <w:rPr>
          <w:rFonts w:ascii="宋体" w:hAnsi="宋体" w:cs="宋体"/>
          <w:spacing w:val="1"/>
          <w:position w:val="-1"/>
          <w:sz w:val="24"/>
        </w:rPr>
      </w:pPr>
      <w:r>
        <w:rPr>
          <w:rFonts w:hint="eastAsia" w:ascii="宋体" w:hAnsi="宋体" w:cs="宋体"/>
          <w:spacing w:val="1"/>
          <w:position w:val="-1"/>
          <w:sz w:val="24"/>
        </w:rPr>
        <w:t xml:space="preserve">      3、后附中国节能产品认证证书复印件、最新一期节能产品政府采购网清单网页截图；</w:t>
      </w:r>
    </w:p>
    <w:p>
      <w:pPr>
        <w:adjustRightInd w:val="0"/>
        <w:snapToGrid w:val="0"/>
        <w:spacing w:before="156" w:beforeLines="50" w:line="360" w:lineRule="auto"/>
        <w:ind w:right="-20"/>
        <w:rPr>
          <w:rFonts w:ascii="宋体" w:hAnsi="宋体" w:cs="宋体"/>
          <w:spacing w:val="1"/>
          <w:position w:val="-1"/>
          <w:sz w:val="24"/>
        </w:rPr>
      </w:pPr>
    </w:p>
    <w:p>
      <w:pPr>
        <w:spacing w:line="360" w:lineRule="auto"/>
        <w:ind w:left="219" w:leftChars="104"/>
        <w:rPr>
          <w:rFonts w:ascii="宋体" w:hAnsi="宋体" w:cs="宋体"/>
          <w:sz w:val="24"/>
        </w:rPr>
      </w:pPr>
      <w:r>
        <w:rPr>
          <w:rFonts w:hint="eastAsia" w:ascii="宋体" w:hAnsi="宋体" w:cs="宋体"/>
          <w:sz w:val="24"/>
        </w:rPr>
        <w:t xml:space="preserve">                                                                                                供应商名称（盖章）： </w:t>
      </w:r>
    </w:p>
    <w:p>
      <w:pPr>
        <w:spacing w:line="360" w:lineRule="auto"/>
        <w:ind w:firstLine="241" w:firstLineChars="100"/>
        <w:rPr>
          <w:rFonts w:ascii="宋体" w:hAnsi="宋体" w:cs="宋体"/>
          <w:sz w:val="24"/>
        </w:rPr>
      </w:pPr>
      <w:r>
        <w:rPr>
          <w:rFonts w:hint="eastAsia" w:ascii="宋体" w:hAnsi="宋体" w:cs="宋体"/>
          <w:sz w:val="24"/>
        </w:rPr>
        <w:t xml:space="preserve">      </w:t>
      </w:r>
    </w:p>
    <w:p>
      <w:pPr>
        <w:autoSpaceDE w:val="0"/>
        <w:autoSpaceDN w:val="0"/>
        <w:spacing w:line="360" w:lineRule="auto"/>
        <w:ind w:firstLine="241" w:firstLineChars="100"/>
        <w:rPr>
          <w:rFonts w:ascii="宋体" w:hAnsi="宋体" w:cs="宋体"/>
          <w:sz w:val="24"/>
          <w:lang w:val="zh-CN"/>
        </w:rPr>
      </w:pPr>
      <w:r>
        <w:rPr>
          <w:rFonts w:hint="eastAsia" w:ascii="宋体" w:hAnsi="宋体" w:cs="宋体"/>
          <w:sz w:val="24"/>
          <w:lang w:val="zh-CN"/>
        </w:rPr>
        <w:t>法定代表人或其授权代表</w:t>
      </w:r>
      <w:r>
        <w:rPr>
          <w:rFonts w:hint="eastAsia" w:ascii="宋体" w:hAnsi="宋体" w:cs="宋体"/>
          <w:sz w:val="24"/>
        </w:rPr>
        <w:t>（签字或盖章）</w:t>
      </w:r>
      <w:r>
        <w:rPr>
          <w:rFonts w:hint="eastAsia" w:ascii="宋体" w:hAnsi="宋体" w:cs="宋体"/>
          <w:sz w:val="24"/>
          <w:lang w:val="zh-CN"/>
        </w:rPr>
        <w:t xml:space="preserve">：   </w:t>
      </w:r>
    </w:p>
    <w:p>
      <w:pPr>
        <w:pStyle w:val="2"/>
        <w:ind w:left="424" w:firstLine="484"/>
        <w:rPr>
          <w:rFonts w:ascii="宋体" w:hAnsi="宋体" w:cs="宋体"/>
          <w:sz w:val="24"/>
          <w:lang w:val="zh-CN"/>
        </w:rPr>
      </w:pPr>
    </w:p>
    <w:p>
      <w:pPr>
        <w:autoSpaceDE w:val="0"/>
        <w:autoSpaceDN w:val="0"/>
        <w:spacing w:line="360" w:lineRule="auto"/>
        <w:ind w:firstLine="241" w:firstLineChars="100"/>
        <w:rPr>
          <w:rFonts w:ascii="宋体" w:hAnsi="宋体" w:cs="宋体"/>
          <w:b/>
          <w:position w:val="-2"/>
        </w:rPr>
      </w:pPr>
      <w:r>
        <w:rPr>
          <w:rFonts w:hint="eastAsia" w:ascii="宋体" w:hAnsi="宋体" w:cs="宋体"/>
          <w:sz w:val="24"/>
          <w:lang w:val="zh-CN"/>
        </w:rPr>
        <w:t>日期：</w:t>
      </w: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 xml:space="preserve"> </w:t>
      </w:r>
    </w:p>
    <w:p>
      <w:pPr>
        <w:adjustRightInd w:val="0"/>
        <w:snapToGrid w:val="0"/>
        <w:spacing w:before="156" w:beforeLines="50" w:line="360" w:lineRule="auto"/>
        <w:ind w:right="-20"/>
        <w:jc w:val="center"/>
        <w:rPr>
          <w:rFonts w:ascii="宋体" w:hAnsi="宋体" w:cs="宋体"/>
          <w:bCs/>
          <w:sz w:val="28"/>
          <w:szCs w:val="28"/>
        </w:rPr>
      </w:pPr>
      <w:r>
        <w:rPr>
          <w:rFonts w:hint="eastAsia" w:ascii="宋体" w:hAnsi="宋体" w:cs="宋体"/>
          <w:bCs/>
          <w:sz w:val="28"/>
          <w:szCs w:val="28"/>
        </w:rPr>
        <w:t>5、政府强制采购节能产品明细表</w:t>
      </w:r>
    </w:p>
    <w:p>
      <w:pPr>
        <w:adjustRightInd w:val="0"/>
        <w:snapToGrid w:val="0"/>
        <w:spacing w:before="156" w:beforeLines="50" w:line="360" w:lineRule="auto"/>
        <w:jc w:val="right"/>
        <w:rPr>
          <w:rFonts w:ascii="宋体" w:hAnsi="宋体" w:cs="宋体"/>
          <w:sz w:val="24"/>
        </w:rPr>
      </w:pPr>
      <w:r>
        <w:rPr>
          <w:rFonts w:hint="eastAsia" w:ascii="宋体" w:hAnsi="宋体" w:cs="宋体"/>
          <w:sz w:val="24"/>
        </w:rPr>
        <w:t xml:space="preserve"> </w:t>
      </w:r>
      <w:r>
        <w:rPr>
          <w:rFonts w:hint="eastAsia" w:ascii="宋体" w:hAnsi="宋体" w:cs="宋体"/>
          <w:position w:val="-1"/>
          <w:sz w:val="24"/>
        </w:rPr>
        <w:t>单位：元</w:t>
      </w:r>
    </w:p>
    <w:tbl>
      <w:tblPr>
        <w:tblStyle w:val="25"/>
        <w:tblW w:w="96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1362"/>
        <w:gridCol w:w="1146"/>
        <w:gridCol w:w="968"/>
        <w:gridCol w:w="1493"/>
        <w:gridCol w:w="1659"/>
        <w:gridCol w:w="2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rPr>
        <w:tc>
          <w:tcPr>
            <w:tcW w:w="757" w:type="dxa"/>
          </w:tcPr>
          <w:p>
            <w:pPr>
              <w:pStyle w:val="49"/>
              <w:rPr>
                <w:sz w:val="24"/>
              </w:rPr>
            </w:pPr>
          </w:p>
          <w:p>
            <w:pPr>
              <w:pStyle w:val="49"/>
              <w:spacing w:before="1"/>
              <w:rPr>
                <w:sz w:val="24"/>
              </w:rPr>
            </w:pPr>
          </w:p>
          <w:p>
            <w:pPr>
              <w:pStyle w:val="49"/>
              <w:ind w:left="106"/>
              <w:rPr>
                <w:sz w:val="24"/>
              </w:rPr>
            </w:pPr>
            <w:r>
              <w:rPr>
                <w:rFonts w:hint="eastAsia"/>
                <w:sz w:val="24"/>
              </w:rPr>
              <w:t>序号</w:t>
            </w:r>
          </w:p>
        </w:tc>
        <w:tc>
          <w:tcPr>
            <w:tcW w:w="1362" w:type="dxa"/>
          </w:tcPr>
          <w:p>
            <w:pPr>
              <w:pStyle w:val="49"/>
              <w:rPr>
                <w:sz w:val="24"/>
              </w:rPr>
            </w:pPr>
          </w:p>
          <w:p>
            <w:pPr>
              <w:pStyle w:val="49"/>
              <w:spacing w:before="1"/>
              <w:rPr>
                <w:sz w:val="24"/>
              </w:rPr>
            </w:pPr>
          </w:p>
          <w:p>
            <w:pPr>
              <w:pStyle w:val="49"/>
              <w:ind w:left="108"/>
              <w:rPr>
                <w:sz w:val="24"/>
              </w:rPr>
            </w:pPr>
            <w:r>
              <w:rPr>
                <w:rFonts w:hint="eastAsia"/>
                <w:sz w:val="24"/>
              </w:rPr>
              <w:t>产品名称</w:t>
            </w:r>
          </w:p>
        </w:tc>
        <w:tc>
          <w:tcPr>
            <w:tcW w:w="1146" w:type="dxa"/>
          </w:tcPr>
          <w:p>
            <w:pPr>
              <w:pStyle w:val="49"/>
              <w:rPr>
                <w:sz w:val="24"/>
              </w:rPr>
            </w:pPr>
          </w:p>
          <w:p>
            <w:pPr>
              <w:pStyle w:val="49"/>
              <w:spacing w:before="1"/>
              <w:rPr>
                <w:sz w:val="24"/>
              </w:rPr>
            </w:pPr>
          </w:p>
          <w:p>
            <w:pPr>
              <w:pStyle w:val="49"/>
              <w:ind w:left="107"/>
              <w:rPr>
                <w:sz w:val="24"/>
              </w:rPr>
            </w:pPr>
            <w:r>
              <w:rPr>
                <w:rFonts w:hint="eastAsia"/>
                <w:sz w:val="24"/>
              </w:rPr>
              <w:t>制造商</w:t>
            </w:r>
          </w:p>
        </w:tc>
        <w:tc>
          <w:tcPr>
            <w:tcW w:w="968" w:type="dxa"/>
          </w:tcPr>
          <w:p>
            <w:pPr>
              <w:pStyle w:val="49"/>
              <w:rPr>
                <w:sz w:val="24"/>
              </w:rPr>
            </w:pPr>
          </w:p>
          <w:p>
            <w:pPr>
              <w:pStyle w:val="49"/>
              <w:spacing w:before="1"/>
              <w:rPr>
                <w:sz w:val="24"/>
              </w:rPr>
            </w:pPr>
          </w:p>
          <w:p>
            <w:pPr>
              <w:pStyle w:val="49"/>
              <w:ind w:left="107"/>
              <w:rPr>
                <w:sz w:val="24"/>
              </w:rPr>
            </w:pPr>
            <w:r>
              <w:rPr>
                <w:rFonts w:hint="eastAsia"/>
                <w:sz w:val="24"/>
              </w:rPr>
              <w:t>品牌</w:t>
            </w:r>
          </w:p>
        </w:tc>
        <w:tc>
          <w:tcPr>
            <w:tcW w:w="1493" w:type="dxa"/>
          </w:tcPr>
          <w:p>
            <w:pPr>
              <w:pStyle w:val="49"/>
              <w:rPr>
                <w:sz w:val="24"/>
              </w:rPr>
            </w:pPr>
          </w:p>
          <w:p>
            <w:pPr>
              <w:pStyle w:val="49"/>
              <w:spacing w:before="1"/>
              <w:rPr>
                <w:sz w:val="24"/>
              </w:rPr>
            </w:pPr>
          </w:p>
          <w:p>
            <w:pPr>
              <w:pStyle w:val="49"/>
              <w:ind w:left="107"/>
              <w:rPr>
                <w:sz w:val="24"/>
              </w:rPr>
            </w:pPr>
            <w:r>
              <w:rPr>
                <w:rFonts w:hint="eastAsia"/>
                <w:sz w:val="24"/>
              </w:rPr>
              <w:t>产品型号</w:t>
            </w:r>
          </w:p>
        </w:tc>
        <w:tc>
          <w:tcPr>
            <w:tcW w:w="1659" w:type="dxa"/>
          </w:tcPr>
          <w:p>
            <w:pPr>
              <w:pStyle w:val="49"/>
              <w:spacing w:before="11"/>
              <w:rPr>
                <w:sz w:val="24"/>
              </w:rPr>
            </w:pPr>
          </w:p>
          <w:p>
            <w:pPr>
              <w:pStyle w:val="49"/>
              <w:spacing w:line="259" w:lineRule="auto"/>
              <w:ind w:left="107" w:right="97"/>
              <w:rPr>
                <w:sz w:val="24"/>
              </w:rPr>
            </w:pPr>
            <w:r>
              <w:rPr>
                <w:rFonts w:hint="eastAsia"/>
                <w:sz w:val="24"/>
              </w:rPr>
              <w:t>节能标志认证证书号</w:t>
            </w:r>
          </w:p>
        </w:tc>
        <w:tc>
          <w:tcPr>
            <w:tcW w:w="2259" w:type="dxa"/>
          </w:tcPr>
          <w:p>
            <w:pPr>
              <w:pStyle w:val="49"/>
              <w:spacing w:before="11"/>
              <w:rPr>
                <w:sz w:val="24"/>
              </w:rPr>
            </w:pPr>
          </w:p>
          <w:p>
            <w:pPr>
              <w:pStyle w:val="49"/>
              <w:spacing w:line="259" w:lineRule="auto"/>
              <w:ind w:left="108" w:right="97"/>
              <w:rPr>
                <w:sz w:val="24"/>
              </w:rPr>
            </w:pPr>
            <w:r>
              <w:rPr>
                <w:rFonts w:hint="eastAsia"/>
                <w:sz w:val="24"/>
              </w:rPr>
              <w:t>节能产品认证证书有效截止日期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trPr>
        <w:tc>
          <w:tcPr>
            <w:tcW w:w="757" w:type="dxa"/>
          </w:tcPr>
          <w:p>
            <w:pPr>
              <w:pStyle w:val="49"/>
              <w:rPr>
                <w:sz w:val="24"/>
              </w:rPr>
            </w:pPr>
          </w:p>
        </w:tc>
        <w:tc>
          <w:tcPr>
            <w:tcW w:w="1362" w:type="dxa"/>
          </w:tcPr>
          <w:p>
            <w:pPr>
              <w:pStyle w:val="49"/>
              <w:rPr>
                <w:sz w:val="24"/>
              </w:rPr>
            </w:pPr>
          </w:p>
        </w:tc>
        <w:tc>
          <w:tcPr>
            <w:tcW w:w="1146" w:type="dxa"/>
          </w:tcPr>
          <w:p>
            <w:pPr>
              <w:pStyle w:val="49"/>
              <w:rPr>
                <w:sz w:val="24"/>
              </w:rPr>
            </w:pPr>
          </w:p>
        </w:tc>
        <w:tc>
          <w:tcPr>
            <w:tcW w:w="968" w:type="dxa"/>
          </w:tcPr>
          <w:p>
            <w:pPr>
              <w:pStyle w:val="49"/>
              <w:rPr>
                <w:sz w:val="24"/>
              </w:rPr>
            </w:pPr>
          </w:p>
        </w:tc>
        <w:tc>
          <w:tcPr>
            <w:tcW w:w="1493" w:type="dxa"/>
          </w:tcPr>
          <w:p>
            <w:pPr>
              <w:pStyle w:val="49"/>
              <w:rPr>
                <w:sz w:val="24"/>
              </w:rPr>
            </w:pPr>
          </w:p>
        </w:tc>
        <w:tc>
          <w:tcPr>
            <w:tcW w:w="1659" w:type="dxa"/>
          </w:tcPr>
          <w:p>
            <w:pPr>
              <w:pStyle w:val="49"/>
              <w:rPr>
                <w:sz w:val="24"/>
              </w:rPr>
            </w:pPr>
          </w:p>
        </w:tc>
        <w:tc>
          <w:tcPr>
            <w:tcW w:w="2259" w:type="dxa"/>
          </w:tcPr>
          <w:p>
            <w:pPr>
              <w:pStyle w:val="4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trPr>
        <w:tc>
          <w:tcPr>
            <w:tcW w:w="757" w:type="dxa"/>
          </w:tcPr>
          <w:p>
            <w:pPr>
              <w:pStyle w:val="49"/>
              <w:rPr>
                <w:sz w:val="24"/>
              </w:rPr>
            </w:pPr>
          </w:p>
        </w:tc>
        <w:tc>
          <w:tcPr>
            <w:tcW w:w="1362" w:type="dxa"/>
          </w:tcPr>
          <w:p>
            <w:pPr>
              <w:pStyle w:val="49"/>
              <w:rPr>
                <w:sz w:val="24"/>
              </w:rPr>
            </w:pPr>
          </w:p>
        </w:tc>
        <w:tc>
          <w:tcPr>
            <w:tcW w:w="1146" w:type="dxa"/>
          </w:tcPr>
          <w:p>
            <w:pPr>
              <w:pStyle w:val="49"/>
              <w:rPr>
                <w:sz w:val="24"/>
              </w:rPr>
            </w:pPr>
          </w:p>
        </w:tc>
        <w:tc>
          <w:tcPr>
            <w:tcW w:w="968" w:type="dxa"/>
          </w:tcPr>
          <w:p>
            <w:pPr>
              <w:pStyle w:val="49"/>
              <w:rPr>
                <w:sz w:val="24"/>
              </w:rPr>
            </w:pPr>
          </w:p>
        </w:tc>
        <w:tc>
          <w:tcPr>
            <w:tcW w:w="1493" w:type="dxa"/>
          </w:tcPr>
          <w:p>
            <w:pPr>
              <w:pStyle w:val="49"/>
              <w:rPr>
                <w:sz w:val="24"/>
              </w:rPr>
            </w:pPr>
          </w:p>
        </w:tc>
        <w:tc>
          <w:tcPr>
            <w:tcW w:w="1659" w:type="dxa"/>
          </w:tcPr>
          <w:p>
            <w:pPr>
              <w:pStyle w:val="49"/>
              <w:rPr>
                <w:sz w:val="24"/>
              </w:rPr>
            </w:pPr>
          </w:p>
        </w:tc>
        <w:tc>
          <w:tcPr>
            <w:tcW w:w="2259" w:type="dxa"/>
          </w:tcPr>
          <w:p>
            <w:pPr>
              <w:pStyle w:val="4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trPr>
        <w:tc>
          <w:tcPr>
            <w:tcW w:w="757" w:type="dxa"/>
          </w:tcPr>
          <w:p>
            <w:pPr>
              <w:pStyle w:val="49"/>
              <w:rPr>
                <w:sz w:val="24"/>
              </w:rPr>
            </w:pPr>
          </w:p>
        </w:tc>
        <w:tc>
          <w:tcPr>
            <w:tcW w:w="1362" w:type="dxa"/>
          </w:tcPr>
          <w:p>
            <w:pPr>
              <w:pStyle w:val="49"/>
              <w:rPr>
                <w:sz w:val="24"/>
              </w:rPr>
            </w:pPr>
          </w:p>
        </w:tc>
        <w:tc>
          <w:tcPr>
            <w:tcW w:w="1146" w:type="dxa"/>
          </w:tcPr>
          <w:p>
            <w:pPr>
              <w:pStyle w:val="49"/>
              <w:rPr>
                <w:sz w:val="24"/>
              </w:rPr>
            </w:pPr>
          </w:p>
        </w:tc>
        <w:tc>
          <w:tcPr>
            <w:tcW w:w="968" w:type="dxa"/>
          </w:tcPr>
          <w:p>
            <w:pPr>
              <w:pStyle w:val="49"/>
              <w:rPr>
                <w:sz w:val="24"/>
              </w:rPr>
            </w:pPr>
          </w:p>
        </w:tc>
        <w:tc>
          <w:tcPr>
            <w:tcW w:w="1493" w:type="dxa"/>
          </w:tcPr>
          <w:p>
            <w:pPr>
              <w:pStyle w:val="49"/>
              <w:rPr>
                <w:sz w:val="24"/>
              </w:rPr>
            </w:pPr>
          </w:p>
        </w:tc>
        <w:tc>
          <w:tcPr>
            <w:tcW w:w="1659" w:type="dxa"/>
          </w:tcPr>
          <w:p>
            <w:pPr>
              <w:pStyle w:val="49"/>
              <w:rPr>
                <w:sz w:val="24"/>
              </w:rPr>
            </w:pPr>
          </w:p>
        </w:tc>
        <w:tc>
          <w:tcPr>
            <w:tcW w:w="2259" w:type="dxa"/>
          </w:tcPr>
          <w:p>
            <w:pPr>
              <w:pStyle w:val="4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757" w:type="dxa"/>
          </w:tcPr>
          <w:p>
            <w:pPr>
              <w:pStyle w:val="49"/>
              <w:rPr>
                <w:sz w:val="24"/>
              </w:rPr>
            </w:pPr>
          </w:p>
        </w:tc>
        <w:tc>
          <w:tcPr>
            <w:tcW w:w="1362" w:type="dxa"/>
          </w:tcPr>
          <w:p>
            <w:pPr>
              <w:pStyle w:val="49"/>
              <w:rPr>
                <w:sz w:val="24"/>
              </w:rPr>
            </w:pPr>
          </w:p>
        </w:tc>
        <w:tc>
          <w:tcPr>
            <w:tcW w:w="1146" w:type="dxa"/>
          </w:tcPr>
          <w:p>
            <w:pPr>
              <w:pStyle w:val="49"/>
              <w:rPr>
                <w:sz w:val="24"/>
              </w:rPr>
            </w:pPr>
          </w:p>
        </w:tc>
        <w:tc>
          <w:tcPr>
            <w:tcW w:w="968" w:type="dxa"/>
          </w:tcPr>
          <w:p>
            <w:pPr>
              <w:pStyle w:val="49"/>
              <w:rPr>
                <w:sz w:val="24"/>
              </w:rPr>
            </w:pPr>
          </w:p>
        </w:tc>
        <w:tc>
          <w:tcPr>
            <w:tcW w:w="1493" w:type="dxa"/>
          </w:tcPr>
          <w:p>
            <w:pPr>
              <w:pStyle w:val="49"/>
              <w:rPr>
                <w:sz w:val="24"/>
              </w:rPr>
            </w:pPr>
          </w:p>
        </w:tc>
        <w:tc>
          <w:tcPr>
            <w:tcW w:w="1659" w:type="dxa"/>
          </w:tcPr>
          <w:p>
            <w:pPr>
              <w:pStyle w:val="49"/>
              <w:rPr>
                <w:sz w:val="24"/>
              </w:rPr>
            </w:pPr>
          </w:p>
        </w:tc>
        <w:tc>
          <w:tcPr>
            <w:tcW w:w="2259" w:type="dxa"/>
          </w:tcPr>
          <w:p>
            <w:pPr>
              <w:pStyle w:val="49"/>
              <w:rPr>
                <w:sz w:val="24"/>
              </w:rPr>
            </w:pPr>
          </w:p>
        </w:tc>
      </w:tr>
    </w:tbl>
    <w:p>
      <w:pPr>
        <w:pStyle w:val="12"/>
        <w:spacing w:before="58" w:after="58" w:line="439" w:lineRule="auto"/>
        <w:ind w:right="-664" w:rightChars="-315"/>
        <w:rPr>
          <w:rFonts w:ascii="宋体" w:hAnsi="宋体" w:cs="宋体"/>
          <w:spacing w:val="1"/>
          <w:position w:val="-1"/>
        </w:rPr>
      </w:pPr>
      <w:r>
        <w:rPr>
          <w:rFonts w:hint="eastAsia" w:ascii="宋体" w:hAnsi="宋体" w:cs="宋体"/>
          <w:spacing w:val="1"/>
          <w:position w:val="-1"/>
        </w:rPr>
        <w:t>注： 1.政府采购强制节能产品根据财政部、国家发展改革委最新公布的节能产品政府采购清单确定。</w:t>
      </w:r>
    </w:p>
    <w:p>
      <w:pPr>
        <w:pStyle w:val="52"/>
        <w:tabs>
          <w:tab w:val="left" w:pos="1060"/>
        </w:tabs>
        <w:spacing w:line="436" w:lineRule="auto"/>
        <w:ind w:right="-664" w:rightChars="-315" w:firstLine="488"/>
        <w:jc w:val="left"/>
        <w:rPr>
          <w:rFonts w:ascii="宋体" w:hAnsi="宋体" w:cs="宋体"/>
          <w:spacing w:val="1"/>
          <w:position w:val="-1"/>
          <w:sz w:val="24"/>
        </w:rPr>
      </w:pPr>
      <w:r>
        <w:rPr>
          <w:rFonts w:hint="eastAsia" w:ascii="宋体" w:hAnsi="宋体" w:cs="宋体"/>
          <w:spacing w:val="1"/>
          <w:position w:val="-1"/>
          <w:sz w:val="24"/>
        </w:rPr>
        <w:t>2.如所投产品为政府强制采购节能产品，必须按规定格式逐项填写，否则按无效投标处理。如所投产品不是政府强制采购节能产品，则不需填写本表。</w:t>
      </w:r>
    </w:p>
    <w:p>
      <w:pPr>
        <w:pStyle w:val="52"/>
        <w:tabs>
          <w:tab w:val="left" w:pos="1060"/>
        </w:tabs>
        <w:ind w:firstLine="488"/>
        <w:jc w:val="left"/>
        <w:rPr>
          <w:rFonts w:ascii="宋体" w:hAnsi="宋体" w:cs="宋体"/>
          <w:spacing w:val="1"/>
          <w:position w:val="-1"/>
          <w:sz w:val="24"/>
        </w:rPr>
      </w:pPr>
      <w:r>
        <w:rPr>
          <w:rFonts w:hint="eastAsia" w:ascii="宋体" w:hAnsi="宋体" w:cs="宋体"/>
          <w:spacing w:val="1"/>
          <w:position w:val="-1"/>
          <w:sz w:val="24"/>
        </w:rPr>
        <w:t>3.此表可根据需要同格式扩展。</w:t>
      </w:r>
    </w:p>
    <w:p>
      <w:pPr>
        <w:pStyle w:val="12"/>
        <w:spacing w:before="58" w:after="58"/>
        <w:ind w:firstLine="520"/>
        <w:rPr>
          <w:rFonts w:ascii="宋体" w:hAnsi="宋体" w:cs="宋体"/>
        </w:rPr>
      </w:pPr>
    </w:p>
    <w:p>
      <w:pPr>
        <w:spacing w:line="360" w:lineRule="auto"/>
        <w:ind w:left="219" w:leftChars="104"/>
        <w:rPr>
          <w:rFonts w:ascii="宋体" w:hAnsi="宋体" w:cs="宋体"/>
          <w:sz w:val="24"/>
        </w:rPr>
      </w:pPr>
      <w:r>
        <w:rPr>
          <w:rFonts w:hint="eastAsia" w:ascii="宋体" w:hAnsi="宋体" w:cs="宋体"/>
          <w:sz w:val="24"/>
        </w:rPr>
        <w:t xml:space="preserve">供应商名称（盖章）： </w:t>
      </w:r>
    </w:p>
    <w:p>
      <w:pPr>
        <w:spacing w:line="360" w:lineRule="auto"/>
        <w:ind w:firstLine="241" w:firstLineChars="100"/>
        <w:rPr>
          <w:rFonts w:ascii="宋体" w:hAnsi="宋体" w:cs="宋体"/>
          <w:sz w:val="24"/>
        </w:rPr>
      </w:pPr>
      <w:r>
        <w:rPr>
          <w:rFonts w:hint="eastAsia" w:ascii="宋体" w:hAnsi="宋体" w:cs="宋体"/>
          <w:sz w:val="24"/>
        </w:rPr>
        <w:t xml:space="preserve">      </w:t>
      </w:r>
    </w:p>
    <w:p>
      <w:pPr>
        <w:autoSpaceDE w:val="0"/>
        <w:autoSpaceDN w:val="0"/>
        <w:spacing w:line="360" w:lineRule="auto"/>
        <w:ind w:firstLine="241" w:firstLineChars="100"/>
        <w:rPr>
          <w:rFonts w:ascii="宋体" w:hAnsi="宋体" w:cs="宋体"/>
          <w:sz w:val="24"/>
          <w:lang w:val="zh-CN"/>
        </w:rPr>
      </w:pPr>
      <w:r>
        <w:rPr>
          <w:rFonts w:hint="eastAsia" w:ascii="宋体" w:hAnsi="宋体" w:cs="宋体"/>
          <w:sz w:val="24"/>
          <w:lang w:val="zh-CN"/>
        </w:rPr>
        <w:t>法定代表人或其授权代表</w:t>
      </w:r>
      <w:r>
        <w:rPr>
          <w:rFonts w:hint="eastAsia" w:ascii="宋体" w:hAnsi="宋体" w:cs="宋体"/>
          <w:sz w:val="24"/>
        </w:rPr>
        <w:t>（签字或盖章）</w:t>
      </w:r>
      <w:r>
        <w:rPr>
          <w:rFonts w:hint="eastAsia" w:ascii="宋体" w:hAnsi="宋体" w:cs="宋体"/>
          <w:sz w:val="24"/>
          <w:lang w:val="zh-CN"/>
        </w:rPr>
        <w:t xml:space="preserve">：   </w:t>
      </w:r>
    </w:p>
    <w:p>
      <w:pPr>
        <w:pStyle w:val="2"/>
        <w:ind w:left="424" w:firstLine="484"/>
        <w:rPr>
          <w:rFonts w:ascii="宋体" w:hAnsi="宋体" w:cs="宋体"/>
          <w:sz w:val="24"/>
          <w:lang w:val="zh-CN"/>
        </w:rPr>
      </w:pPr>
    </w:p>
    <w:p>
      <w:pPr>
        <w:autoSpaceDE w:val="0"/>
        <w:autoSpaceDN w:val="0"/>
        <w:spacing w:line="360" w:lineRule="auto"/>
        <w:ind w:firstLine="241" w:firstLineChars="100"/>
        <w:rPr>
          <w:rFonts w:ascii="宋体" w:hAnsi="宋体" w:cs="宋体"/>
          <w:sz w:val="24"/>
        </w:rPr>
      </w:pPr>
      <w:r>
        <w:rPr>
          <w:rFonts w:hint="eastAsia" w:ascii="宋体" w:hAnsi="宋体" w:cs="宋体"/>
          <w:sz w:val="24"/>
          <w:lang w:val="zh-CN"/>
        </w:rPr>
        <w:t>日期：</w:t>
      </w: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 xml:space="preserve"> </w:t>
      </w:r>
    </w:p>
    <w:p>
      <w:pPr>
        <w:pStyle w:val="7"/>
        <w:spacing w:before="54"/>
        <w:jc w:val="center"/>
        <w:rPr>
          <w:rFonts w:ascii="宋体" w:hAnsi="宋体" w:eastAsia="宋体" w:cs="宋体"/>
          <w:b w:val="0"/>
        </w:rPr>
      </w:pPr>
    </w:p>
    <w:p>
      <w:pPr>
        <w:pStyle w:val="7"/>
        <w:spacing w:before="54"/>
        <w:jc w:val="center"/>
        <w:rPr>
          <w:rFonts w:ascii="宋体" w:hAnsi="宋体" w:eastAsia="宋体" w:cs="宋体"/>
          <w:b w:val="0"/>
        </w:rPr>
      </w:pPr>
      <w:r>
        <w:rPr>
          <w:rFonts w:hint="eastAsia" w:ascii="宋体" w:hAnsi="宋体" w:eastAsia="宋体" w:cs="宋体"/>
          <w:b w:val="0"/>
        </w:rPr>
        <w:t>6、残疾人福利性单位声明函</w:t>
      </w:r>
    </w:p>
    <w:p>
      <w:pPr>
        <w:pStyle w:val="12"/>
        <w:tabs>
          <w:tab w:val="left" w:pos="3971"/>
          <w:tab w:val="left" w:pos="5411"/>
        </w:tabs>
        <w:spacing w:before="58" w:after="58" w:line="468" w:lineRule="auto"/>
        <w:ind w:right="-46" w:rightChars="-22" w:firstLine="687" w:firstLineChars="300"/>
        <w:rPr>
          <w:rFonts w:ascii="宋体" w:hAnsi="宋体" w:cs="宋体"/>
          <w:spacing w:val="-6"/>
        </w:rPr>
      </w:pPr>
      <w:r>
        <w:rPr>
          <w:rFonts w:hint="eastAsia" w:ascii="宋体" w:hAnsi="宋体" w:cs="宋体"/>
          <w:spacing w:val="-6"/>
        </w:rPr>
        <w:t>本单位郑重声明，根据《财政部 民政部 中国残疾人联合会关于促进残疾人就业政府采购政策的通知》（财库〔2017〕 141 号）的规定，本单位为符合条件的残疾人福利性单位，且本单位参加</w:t>
      </w:r>
      <w:r>
        <w:rPr>
          <w:rFonts w:hint="eastAsia" w:ascii="宋体" w:hAnsi="宋体" w:cs="宋体"/>
          <w:spacing w:val="-6"/>
          <w:u w:val="single"/>
        </w:rPr>
        <w:t xml:space="preserve"> </w:t>
      </w:r>
      <w:r>
        <w:rPr>
          <w:rFonts w:hint="eastAsia" w:ascii="宋体" w:hAnsi="宋体" w:cs="宋体"/>
          <w:spacing w:val="-6"/>
          <w:u w:val="single"/>
        </w:rPr>
        <w:tab/>
      </w:r>
      <w:r>
        <w:rPr>
          <w:rFonts w:hint="eastAsia" w:ascii="宋体" w:hAnsi="宋体" w:cs="宋体"/>
          <w:spacing w:val="-6"/>
        </w:rPr>
        <w:t>单位的</w:t>
      </w:r>
      <w:r>
        <w:rPr>
          <w:rFonts w:hint="eastAsia" w:ascii="宋体" w:hAnsi="宋体" w:cs="宋体"/>
          <w:spacing w:val="-6"/>
          <w:u w:val="single"/>
        </w:rPr>
        <w:t xml:space="preserve"> </w:t>
      </w:r>
      <w:r>
        <w:rPr>
          <w:rFonts w:hint="eastAsia" w:ascii="宋体" w:hAnsi="宋体" w:cs="宋体"/>
          <w:spacing w:val="-6"/>
          <w:u w:val="single"/>
        </w:rPr>
        <w:tab/>
      </w:r>
      <w:r>
        <w:rPr>
          <w:rFonts w:hint="eastAsia" w:ascii="宋体" w:hAnsi="宋体" w:cs="宋体"/>
          <w:spacing w:val="-6"/>
        </w:rPr>
        <w:t>项目采购活动提供本单位制造的货物（由本单位承担工程/提供服务），或者提供其他残疾人福利性单位制造的货物（不包括使用非残疾人福利性单位注册商标的货物）。</w:t>
      </w:r>
    </w:p>
    <w:p>
      <w:pPr>
        <w:pStyle w:val="15"/>
        <w:ind w:right="-46" w:rightChars="-22" w:firstLine="458" w:firstLineChars="200"/>
        <w:rPr>
          <w:rFonts w:hAnsi="宋体" w:cs="宋体"/>
          <w:sz w:val="24"/>
        </w:rPr>
      </w:pPr>
      <w:r>
        <w:rPr>
          <w:rFonts w:hint="eastAsia" w:hAnsi="宋体" w:cs="宋体"/>
          <w:spacing w:val="-6"/>
          <w:kern w:val="0"/>
          <w:sz w:val="24"/>
        </w:rPr>
        <w:t>本单位对上述声明的真实性负责。如有虚假，将依法承担相应责任。</w:t>
      </w:r>
    </w:p>
    <w:p>
      <w:pPr>
        <w:rPr>
          <w:rFonts w:ascii="宋体" w:hAnsi="宋体" w:cs="宋体"/>
          <w:bCs/>
          <w:sz w:val="24"/>
        </w:rPr>
      </w:pPr>
    </w:p>
    <w:p>
      <w:pPr>
        <w:pStyle w:val="12"/>
        <w:tabs>
          <w:tab w:val="left" w:pos="3971"/>
          <w:tab w:val="left" w:pos="5411"/>
        </w:tabs>
        <w:spacing w:before="58" w:after="58" w:line="468" w:lineRule="auto"/>
        <w:ind w:right="869" w:firstLine="687" w:firstLineChars="300"/>
        <w:rPr>
          <w:rFonts w:ascii="宋体" w:hAnsi="宋体" w:cs="宋体"/>
          <w:spacing w:val="-6"/>
        </w:rPr>
      </w:pPr>
      <w:r>
        <w:rPr>
          <w:rFonts w:hint="eastAsia" w:ascii="宋体" w:hAnsi="宋体" w:cs="宋体"/>
          <w:spacing w:val="-6"/>
        </w:rPr>
        <w:t xml:space="preserve">供应商名称（盖章）： </w:t>
      </w:r>
    </w:p>
    <w:p>
      <w:pPr>
        <w:pStyle w:val="12"/>
        <w:tabs>
          <w:tab w:val="left" w:pos="3971"/>
          <w:tab w:val="left" w:pos="5411"/>
        </w:tabs>
        <w:spacing w:before="58" w:after="58" w:line="468" w:lineRule="auto"/>
        <w:ind w:right="869" w:firstLine="687" w:firstLineChars="300"/>
        <w:rPr>
          <w:rFonts w:ascii="宋体" w:hAnsi="宋体" w:cs="宋体"/>
          <w:spacing w:val="-6"/>
        </w:rPr>
      </w:pPr>
      <w:r>
        <w:rPr>
          <w:rFonts w:hint="eastAsia" w:ascii="宋体" w:hAnsi="宋体" w:cs="宋体"/>
          <w:spacing w:val="-6"/>
        </w:rPr>
        <w:t>年   月   日</w:t>
      </w:r>
    </w:p>
    <w:p>
      <w:pPr>
        <w:adjustRightInd w:val="0"/>
        <w:snapToGrid w:val="0"/>
        <w:spacing w:before="156" w:beforeLines="50" w:line="360" w:lineRule="auto"/>
        <w:rPr>
          <w:rFonts w:ascii="宋体" w:hAnsi="宋体" w:cs="宋体"/>
          <w:sz w:val="24"/>
        </w:rPr>
      </w:pPr>
      <w:r>
        <w:rPr>
          <w:rFonts w:hint="eastAsia" w:ascii="宋体" w:hAnsi="宋体" w:cs="宋体"/>
          <w:spacing w:val="-6"/>
          <w:kern w:val="0"/>
          <w:sz w:val="24"/>
        </w:rPr>
        <w:t>注：如供应商不是残疾人福利性单位，则不需填写本声明函。</w:t>
      </w:r>
    </w:p>
    <w:p>
      <w:pPr>
        <w:sectPr>
          <w:pgSz w:w="11906" w:h="16838"/>
          <w:pgMar w:top="1417" w:right="1417" w:bottom="1417" w:left="1417" w:header="879" w:footer="833" w:gutter="0"/>
          <w:pgNumType w:fmt="decimal"/>
          <w:cols w:space="720" w:num="1"/>
          <w:titlePg/>
          <w:docGrid w:type="linesAndChars" w:linePitch="312" w:charSpace="394"/>
        </w:sectPr>
      </w:pPr>
    </w:p>
    <w:p>
      <w:pPr>
        <w:pStyle w:val="6"/>
        <w:spacing w:before="55" w:line="360" w:lineRule="auto"/>
        <w:ind w:firstLine="2321" w:firstLineChars="1100"/>
        <w:rPr>
          <w:rFonts w:ascii="宋体" w:hAnsi="宋体" w:eastAsia="宋体"/>
          <w:bCs w:val="0"/>
          <w:sz w:val="21"/>
          <w:szCs w:val="21"/>
        </w:rPr>
      </w:pPr>
      <w:r>
        <w:rPr>
          <w:rFonts w:ascii="宋体" w:hAnsi="宋体" w:eastAsia="宋体"/>
          <w:bCs w:val="0"/>
          <w:sz w:val="21"/>
          <w:szCs w:val="21"/>
        </w:rPr>
        <w:t>菏泽市政府采购供应商资格信用承诺函</w:t>
      </w:r>
    </w:p>
    <w:p>
      <w:pPr>
        <w:pStyle w:val="6"/>
        <w:spacing w:before="55" w:line="360" w:lineRule="auto"/>
        <w:ind w:firstLine="2321" w:firstLineChars="1100"/>
        <w:rPr>
          <w:rFonts w:ascii="宋体" w:hAnsi="宋体" w:eastAsia="宋体"/>
          <w:bCs w:val="0"/>
          <w:sz w:val="21"/>
          <w:szCs w:val="21"/>
        </w:rPr>
      </w:pPr>
      <w:r>
        <w:rPr>
          <w:rFonts w:ascii="宋体" w:hAnsi="宋体" w:eastAsia="宋体"/>
          <w:bCs w:val="0"/>
          <w:sz w:val="21"/>
          <w:szCs w:val="21"/>
        </w:rPr>
        <w:t>(法人或其他组织)</w:t>
      </w:r>
    </w:p>
    <w:p>
      <w:pPr>
        <w:pStyle w:val="6"/>
        <w:rPr>
          <w:rFonts w:ascii="宋体" w:hAnsi="宋体" w:eastAsia="宋体" w:cs="宋体"/>
          <w:sz w:val="24"/>
          <w:szCs w:val="24"/>
        </w:rPr>
      </w:pPr>
      <w:r>
        <w:rPr>
          <w:rFonts w:hint="eastAsia" w:ascii="宋体" w:hAnsi="宋体" w:eastAsia="宋体" w:cs="宋体"/>
          <w:sz w:val="24"/>
          <w:szCs w:val="24"/>
        </w:rPr>
        <w:t>我公司自愿参加(项目名称)政府采购活动,并郑重承诺:</w:t>
      </w:r>
    </w:p>
    <w:p>
      <w:pPr>
        <w:spacing w:line="360" w:lineRule="auto"/>
        <w:rPr>
          <w:rFonts w:ascii="宋体" w:hAnsi="宋体" w:cs="宋体"/>
          <w:sz w:val="24"/>
        </w:rPr>
      </w:pPr>
      <w:r>
        <w:rPr>
          <w:rFonts w:hint="eastAsia" w:ascii="宋体" w:hAnsi="宋体" w:cs="宋体"/>
          <w:sz w:val="24"/>
        </w:rPr>
        <w:t>我公司符合下列要求:</w:t>
      </w:r>
    </w:p>
    <w:p>
      <w:pPr>
        <w:spacing w:line="360" w:lineRule="auto"/>
        <w:rPr>
          <w:rFonts w:ascii="宋体" w:hAnsi="宋体" w:cs="宋体"/>
          <w:sz w:val="24"/>
        </w:rPr>
      </w:pPr>
      <w:r>
        <w:rPr>
          <w:rFonts w:hint="eastAsia" w:ascii="宋体" w:hAnsi="宋体" w:cs="宋体"/>
          <w:sz w:val="24"/>
        </w:rPr>
        <w:t>(1)具有独立承担民事责任的能力;</w:t>
      </w:r>
    </w:p>
    <w:p>
      <w:pPr>
        <w:spacing w:line="360" w:lineRule="auto"/>
        <w:rPr>
          <w:rFonts w:ascii="宋体" w:hAnsi="宋体" w:cs="宋体"/>
          <w:sz w:val="24"/>
        </w:rPr>
      </w:pPr>
      <w:r>
        <w:rPr>
          <w:rFonts w:hint="eastAsia" w:ascii="宋体" w:hAnsi="宋体" w:cs="宋体"/>
          <w:sz w:val="24"/>
        </w:rPr>
        <w:t>(2)具有良好的商业信誉和健全的财务会计制度;</w:t>
      </w:r>
    </w:p>
    <w:p>
      <w:pPr>
        <w:spacing w:line="360" w:lineRule="auto"/>
        <w:rPr>
          <w:rFonts w:ascii="宋体" w:hAnsi="宋体" w:cs="宋体"/>
          <w:sz w:val="24"/>
        </w:rPr>
      </w:pPr>
      <w:r>
        <w:rPr>
          <w:rFonts w:hint="eastAsia" w:ascii="宋体" w:hAnsi="宋体" w:cs="宋体"/>
          <w:sz w:val="24"/>
        </w:rPr>
        <w:t>(3)具有履行合同所必需的设备和专业技术能力;</w:t>
      </w:r>
    </w:p>
    <w:p>
      <w:pPr>
        <w:spacing w:line="360" w:lineRule="auto"/>
        <w:rPr>
          <w:rFonts w:ascii="宋体" w:hAnsi="宋体" w:cs="宋体"/>
          <w:sz w:val="24"/>
        </w:rPr>
      </w:pPr>
      <w:r>
        <w:rPr>
          <w:rFonts w:hint="eastAsia" w:ascii="宋体" w:hAnsi="宋体" w:cs="宋体"/>
          <w:sz w:val="24"/>
        </w:rPr>
        <w:t>(4)具有依法缴纳税收和社会保障资金的良好记录;</w:t>
      </w:r>
    </w:p>
    <w:p>
      <w:pPr>
        <w:spacing w:line="360" w:lineRule="auto"/>
        <w:rPr>
          <w:rFonts w:ascii="宋体" w:hAnsi="宋体" w:cs="宋体"/>
          <w:sz w:val="24"/>
        </w:rPr>
      </w:pPr>
      <w:r>
        <w:rPr>
          <w:rFonts w:hint="eastAsia" w:ascii="宋体" w:hAnsi="宋体" w:cs="宋体"/>
          <w:sz w:val="24"/>
        </w:rPr>
        <w:t>(5)参加政府采购活动(以开启时间为准)前3年内,供应商和其法定代表人无行贿犯罪行为且在经营活动中没有重大 违法记录以及本项目开启时未被禁止参加本项目所在地的政府 采购活动的证明材料;</w:t>
      </w:r>
    </w:p>
    <w:p>
      <w:pPr>
        <w:spacing w:line="360" w:lineRule="auto"/>
        <w:rPr>
          <w:rFonts w:ascii="宋体" w:hAnsi="宋体" w:cs="宋体"/>
          <w:sz w:val="24"/>
        </w:rPr>
      </w:pPr>
      <w:r>
        <w:rPr>
          <w:rFonts w:hint="eastAsia" w:ascii="宋体" w:hAnsi="宋体" w:cs="宋体"/>
          <w:sz w:val="24"/>
        </w:rPr>
        <w:t>(6)法律、行政法规和采购文件规定的其他条件。</w:t>
      </w:r>
    </w:p>
    <w:p>
      <w:pPr>
        <w:spacing w:line="360" w:lineRule="auto"/>
        <w:ind w:firstLine="482" w:firstLineChars="200"/>
        <w:rPr>
          <w:rFonts w:ascii="宋体" w:hAnsi="宋体" w:cs="宋体"/>
          <w:sz w:val="24"/>
        </w:rPr>
      </w:pPr>
      <w:r>
        <w:rPr>
          <w:rFonts w:hint="eastAsia" w:ascii="宋体" w:hAnsi="宋体" w:cs="宋体"/>
          <w:sz w:val="24"/>
        </w:rPr>
        <w:t>如果我公司中标(成交),将在评审(评标)环节结束后5个工作日内,按采购文件要求,向采购人提供下列材料原件进行核验:</w:t>
      </w:r>
    </w:p>
    <w:p>
      <w:pPr>
        <w:spacing w:line="360" w:lineRule="auto"/>
        <w:rPr>
          <w:rFonts w:ascii="宋体" w:hAnsi="宋体" w:cs="宋体"/>
          <w:sz w:val="24"/>
        </w:rPr>
      </w:pPr>
      <w:r>
        <w:rPr>
          <w:rFonts w:hint="eastAsia" w:ascii="宋体" w:hAnsi="宋体" w:cs="宋体"/>
          <w:sz w:val="24"/>
        </w:rPr>
        <w:t>(1)营业执照或事业单位法人登记证书;</w:t>
      </w:r>
    </w:p>
    <w:p>
      <w:pPr>
        <w:spacing w:line="360" w:lineRule="auto"/>
        <w:rPr>
          <w:rFonts w:ascii="宋体" w:hAnsi="宋体" w:cs="宋体"/>
          <w:sz w:val="24"/>
        </w:rPr>
      </w:pPr>
      <w:r>
        <w:rPr>
          <w:rFonts w:hint="eastAsia" w:ascii="宋体" w:hAnsi="宋体" w:cs="宋体"/>
          <w:sz w:val="24"/>
        </w:rPr>
        <w:t>(2)税务登记证(接受合一的证书)或者上一年度以来任意一个月缴纳的增值税或营业税或企业所得税的凭据;</w:t>
      </w:r>
    </w:p>
    <w:p>
      <w:pPr>
        <w:spacing w:line="360" w:lineRule="auto"/>
        <w:rPr>
          <w:rFonts w:ascii="宋体" w:hAnsi="宋体" w:cs="宋体"/>
          <w:sz w:val="24"/>
        </w:rPr>
      </w:pPr>
      <w:r>
        <w:rPr>
          <w:rFonts w:hint="eastAsia" w:ascii="宋体" w:hAnsi="宋体" w:cs="宋体"/>
          <w:sz w:val="24"/>
        </w:rPr>
        <w:t>(3)参加本次政府采购活动上一年度至今的年度或任意一个月度财务报表(至少包含资产负债表和损益表或预算收入支出 表)或供应商结算户银行出具的资信证明;</w:t>
      </w:r>
    </w:p>
    <w:p>
      <w:pPr>
        <w:spacing w:line="360" w:lineRule="auto"/>
        <w:rPr>
          <w:rFonts w:ascii="宋体" w:hAnsi="宋体" w:cs="宋体"/>
          <w:sz w:val="24"/>
        </w:rPr>
      </w:pPr>
      <w:r>
        <w:rPr>
          <w:rFonts w:hint="eastAsia" w:ascii="宋体" w:hAnsi="宋体" w:cs="宋体"/>
          <w:sz w:val="24"/>
        </w:rPr>
        <w:t>(4)参加本次政府采购活动上一年度以来任意一个月缴纳社会保险的凭据(专用收据或社会保险缴纳清单);</w:t>
      </w:r>
    </w:p>
    <w:p>
      <w:pPr>
        <w:spacing w:line="360" w:lineRule="auto"/>
        <w:rPr>
          <w:rFonts w:ascii="宋体" w:hAnsi="宋体" w:cs="宋体"/>
          <w:sz w:val="24"/>
        </w:rPr>
      </w:pPr>
      <w:r>
        <w:rPr>
          <w:rFonts w:hint="eastAsia" w:ascii="宋体" w:hAnsi="宋体" w:cs="宋体"/>
          <w:sz w:val="24"/>
        </w:rPr>
        <w:t>(5)其他材料。</w:t>
      </w:r>
    </w:p>
    <w:p>
      <w:pPr>
        <w:spacing w:line="360" w:lineRule="auto"/>
        <w:rPr>
          <w:rFonts w:ascii="宋体" w:hAnsi="宋体" w:cs="宋体"/>
          <w:sz w:val="24"/>
        </w:rPr>
      </w:pPr>
      <w:r>
        <w:rPr>
          <w:rFonts w:hint="eastAsia" w:ascii="宋体" w:hAnsi="宋体" w:cs="宋体"/>
          <w:sz w:val="24"/>
        </w:rPr>
        <w:t>本公司对上述承诺的真实性、合法性、有效性负责,如有虚假,将依法承担相应责任。</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法定代表人(签章):</w:t>
      </w:r>
    </w:p>
    <w:p>
      <w:pPr>
        <w:spacing w:line="360" w:lineRule="auto"/>
        <w:rPr>
          <w:rFonts w:ascii="宋体" w:hAnsi="宋体" w:cs="宋体"/>
          <w:sz w:val="24"/>
        </w:rPr>
      </w:pPr>
      <w:r>
        <w:rPr>
          <w:rFonts w:hint="eastAsia" w:ascii="宋体" w:hAnsi="宋体" w:cs="宋体"/>
          <w:sz w:val="24"/>
        </w:rPr>
        <w:t>社会信用代码:</w:t>
      </w:r>
    </w:p>
    <w:p>
      <w:pPr>
        <w:spacing w:line="360" w:lineRule="auto"/>
      </w:pPr>
      <w:r>
        <w:rPr>
          <w:rFonts w:hint="eastAsia" w:ascii="宋体" w:hAnsi="宋体" w:cs="宋体"/>
          <w:sz w:val="24"/>
        </w:rPr>
        <w:t>供应商名称(签章):</w:t>
      </w:r>
    </w:p>
    <w:p>
      <w:pPr>
        <w:sectPr>
          <w:footerReference r:id="rId20" w:type="default"/>
          <w:pgSz w:w="11906" w:h="16838"/>
          <w:pgMar w:top="1417" w:right="1417" w:bottom="1417" w:left="1417" w:header="879" w:footer="833" w:gutter="0"/>
          <w:pgNumType w:fmt="decimal"/>
          <w:cols w:space="720" w:num="1"/>
          <w:titlePg/>
          <w:docGrid w:type="linesAndChars" w:linePitch="312" w:charSpace="394"/>
        </w:sectPr>
      </w:pPr>
      <w:r>
        <w:t>年    月    日</w:t>
      </w:r>
    </w:p>
    <w:p>
      <w:pPr>
        <w:pStyle w:val="6"/>
        <w:spacing w:before="55" w:line="360" w:lineRule="auto"/>
        <w:jc w:val="center"/>
        <w:rPr>
          <w:rFonts w:ascii="宋体" w:hAnsi="宋体" w:eastAsia="宋体"/>
          <w:bCs w:val="0"/>
          <w:sz w:val="21"/>
          <w:szCs w:val="21"/>
        </w:rPr>
      </w:pPr>
      <w:r>
        <w:rPr>
          <w:rFonts w:ascii="宋体" w:hAnsi="宋体" w:eastAsia="宋体"/>
          <w:bCs w:val="0"/>
          <w:sz w:val="21"/>
          <w:szCs w:val="21"/>
        </w:rPr>
        <w:t>菏泽市政府采购供应商资格信用承诺函</w:t>
      </w:r>
    </w:p>
    <w:p>
      <w:pPr>
        <w:pStyle w:val="6"/>
        <w:spacing w:before="55" w:line="360" w:lineRule="auto"/>
        <w:jc w:val="center"/>
        <w:rPr>
          <w:rFonts w:ascii="宋体" w:hAnsi="宋体" w:eastAsia="宋体"/>
          <w:bCs w:val="0"/>
          <w:sz w:val="21"/>
          <w:szCs w:val="21"/>
        </w:rPr>
      </w:pPr>
      <w:r>
        <w:rPr>
          <w:rFonts w:ascii="宋体" w:hAnsi="宋体" w:eastAsia="宋体"/>
          <w:bCs w:val="0"/>
          <w:sz w:val="21"/>
          <w:szCs w:val="21"/>
        </w:rPr>
        <w:t>(自然人)</w:t>
      </w:r>
    </w:p>
    <w:p>
      <w:pPr>
        <w:pStyle w:val="6"/>
        <w:rPr>
          <w:rFonts w:ascii="宋体" w:hAnsi="宋体" w:eastAsia="宋体" w:cs="宋体"/>
          <w:sz w:val="24"/>
          <w:szCs w:val="24"/>
        </w:rPr>
      </w:pPr>
    </w:p>
    <w:p>
      <w:pPr>
        <w:rPr>
          <w:rFonts w:ascii="宋体" w:hAnsi="宋体" w:cs="宋体"/>
          <w:sz w:val="24"/>
        </w:rPr>
      </w:pPr>
      <w:r>
        <w:rPr>
          <w:rFonts w:hint="eastAsia" w:ascii="宋体" w:hAnsi="宋体" w:cs="宋体"/>
          <w:sz w:val="24"/>
        </w:rPr>
        <w:t xml:space="preserve">本人自愿参加( </w:t>
      </w:r>
      <w:r>
        <w:rPr>
          <w:rFonts w:hint="eastAsia" w:ascii="宋体" w:hAnsi="宋体" w:cs="宋体"/>
          <w:sz w:val="24"/>
          <w:u w:val="single"/>
        </w:rPr>
        <w:t xml:space="preserve"> 项目名称 </w:t>
      </w:r>
      <w:r>
        <w:rPr>
          <w:rFonts w:hint="eastAsia" w:ascii="宋体" w:hAnsi="宋体" w:cs="宋体"/>
          <w:sz w:val="24"/>
        </w:rPr>
        <w:t xml:space="preserve"> )政府采购活动,并郑重承诺:</w:t>
      </w:r>
    </w:p>
    <w:p>
      <w:pPr>
        <w:pStyle w:val="6"/>
        <w:rPr>
          <w:rFonts w:ascii="宋体" w:hAnsi="宋体" w:eastAsia="宋体" w:cs="宋体"/>
          <w:b w:val="0"/>
          <w:sz w:val="24"/>
          <w:szCs w:val="24"/>
        </w:rPr>
      </w:pPr>
    </w:p>
    <w:p>
      <w:pPr>
        <w:pStyle w:val="6"/>
        <w:rPr>
          <w:rFonts w:ascii="宋体" w:hAnsi="宋体" w:eastAsia="宋体" w:cs="宋体"/>
          <w:b w:val="0"/>
          <w:sz w:val="24"/>
          <w:szCs w:val="24"/>
        </w:rPr>
      </w:pPr>
      <w:r>
        <w:rPr>
          <w:rFonts w:hint="eastAsia" w:ascii="宋体" w:hAnsi="宋体" w:eastAsia="宋体" w:cs="宋体"/>
          <w:b w:val="0"/>
          <w:sz w:val="24"/>
          <w:szCs w:val="24"/>
        </w:rPr>
        <w:t>本人符合下列要求:</w:t>
      </w:r>
    </w:p>
    <w:p>
      <w:pPr>
        <w:pStyle w:val="6"/>
        <w:numPr>
          <w:ilvl w:val="0"/>
          <w:numId w:val="9"/>
        </w:numPr>
        <w:rPr>
          <w:rFonts w:ascii="宋体" w:hAnsi="宋体" w:eastAsia="宋体" w:cs="宋体"/>
          <w:b w:val="0"/>
          <w:sz w:val="24"/>
          <w:szCs w:val="24"/>
        </w:rPr>
      </w:pPr>
      <w:r>
        <w:rPr>
          <w:rFonts w:hint="eastAsia" w:ascii="宋体" w:hAnsi="宋体" w:eastAsia="宋体" w:cs="宋体"/>
          <w:b w:val="0"/>
          <w:sz w:val="24"/>
          <w:szCs w:val="24"/>
        </w:rPr>
        <w:t>为完全民事行为能力人,可以独立实施民事法律行为;</w:t>
      </w:r>
    </w:p>
    <w:p>
      <w:pPr>
        <w:pStyle w:val="6"/>
        <w:numPr>
          <w:ilvl w:val="0"/>
          <w:numId w:val="9"/>
        </w:numPr>
        <w:rPr>
          <w:rFonts w:ascii="宋体" w:hAnsi="宋体" w:eastAsia="宋体" w:cs="宋体"/>
          <w:b w:val="0"/>
          <w:sz w:val="24"/>
          <w:szCs w:val="24"/>
        </w:rPr>
      </w:pPr>
      <w:r>
        <w:rPr>
          <w:rFonts w:hint="eastAsia" w:ascii="宋体" w:hAnsi="宋体" w:eastAsia="宋体" w:cs="宋体"/>
          <w:b w:val="0"/>
          <w:sz w:val="24"/>
          <w:szCs w:val="24"/>
        </w:rPr>
        <w:t>具有良好的银行资信证明;</w:t>
      </w:r>
    </w:p>
    <w:p>
      <w:pPr>
        <w:pStyle w:val="6"/>
        <w:numPr>
          <w:ilvl w:val="0"/>
          <w:numId w:val="9"/>
        </w:numPr>
        <w:rPr>
          <w:rFonts w:ascii="宋体" w:hAnsi="宋体" w:eastAsia="宋体" w:cs="宋体"/>
          <w:b w:val="0"/>
          <w:sz w:val="24"/>
          <w:szCs w:val="24"/>
        </w:rPr>
      </w:pPr>
      <w:r>
        <w:rPr>
          <w:rFonts w:hint="eastAsia" w:ascii="宋体" w:hAnsi="宋体" w:eastAsia="宋体" w:cs="宋体"/>
          <w:b w:val="0"/>
          <w:sz w:val="24"/>
          <w:szCs w:val="24"/>
        </w:rPr>
        <w:t>有依法缴纳税收和社会保障资金的良好记录。</w:t>
      </w:r>
    </w:p>
    <w:p>
      <w:pPr>
        <w:pStyle w:val="6"/>
        <w:ind w:firstLine="480" w:firstLineChars="200"/>
        <w:rPr>
          <w:rFonts w:ascii="宋体" w:hAnsi="宋体" w:eastAsia="宋体" w:cs="宋体"/>
          <w:b w:val="0"/>
          <w:sz w:val="24"/>
          <w:szCs w:val="24"/>
        </w:rPr>
      </w:pPr>
      <w:r>
        <w:rPr>
          <w:rFonts w:hint="eastAsia" w:ascii="宋体" w:hAnsi="宋体" w:eastAsia="宋体" w:cs="宋体"/>
          <w:b w:val="0"/>
          <w:sz w:val="24"/>
          <w:szCs w:val="24"/>
        </w:rPr>
        <w:t>如果本人中标(成交),将在评审(评标)环节结束后5个工作日内,按采购文件要求,向采购人提供下列材料原件进行核验:</w:t>
      </w:r>
    </w:p>
    <w:p>
      <w:pPr>
        <w:pStyle w:val="6"/>
        <w:rPr>
          <w:rFonts w:ascii="宋体" w:hAnsi="宋体" w:eastAsia="宋体" w:cs="宋体"/>
          <w:b w:val="0"/>
          <w:sz w:val="24"/>
          <w:szCs w:val="24"/>
        </w:rPr>
      </w:pPr>
      <w:r>
        <w:rPr>
          <w:rFonts w:hint="eastAsia" w:ascii="宋体" w:hAnsi="宋体" w:eastAsia="宋体" w:cs="宋体"/>
          <w:b w:val="0"/>
          <w:sz w:val="24"/>
          <w:szCs w:val="24"/>
        </w:rPr>
        <w:t>(1)身份证;</w:t>
      </w:r>
    </w:p>
    <w:p>
      <w:pPr>
        <w:pStyle w:val="6"/>
        <w:rPr>
          <w:rFonts w:ascii="宋体" w:hAnsi="宋体" w:eastAsia="宋体" w:cs="宋体"/>
          <w:b w:val="0"/>
          <w:sz w:val="24"/>
          <w:szCs w:val="24"/>
        </w:rPr>
      </w:pPr>
      <w:r>
        <w:rPr>
          <w:rFonts w:hint="eastAsia" w:ascii="宋体" w:hAnsi="宋体" w:eastAsia="宋体" w:cs="宋体"/>
          <w:b w:val="0"/>
          <w:sz w:val="24"/>
          <w:szCs w:val="24"/>
        </w:rPr>
        <w:t>(2)参加本次政府采购活动前一年内中国人民银行出具的征信证明;</w:t>
      </w:r>
    </w:p>
    <w:p>
      <w:pPr>
        <w:pStyle w:val="6"/>
        <w:rPr>
          <w:rFonts w:ascii="宋体" w:hAnsi="宋体" w:eastAsia="宋体" w:cs="宋体"/>
          <w:b w:val="0"/>
          <w:sz w:val="24"/>
          <w:szCs w:val="24"/>
        </w:rPr>
      </w:pPr>
      <w:r>
        <w:rPr>
          <w:rFonts w:hint="eastAsia" w:ascii="宋体" w:hAnsi="宋体" w:eastAsia="宋体" w:cs="宋体"/>
          <w:b w:val="0"/>
          <w:sz w:val="24"/>
          <w:szCs w:val="24"/>
        </w:rPr>
        <w:t>(3)参加本次政府采购活动上一年度以来任意一个月缴纳的增值税或营业税或企业所得税的凭据;</w:t>
      </w:r>
    </w:p>
    <w:p>
      <w:pPr>
        <w:pStyle w:val="6"/>
        <w:rPr>
          <w:rFonts w:ascii="宋体" w:hAnsi="宋体" w:eastAsia="宋体" w:cs="宋体"/>
          <w:b w:val="0"/>
          <w:sz w:val="24"/>
          <w:szCs w:val="24"/>
        </w:rPr>
      </w:pPr>
      <w:r>
        <w:rPr>
          <w:rFonts w:hint="eastAsia" w:ascii="宋体" w:hAnsi="宋体" w:eastAsia="宋体" w:cs="宋体"/>
          <w:b w:val="0"/>
          <w:sz w:val="24"/>
          <w:szCs w:val="24"/>
        </w:rPr>
        <w:t>(4)参加本次政府采购活动上一年度以来任意一个月缴纳社会保险的凭据(专用收据或社会保险缴纳清单),如自然人已达到退休年龄的本项资料无需提供;</w:t>
      </w:r>
    </w:p>
    <w:p>
      <w:pPr>
        <w:pStyle w:val="6"/>
        <w:rPr>
          <w:rFonts w:ascii="宋体" w:hAnsi="宋体" w:eastAsia="宋体" w:cs="宋体"/>
          <w:b w:val="0"/>
          <w:sz w:val="24"/>
          <w:szCs w:val="24"/>
        </w:rPr>
      </w:pPr>
      <w:r>
        <w:rPr>
          <w:rFonts w:hint="eastAsia" w:ascii="宋体" w:hAnsi="宋体" w:eastAsia="宋体" w:cs="宋体"/>
          <w:b w:val="0"/>
          <w:sz w:val="24"/>
          <w:szCs w:val="24"/>
        </w:rPr>
        <w:t>(5)其他材料。</w:t>
      </w:r>
    </w:p>
    <w:p>
      <w:pPr>
        <w:pStyle w:val="6"/>
        <w:ind w:firstLine="480" w:firstLineChars="200"/>
        <w:rPr>
          <w:rFonts w:ascii="宋体" w:hAnsi="宋体" w:eastAsia="宋体" w:cs="宋体"/>
          <w:b w:val="0"/>
          <w:sz w:val="24"/>
          <w:szCs w:val="24"/>
        </w:rPr>
      </w:pPr>
      <w:r>
        <w:rPr>
          <w:rFonts w:hint="eastAsia" w:ascii="宋体" w:hAnsi="宋体" w:eastAsia="宋体" w:cs="宋体"/>
          <w:b w:val="0"/>
          <w:sz w:val="24"/>
          <w:szCs w:val="24"/>
        </w:rPr>
        <w:t>本人对上述承诺的真实性、合法性、有效性负责,如有虚假,将依法承担相应责任。</w:t>
      </w:r>
    </w:p>
    <w:p>
      <w:pPr>
        <w:rPr>
          <w:rFonts w:ascii="宋体" w:hAnsi="宋体" w:cs="宋体"/>
          <w:sz w:val="24"/>
        </w:rPr>
      </w:pPr>
    </w:p>
    <w:p>
      <w:pPr>
        <w:pStyle w:val="6"/>
        <w:rPr>
          <w:rFonts w:ascii="宋体" w:hAnsi="宋体" w:eastAsia="宋体" w:cs="宋体"/>
          <w:b w:val="0"/>
          <w:sz w:val="24"/>
          <w:szCs w:val="24"/>
        </w:rPr>
      </w:pPr>
      <w:r>
        <w:rPr>
          <w:rFonts w:hint="eastAsia" w:ascii="宋体" w:hAnsi="宋体" w:eastAsia="宋体" w:cs="宋体"/>
          <w:b w:val="0"/>
          <w:sz w:val="24"/>
          <w:szCs w:val="24"/>
        </w:rPr>
        <w:t>自然人姓名(签章):</w:t>
      </w:r>
    </w:p>
    <w:p>
      <w:pPr>
        <w:pStyle w:val="6"/>
        <w:rPr>
          <w:rFonts w:ascii="宋体" w:hAnsi="宋体" w:eastAsia="宋体" w:cs="宋体"/>
          <w:b w:val="0"/>
          <w:sz w:val="24"/>
          <w:szCs w:val="24"/>
        </w:rPr>
      </w:pPr>
      <w:r>
        <w:rPr>
          <w:rFonts w:hint="eastAsia" w:ascii="宋体" w:hAnsi="宋体" w:eastAsia="宋体" w:cs="宋体"/>
          <w:b w:val="0"/>
          <w:sz w:val="24"/>
          <w:szCs w:val="24"/>
        </w:rPr>
        <w:t>身份证号:</w:t>
      </w:r>
    </w:p>
    <w:p>
      <w:pPr>
        <w:pStyle w:val="6"/>
        <w:rPr>
          <w:rFonts w:ascii="宋体" w:hAnsi="宋体" w:eastAsia="宋体" w:cs="宋体"/>
          <w:b w:val="0"/>
          <w:sz w:val="24"/>
          <w:szCs w:val="24"/>
        </w:rPr>
      </w:pPr>
    </w:p>
    <w:p>
      <w:pPr>
        <w:jc w:val="center"/>
        <w:rPr>
          <w:rFonts w:ascii="宋体" w:hAnsi="宋体" w:cs="宋体"/>
          <w:sz w:val="24"/>
        </w:rPr>
      </w:pPr>
    </w:p>
    <w:p>
      <w:pPr>
        <w:pStyle w:val="6"/>
        <w:jc w:val="center"/>
      </w:pPr>
      <w:r>
        <w:rPr>
          <w:rFonts w:hint="eastAsia" w:ascii="宋体" w:hAnsi="宋体" w:eastAsia="宋体" w:cs="宋体"/>
          <w:b w:val="0"/>
          <w:sz w:val="24"/>
          <w:szCs w:val="24"/>
        </w:rPr>
        <w:t>年  月  日</w:t>
      </w:r>
    </w:p>
    <w:p>
      <w:pPr>
        <w:pStyle w:val="6"/>
        <w:jc w:val="center"/>
      </w:pPr>
    </w:p>
    <w:p>
      <w:pPr>
        <w:pStyle w:val="6"/>
      </w:pPr>
    </w:p>
    <w:sectPr>
      <w:footerReference r:id="rId21" w:type="default"/>
      <w:pgSz w:w="11906" w:h="16838"/>
      <w:pgMar w:top="1440" w:right="1463" w:bottom="1440" w:left="146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方正姚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u w:val="single"/>
      </w:rPr>
    </w:pPr>
    <w:r>
      <w:rPr>
        <w:rFonts w:hint="eastAsia" w:ascii="宋体" w:hAnsi="宋体"/>
        <w:szCs w:val="21"/>
        <w:u w:val="single"/>
      </w:rPr>
      <w:t>山东晟菖宏项目管理有限公司</w:t>
    </w:r>
    <w:r>
      <w:rPr>
        <w:sz w:val="21"/>
        <w:szCs w:val="21"/>
        <w:u w:val="single"/>
      </w:rPr>
      <w:t>sdjwhz@163.com</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27</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15875">
                        <a:noFill/>
                      </a:ln>
                      <a:effectLst/>
                    </wps:spPr>
                    <wps:txbx>
                      <w:txbxContent>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2.05pt;width:9.05pt;mso-position-horizontal:right;mso-position-horizontal-relative:margin;mso-wrap-style:none;z-index:251659264;mso-width-relative:page;mso-height-relative:page;" filled="f" stroked="f" coordsize="21600,21600" o:gfxdata="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K7PZT1AAA&#10;AAMBAAAPAAAAAAAAAAEAIAAAACIAAABkcnMvZG93bnJldi54bWxQSwECFAAUAAAACACHTuJA8Pmt&#10;MukBAADIAwAADgAAAAAAAAABACAAAAAjAQAAZHJzL2Uyb0RvYy54bWxQSwUGAAAAAAYABgBZAQAA&#10;fgUAAAAA&#10;">
              <v:fill on="f" focussize="0,0"/>
              <v:stroke on="f" weight="1.25pt"/>
              <v:imagedata o:title=""/>
              <o:lock v:ext="edit" aspectratio="f"/>
              <v:textbox inset="0mm,0mm,0mm,0mm" style="mso-fit-shape-to-text:t;">
                <w:txbxContent>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79</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14935" cy="153035"/>
              <wp:effectExtent l="0" t="0" r="0" b="0"/>
              <wp:wrapNone/>
              <wp:docPr id="5" name="文本框 3"/>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15875">
                        <a:noFill/>
                      </a:ln>
                      <a:effectLst/>
                    </wps:spPr>
                    <wps:txbx>
                      <w:txbxContent>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2.05pt;width:9.05pt;mso-position-horizontal:right;mso-position-horizontal-relative:margin;mso-wrap-style:none;z-index:251661312;mso-width-relative:page;mso-height-relative:page;" filled="f" stroked="f" coordsize="21600,21600" o:gfxdata="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K7PZT1AAA&#10;AAMBAAAPAAAAAAAAAAEAIAAAACIAAABkcnMvZG93bnJldi54bWxQSwECFAAUAAAACACHTuJAJt4u&#10;EOkBAADIAwAADgAAAAAAAAABACAAAAAjAQAAZHJzL2Uyb0RvYy54bWxQSwUGAAAAAAYABgBZAQAA&#10;fgUAAAAA&#10;">
              <v:fill on="f" focussize="0,0"/>
              <v:stroke on="f" weight="1.25pt"/>
              <v:imagedata o:title=""/>
              <o:lock v:ext="edit" aspectratio="f"/>
              <v:textbox inset="0mm,0mm,0mm,0mm" style="mso-fit-shape-to-text:t;">
                <w:txbxContent>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SL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uZSL7eAgAAJgYAAA4AAAAAAAAAAQAgAAAAHwEAAGRycy9lMm9Eb2MueG1sUEsF&#10;BgAAAAAGAAYAWQEAAG8G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78</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14935" cy="153035"/>
              <wp:effectExtent l="0" t="0" r="0" b="0"/>
              <wp:wrapNone/>
              <wp:docPr id="7" name="文本框 4"/>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15875">
                        <a:noFill/>
                      </a:ln>
                      <a:effectLst/>
                    </wps:spPr>
                    <wps:txbx>
                      <w:txbxContent>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2.05pt;width:9.05pt;mso-position-horizontal:right;mso-position-horizontal-relative:margin;mso-wrap-style:none;z-index:251662336;mso-width-relative:page;mso-height-relative:page;" filled="f" stroked="f" coordsize="21600,21600" o:gfxdata="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uz2U9QA&#10;AAADAQAADwAAAAAAAAABACAAAAAiAAAAZHJzL2Rvd25yZXYueG1sUEsBAhQAFAAAAAgAh07iQD5T&#10;Q33qAQAAyAMAAA4AAAAAAAAAAQAgAAAAIwEAAGRycy9lMm9Eb2MueG1sUEsFBgAAAAAGAAYAWQEA&#10;AH8FAAAAAA==&#10;">
              <v:fill on="f" focussize="0,0"/>
              <v:stroke on="f" weight="1.25pt"/>
              <v:imagedata o:title=""/>
              <o:lock v:ext="edit" aspectratio="f"/>
              <v:textbox inset="0mm,0mm,0mm,0mm" style="mso-fit-shape-to-text:t;">
                <w:txbxContent>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95" w:lineRule="exact"/>
      <w:rPr>
        <w:rFonts w:ascii="仿宋" w:hAnsi="仿宋" w:eastAsia="仿宋" w:cs="仿宋"/>
        <w:sz w:val="57"/>
        <w:szCs w:val="57"/>
      </w:rPr>
    </w:pPr>
    <w:r>
      <w:rPr>
        <w:sz w:val="5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95" w:lineRule="exact"/>
      <w:ind w:firstLine="15015"/>
      <w:rPr>
        <w:rFonts w:ascii="仿宋" w:hAnsi="仿宋" w:eastAsia="仿宋" w:cs="仿宋"/>
        <w:sz w:val="57"/>
        <w:szCs w:val="57"/>
      </w:rPr>
    </w:pPr>
    <w:r>
      <w:rPr>
        <w:sz w:val="5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ascii="仿宋" w:hAnsi="仿宋" w:eastAsia="仿宋" w:cs="仿宋"/>
        <w:spacing w:val="6"/>
        <w:position w:val="-7"/>
        <w:sz w:val="57"/>
        <w:szCs w:val="57"/>
      </w:rPr>
      <w:t>─5─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RHdH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G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ZRHdHeAgAAJgYAAA4AAAAAAAAAAQAgAAAAHwEAAGRycy9lMm9Eb2MueG1sUEsF&#10;BgAAAAAGAAYAWQEAAG8G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89</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rFonts w:ascii="方正姚体" w:eastAsia="方正姚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rFonts w:ascii="方正姚体" w:eastAsia="方正姚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07"/>
      <w:rPr>
        <w:rFonts w:ascii="宋体" w:hAnsi="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rPr>
        <w:rFonts w:ascii="宋体" w:hAnsi="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rPr>
        <w:rFonts w:ascii="宋体" w:hAnsi="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28</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15875">
                        <a:noFill/>
                      </a:ln>
                      <a:effectLst/>
                    </wps:spPr>
                    <wps:txbx>
                      <w:txbxContent>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2.05pt;width:9.05pt;mso-position-horizontal:right;mso-position-horizontal-relative:margin;mso-wrap-style:none;z-index:251660288;mso-width-relative:page;mso-height-relative:page;" filled="f" stroked="f" coordsize="21600,21600" o:gfxdata="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K7PZT1AAA&#10;AAMBAAAPAAAAAAAAAAEAIAAAACIAAABkcnMvZG93bnJldi54bWxQSwECFAAUAAAACACHTuJAVUNn&#10;yOkBAADIAwAADgAAAAAAAAABACAAAAAjAQAAZHJzL2Uyb0RvYy54bWxQSwUGAAAAAAYABgBZAQAA&#10;fgUAAAAA&#10;">
              <v:fill on="f" focussize="0,0"/>
              <v:stroke on="f" weight="1.25pt"/>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left"/>
      <w:rPr>
        <w:rFonts w:ascii="宋体" w:hAnsi="宋体" w:cs="宋体"/>
        <w:color w:val="666666"/>
        <w:sz w:val="19"/>
        <w:szCs w:val="19"/>
        <w:shd w:val="clear" w:color="auto" w:fill="FFFFFF"/>
      </w:rPr>
    </w:pPr>
  </w:p>
  <w:p>
    <w:pPr>
      <w:pStyle w:val="17"/>
      <w:pBdr>
        <w:bottom w:val="single" w:color="auto" w:sz="4" w:space="0"/>
      </w:pBdr>
      <w:jc w:val="left"/>
      <w:rPr>
        <w:rFonts w:hint="eastAsia" w:eastAsia="宋体"/>
        <w:highlight w:val="yellow"/>
        <w:lang w:eastAsia="zh-CN"/>
      </w:rPr>
    </w:pPr>
    <w:r>
      <w:rPr>
        <w:rFonts w:hint="eastAsia" w:ascii="宋体" w:hAnsi="宋体" w:cs="宋体"/>
        <w:color w:val="666666"/>
        <w:sz w:val="19"/>
        <w:szCs w:val="19"/>
        <w:shd w:val="clear" w:color="auto" w:fill="FFFFFF"/>
      </w:rPr>
      <w:t>菏泽鲁西新区2023年幼儿园厨房设备及空调采购项目         项目编号：</w:t>
    </w:r>
    <w:r>
      <w:rPr>
        <w:rFonts w:hint="eastAsia" w:ascii="宋体" w:hAnsi="宋体" w:cs="宋体"/>
        <w:color w:val="666666"/>
        <w:sz w:val="19"/>
        <w:szCs w:val="19"/>
        <w:shd w:val="clear" w:color="auto" w:fill="FFFFFF"/>
        <w:lang w:eastAsia="zh-CN"/>
      </w:rPr>
      <w:t>SDGP371791000202302000127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2"/>
      </w:pBdr>
      <w:tabs>
        <w:tab w:val="left" w:pos="2322"/>
        <w:tab w:val="clear" w:pos="4153"/>
      </w:tabs>
      <w:jc w:val="left"/>
      <w:rPr>
        <w:rFonts w:hint="eastAsia" w:eastAsia="宋体"/>
        <w:highlight w:val="none"/>
        <w:lang w:eastAsia="zh-CN"/>
      </w:rPr>
    </w:pPr>
    <w:r>
      <w:rPr>
        <w:rFonts w:hint="eastAsia"/>
      </w:rPr>
      <w:t>菏泽鲁西新区2023年幼儿园厨房设备及空调采购项目         项目编</w:t>
    </w:r>
    <w:r>
      <w:rPr>
        <w:rFonts w:hint="eastAsia"/>
        <w:highlight w:val="none"/>
      </w:rPr>
      <w:t>号：</w:t>
    </w:r>
    <w:r>
      <w:rPr>
        <w:rFonts w:hint="eastAsia"/>
        <w:highlight w:val="none"/>
        <w:lang w:eastAsia="zh-CN"/>
      </w:rPr>
      <w:t>SDGP371791000202302000127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2"/>
      </w:pBdr>
      <w:tabs>
        <w:tab w:val="left" w:pos="2322"/>
        <w:tab w:val="clear" w:pos="4153"/>
      </w:tabs>
      <w:jc w:val="left"/>
    </w:pPr>
  </w:p>
  <w:p>
    <w:pPr>
      <w:pStyle w:val="17"/>
      <w:pBdr>
        <w:bottom w:val="single" w:color="auto" w:sz="4" w:space="2"/>
      </w:pBdr>
      <w:tabs>
        <w:tab w:val="left" w:pos="2322"/>
        <w:tab w:val="clear" w:pos="4153"/>
      </w:tabs>
      <w:jc w:val="left"/>
      <w:rPr>
        <w:rFonts w:hint="eastAsia" w:eastAsia="宋体"/>
        <w:highlight w:val="yellow"/>
        <w:lang w:eastAsia="zh-CN"/>
      </w:rPr>
    </w:pPr>
    <w:r>
      <w:rPr>
        <w:rFonts w:hint="eastAsia"/>
      </w:rPr>
      <w:t xml:space="preserve"> 菏泽鲁西新区2023年幼儿园厨房设备及空调采购项目           项目编号：</w:t>
    </w:r>
    <w:r>
      <w:rPr>
        <w:rFonts w:hint="eastAsia"/>
        <w:lang w:eastAsia="zh-CN"/>
      </w:rPr>
      <w:t>SDGP371791000202302000127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7B3A2"/>
    <w:multiLevelType w:val="singleLevel"/>
    <w:tmpl w:val="BEC7B3A2"/>
    <w:lvl w:ilvl="0" w:tentative="0">
      <w:start w:val="1"/>
      <w:numFmt w:val="decimal"/>
      <w:lvlText w:val="(%1)"/>
      <w:lvlJc w:val="left"/>
      <w:pPr>
        <w:tabs>
          <w:tab w:val="left" w:pos="312"/>
        </w:tabs>
      </w:pPr>
    </w:lvl>
  </w:abstractNum>
  <w:abstractNum w:abstractNumId="1">
    <w:nsid w:val="F4002D64"/>
    <w:multiLevelType w:val="singleLevel"/>
    <w:tmpl w:val="F4002D64"/>
    <w:lvl w:ilvl="0" w:tentative="0">
      <w:start w:val="1"/>
      <w:numFmt w:val="decimal"/>
      <w:lvlText w:val="%1."/>
      <w:lvlJc w:val="left"/>
      <w:pPr>
        <w:tabs>
          <w:tab w:val="left" w:pos="312"/>
        </w:tabs>
      </w:pPr>
    </w:lvl>
  </w:abstractNum>
  <w:abstractNum w:abstractNumId="2">
    <w:nsid w:val="F91D3DDA"/>
    <w:multiLevelType w:val="singleLevel"/>
    <w:tmpl w:val="F91D3DDA"/>
    <w:lvl w:ilvl="0" w:tentative="0">
      <w:start w:val="4"/>
      <w:numFmt w:val="chineseCounting"/>
      <w:suff w:val="nothing"/>
      <w:lvlText w:val="%1、"/>
      <w:lvlJc w:val="left"/>
      <w:rPr>
        <w:rFonts w:hint="eastAsia"/>
      </w:rPr>
    </w:lvl>
  </w:abstractNum>
  <w:abstractNum w:abstractNumId="3">
    <w:nsid w:val="0C990433"/>
    <w:multiLevelType w:val="singleLevel"/>
    <w:tmpl w:val="0C990433"/>
    <w:lvl w:ilvl="0" w:tentative="0">
      <w:start w:val="7"/>
      <w:numFmt w:val="decimal"/>
      <w:lvlText w:val="%1."/>
      <w:lvlJc w:val="left"/>
      <w:pPr>
        <w:tabs>
          <w:tab w:val="left" w:pos="312"/>
        </w:tabs>
      </w:pPr>
    </w:lvl>
  </w:abstractNum>
  <w:abstractNum w:abstractNumId="4">
    <w:nsid w:val="0E615642"/>
    <w:multiLevelType w:val="singleLevel"/>
    <w:tmpl w:val="0E615642"/>
    <w:lvl w:ilvl="0" w:tentative="0">
      <w:start w:val="1"/>
      <w:numFmt w:val="decimal"/>
      <w:suff w:val="nothing"/>
      <w:lvlText w:val="%1、"/>
      <w:lvlJc w:val="left"/>
    </w:lvl>
  </w:abstractNum>
  <w:abstractNum w:abstractNumId="5">
    <w:nsid w:val="3B4AAC04"/>
    <w:multiLevelType w:val="singleLevel"/>
    <w:tmpl w:val="3B4AAC04"/>
    <w:lvl w:ilvl="0" w:tentative="0">
      <w:start w:val="5"/>
      <w:numFmt w:val="chineseCounting"/>
      <w:suff w:val="nothing"/>
      <w:lvlText w:val="%1、"/>
      <w:lvlJc w:val="left"/>
      <w:rPr>
        <w:rFonts w:hint="eastAsia"/>
      </w:rPr>
    </w:lvl>
  </w:abstractNum>
  <w:abstractNum w:abstractNumId="6">
    <w:nsid w:val="512E9D9C"/>
    <w:multiLevelType w:val="singleLevel"/>
    <w:tmpl w:val="512E9D9C"/>
    <w:lvl w:ilvl="0" w:tentative="0">
      <w:start w:val="1"/>
      <w:numFmt w:val="decimal"/>
      <w:lvlText w:val="%1."/>
      <w:lvlJc w:val="left"/>
      <w:pPr>
        <w:tabs>
          <w:tab w:val="left" w:pos="312"/>
        </w:tabs>
      </w:pPr>
    </w:lvl>
  </w:abstractNum>
  <w:abstractNum w:abstractNumId="7">
    <w:nsid w:val="541A9C3C"/>
    <w:multiLevelType w:val="singleLevel"/>
    <w:tmpl w:val="541A9C3C"/>
    <w:lvl w:ilvl="0" w:tentative="0">
      <w:start w:val="3"/>
      <w:numFmt w:val="chineseCounting"/>
      <w:suff w:val="space"/>
      <w:lvlText w:val="第%1章"/>
      <w:lvlJc w:val="left"/>
      <w:rPr>
        <w:rFonts w:hint="eastAsia" w:cs="Times New Roman"/>
      </w:rPr>
    </w:lvl>
  </w:abstractNum>
  <w:abstractNum w:abstractNumId="8">
    <w:nsid w:val="592E1E90"/>
    <w:multiLevelType w:val="singleLevel"/>
    <w:tmpl w:val="592E1E90"/>
    <w:lvl w:ilvl="0" w:tentative="0">
      <w:start w:val="1"/>
      <w:numFmt w:val="decimal"/>
      <w:suff w:val="nothing"/>
      <w:lvlText w:val="%1、"/>
      <w:lvlJc w:val="left"/>
    </w:lvl>
  </w:abstractNum>
  <w:num w:numId="1">
    <w:abstractNumId w:val="3"/>
  </w:num>
  <w:num w:numId="2">
    <w:abstractNumId w:val="6"/>
  </w:num>
  <w:num w:numId="3">
    <w:abstractNumId w:val="8"/>
  </w:num>
  <w:num w:numId="4">
    <w:abstractNumId w:val="7"/>
  </w:num>
  <w:num w:numId="5">
    <w:abstractNumId w:val="4"/>
  </w:num>
  <w:num w:numId="6">
    <w:abstractNumId w:val="1"/>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jNDI3NWZhZWY4YWEyOWJhNDNlMWEwNDhmYWY2Y2UifQ=="/>
  </w:docVars>
  <w:rsids>
    <w:rsidRoot w:val="005D2850"/>
    <w:rsid w:val="00226B5C"/>
    <w:rsid w:val="00263D3E"/>
    <w:rsid w:val="0028607F"/>
    <w:rsid w:val="005D2850"/>
    <w:rsid w:val="00703FFC"/>
    <w:rsid w:val="00966716"/>
    <w:rsid w:val="00A31261"/>
    <w:rsid w:val="00A94584"/>
    <w:rsid w:val="00AB780D"/>
    <w:rsid w:val="00AD66CA"/>
    <w:rsid w:val="00B648F1"/>
    <w:rsid w:val="00B807FD"/>
    <w:rsid w:val="00C602D1"/>
    <w:rsid w:val="00C74EC8"/>
    <w:rsid w:val="00E119EF"/>
    <w:rsid w:val="011D5BCC"/>
    <w:rsid w:val="012D3F55"/>
    <w:rsid w:val="013C4E87"/>
    <w:rsid w:val="015A7FEB"/>
    <w:rsid w:val="02233AF7"/>
    <w:rsid w:val="02276739"/>
    <w:rsid w:val="02595F89"/>
    <w:rsid w:val="026504C0"/>
    <w:rsid w:val="02A60D8A"/>
    <w:rsid w:val="02B430B3"/>
    <w:rsid w:val="034C3DEB"/>
    <w:rsid w:val="03C41404"/>
    <w:rsid w:val="046D47ED"/>
    <w:rsid w:val="047A733D"/>
    <w:rsid w:val="04B61031"/>
    <w:rsid w:val="04C335CE"/>
    <w:rsid w:val="04C63EC3"/>
    <w:rsid w:val="04D86FDC"/>
    <w:rsid w:val="04EC4450"/>
    <w:rsid w:val="04FF2AFC"/>
    <w:rsid w:val="05055F0D"/>
    <w:rsid w:val="0535146D"/>
    <w:rsid w:val="05737AE6"/>
    <w:rsid w:val="05A103CA"/>
    <w:rsid w:val="05A74133"/>
    <w:rsid w:val="05C223FF"/>
    <w:rsid w:val="05CA273A"/>
    <w:rsid w:val="061816F7"/>
    <w:rsid w:val="061859B5"/>
    <w:rsid w:val="064E5520"/>
    <w:rsid w:val="065C408F"/>
    <w:rsid w:val="067B60CB"/>
    <w:rsid w:val="069074E0"/>
    <w:rsid w:val="069708BF"/>
    <w:rsid w:val="06B62BAB"/>
    <w:rsid w:val="06D97F5D"/>
    <w:rsid w:val="06E13EC9"/>
    <w:rsid w:val="07223E67"/>
    <w:rsid w:val="0730481F"/>
    <w:rsid w:val="07642EF9"/>
    <w:rsid w:val="07985DAA"/>
    <w:rsid w:val="07AF08C5"/>
    <w:rsid w:val="07FE62C9"/>
    <w:rsid w:val="08222402"/>
    <w:rsid w:val="086045A8"/>
    <w:rsid w:val="0863151B"/>
    <w:rsid w:val="08693220"/>
    <w:rsid w:val="08991BD1"/>
    <w:rsid w:val="089F272C"/>
    <w:rsid w:val="08B367F4"/>
    <w:rsid w:val="08EC3CEC"/>
    <w:rsid w:val="08F92669"/>
    <w:rsid w:val="091E6BB4"/>
    <w:rsid w:val="092C3C0B"/>
    <w:rsid w:val="09336CB7"/>
    <w:rsid w:val="0943688F"/>
    <w:rsid w:val="094552B9"/>
    <w:rsid w:val="09465278"/>
    <w:rsid w:val="09636074"/>
    <w:rsid w:val="09817515"/>
    <w:rsid w:val="09857962"/>
    <w:rsid w:val="09974E31"/>
    <w:rsid w:val="099B1A7B"/>
    <w:rsid w:val="09AB7A14"/>
    <w:rsid w:val="09B10FD7"/>
    <w:rsid w:val="09C9130A"/>
    <w:rsid w:val="09D518A5"/>
    <w:rsid w:val="0A2C5136"/>
    <w:rsid w:val="0A7A79CD"/>
    <w:rsid w:val="0AA572D2"/>
    <w:rsid w:val="0AAB6453"/>
    <w:rsid w:val="0AB96BD6"/>
    <w:rsid w:val="0AC35B49"/>
    <w:rsid w:val="0B206AE4"/>
    <w:rsid w:val="0B357316"/>
    <w:rsid w:val="0B5910B1"/>
    <w:rsid w:val="0B9A4329"/>
    <w:rsid w:val="0BC331E4"/>
    <w:rsid w:val="0BE2487B"/>
    <w:rsid w:val="0BEA53E7"/>
    <w:rsid w:val="0C442EED"/>
    <w:rsid w:val="0C6D52B0"/>
    <w:rsid w:val="0C7B3B0E"/>
    <w:rsid w:val="0CE932C3"/>
    <w:rsid w:val="0D066009"/>
    <w:rsid w:val="0D5B7CC8"/>
    <w:rsid w:val="0D837D9E"/>
    <w:rsid w:val="0DB84BC5"/>
    <w:rsid w:val="0E5D2329"/>
    <w:rsid w:val="0E7011DC"/>
    <w:rsid w:val="0E907161"/>
    <w:rsid w:val="0EB11524"/>
    <w:rsid w:val="0EF1537F"/>
    <w:rsid w:val="0EF72625"/>
    <w:rsid w:val="0F007B56"/>
    <w:rsid w:val="0FC24482"/>
    <w:rsid w:val="0FCC71D8"/>
    <w:rsid w:val="0FDB5E25"/>
    <w:rsid w:val="0FE53000"/>
    <w:rsid w:val="102373EE"/>
    <w:rsid w:val="1030372D"/>
    <w:rsid w:val="10624CD0"/>
    <w:rsid w:val="106D2B7E"/>
    <w:rsid w:val="108D1E74"/>
    <w:rsid w:val="10C91923"/>
    <w:rsid w:val="10F40F57"/>
    <w:rsid w:val="1121385A"/>
    <w:rsid w:val="11283485"/>
    <w:rsid w:val="112C6FAE"/>
    <w:rsid w:val="11D54941"/>
    <w:rsid w:val="12412B06"/>
    <w:rsid w:val="12555B81"/>
    <w:rsid w:val="1275168C"/>
    <w:rsid w:val="12F32CC6"/>
    <w:rsid w:val="1306686A"/>
    <w:rsid w:val="13145CA6"/>
    <w:rsid w:val="133533A0"/>
    <w:rsid w:val="13377A99"/>
    <w:rsid w:val="13610304"/>
    <w:rsid w:val="137348BB"/>
    <w:rsid w:val="139B769C"/>
    <w:rsid w:val="13A2767F"/>
    <w:rsid w:val="13AB6189"/>
    <w:rsid w:val="13BC59A0"/>
    <w:rsid w:val="13DB164B"/>
    <w:rsid w:val="13E976AF"/>
    <w:rsid w:val="14351922"/>
    <w:rsid w:val="14490463"/>
    <w:rsid w:val="14C6699B"/>
    <w:rsid w:val="14CD1A8F"/>
    <w:rsid w:val="14DB3192"/>
    <w:rsid w:val="14FC0009"/>
    <w:rsid w:val="15365598"/>
    <w:rsid w:val="156B7761"/>
    <w:rsid w:val="157306F8"/>
    <w:rsid w:val="15DC318E"/>
    <w:rsid w:val="15EA0F69"/>
    <w:rsid w:val="16033C21"/>
    <w:rsid w:val="163303B8"/>
    <w:rsid w:val="16554517"/>
    <w:rsid w:val="166059F8"/>
    <w:rsid w:val="1667678E"/>
    <w:rsid w:val="16771B99"/>
    <w:rsid w:val="168234C8"/>
    <w:rsid w:val="169A29B3"/>
    <w:rsid w:val="16A1413C"/>
    <w:rsid w:val="16A211F1"/>
    <w:rsid w:val="16A55F32"/>
    <w:rsid w:val="16A6065A"/>
    <w:rsid w:val="16A73512"/>
    <w:rsid w:val="16A86C17"/>
    <w:rsid w:val="16CF2F19"/>
    <w:rsid w:val="16FD338E"/>
    <w:rsid w:val="170341C4"/>
    <w:rsid w:val="17622B17"/>
    <w:rsid w:val="1788614F"/>
    <w:rsid w:val="17C8675A"/>
    <w:rsid w:val="17CF5E16"/>
    <w:rsid w:val="181C449B"/>
    <w:rsid w:val="18A312F5"/>
    <w:rsid w:val="18AC0F1E"/>
    <w:rsid w:val="18D06A73"/>
    <w:rsid w:val="18E05640"/>
    <w:rsid w:val="18E27C67"/>
    <w:rsid w:val="18EA6371"/>
    <w:rsid w:val="18FD3E2A"/>
    <w:rsid w:val="18FF7F7D"/>
    <w:rsid w:val="194E40C1"/>
    <w:rsid w:val="19500042"/>
    <w:rsid w:val="19AE6770"/>
    <w:rsid w:val="1A204BC7"/>
    <w:rsid w:val="1A317E95"/>
    <w:rsid w:val="1A575C08"/>
    <w:rsid w:val="1A8223F3"/>
    <w:rsid w:val="1AB1709F"/>
    <w:rsid w:val="1AB300D9"/>
    <w:rsid w:val="1ADA2FC8"/>
    <w:rsid w:val="1AF6100C"/>
    <w:rsid w:val="1B3107AE"/>
    <w:rsid w:val="1B462493"/>
    <w:rsid w:val="1B4D379A"/>
    <w:rsid w:val="1BB728BB"/>
    <w:rsid w:val="1BE347F6"/>
    <w:rsid w:val="1C101E6C"/>
    <w:rsid w:val="1C372BB1"/>
    <w:rsid w:val="1C4526D5"/>
    <w:rsid w:val="1C4F488C"/>
    <w:rsid w:val="1CBF28ED"/>
    <w:rsid w:val="1CBF43A6"/>
    <w:rsid w:val="1CEE59E6"/>
    <w:rsid w:val="1D137212"/>
    <w:rsid w:val="1D1C5AB5"/>
    <w:rsid w:val="1D2A7C50"/>
    <w:rsid w:val="1D413AEC"/>
    <w:rsid w:val="1D4C21B3"/>
    <w:rsid w:val="1D557C3B"/>
    <w:rsid w:val="1D6B7DF1"/>
    <w:rsid w:val="1D6C39DB"/>
    <w:rsid w:val="1DB054EE"/>
    <w:rsid w:val="1DBF6E46"/>
    <w:rsid w:val="1DC615E1"/>
    <w:rsid w:val="1DE147B6"/>
    <w:rsid w:val="1DFE55A8"/>
    <w:rsid w:val="1E054AE0"/>
    <w:rsid w:val="1E1D0EFB"/>
    <w:rsid w:val="1E3E79A2"/>
    <w:rsid w:val="1E78361C"/>
    <w:rsid w:val="1E8961D0"/>
    <w:rsid w:val="1E8A2608"/>
    <w:rsid w:val="1E9821F3"/>
    <w:rsid w:val="1F1C2C3B"/>
    <w:rsid w:val="1F3C699D"/>
    <w:rsid w:val="1F460C2C"/>
    <w:rsid w:val="1F7D234C"/>
    <w:rsid w:val="1F983023"/>
    <w:rsid w:val="1FAE6201"/>
    <w:rsid w:val="1FBF453A"/>
    <w:rsid w:val="1FC57800"/>
    <w:rsid w:val="1FD363E8"/>
    <w:rsid w:val="1FE96729"/>
    <w:rsid w:val="1FEA6D69"/>
    <w:rsid w:val="1FEE6267"/>
    <w:rsid w:val="1FEF4558"/>
    <w:rsid w:val="202E12EE"/>
    <w:rsid w:val="20591A4F"/>
    <w:rsid w:val="206E29A5"/>
    <w:rsid w:val="207C513E"/>
    <w:rsid w:val="20905D03"/>
    <w:rsid w:val="20AA6F98"/>
    <w:rsid w:val="21004CCD"/>
    <w:rsid w:val="214B4D7B"/>
    <w:rsid w:val="21C84FC5"/>
    <w:rsid w:val="222742E1"/>
    <w:rsid w:val="2243099F"/>
    <w:rsid w:val="2243435A"/>
    <w:rsid w:val="22551086"/>
    <w:rsid w:val="228E3F1A"/>
    <w:rsid w:val="229F4ACF"/>
    <w:rsid w:val="22B0679C"/>
    <w:rsid w:val="22C77DEB"/>
    <w:rsid w:val="23002B4F"/>
    <w:rsid w:val="23067DFB"/>
    <w:rsid w:val="23392B82"/>
    <w:rsid w:val="238D7904"/>
    <w:rsid w:val="239B1480"/>
    <w:rsid w:val="23A65D53"/>
    <w:rsid w:val="24375BBA"/>
    <w:rsid w:val="243C3E6D"/>
    <w:rsid w:val="244260D0"/>
    <w:rsid w:val="24660693"/>
    <w:rsid w:val="247E18FB"/>
    <w:rsid w:val="248A64D7"/>
    <w:rsid w:val="24E00080"/>
    <w:rsid w:val="24F868DE"/>
    <w:rsid w:val="25123706"/>
    <w:rsid w:val="251F707D"/>
    <w:rsid w:val="252526D1"/>
    <w:rsid w:val="252E534C"/>
    <w:rsid w:val="253440CF"/>
    <w:rsid w:val="25373363"/>
    <w:rsid w:val="255F26D5"/>
    <w:rsid w:val="2581136B"/>
    <w:rsid w:val="25AF182E"/>
    <w:rsid w:val="25B23DEE"/>
    <w:rsid w:val="25BE5845"/>
    <w:rsid w:val="25C5380D"/>
    <w:rsid w:val="25DD4DEF"/>
    <w:rsid w:val="261F7C52"/>
    <w:rsid w:val="262818AE"/>
    <w:rsid w:val="267C00CE"/>
    <w:rsid w:val="26BD4481"/>
    <w:rsid w:val="26C1738B"/>
    <w:rsid w:val="26CB6D78"/>
    <w:rsid w:val="275A661F"/>
    <w:rsid w:val="27B20AC1"/>
    <w:rsid w:val="27B608B4"/>
    <w:rsid w:val="27B95F63"/>
    <w:rsid w:val="27D36DD5"/>
    <w:rsid w:val="27F70C6A"/>
    <w:rsid w:val="282E49FC"/>
    <w:rsid w:val="28503708"/>
    <w:rsid w:val="285C3AE5"/>
    <w:rsid w:val="2866023E"/>
    <w:rsid w:val="288A0195"/>
    <w:rsid w:val="289A165A"/>
    <w:rsid w:val="28E439E6"/>
    <w:rsid w:val="291F7166"/>
    <w:rsid w:val="29233F55"/>
    <w:rsid w:val="296B7A4B"/>
    <w:rsid w:val="29831633"/>
    <w:rsid w:val="2997086B"/>
    <w:rsid w:val="29D71B3C"/>
    <w:rsid w:val="2A5176C9"/>
    <w:rsid w:val="2A6B15A0"/>
    <w:rsid w:val="2A8A0812"/>
    <w:rsid w:val="2AB65A35"/>
    <w:rsid w:val="2AEC120E"/>
    <w:rsid w:val="2B2B7E81"/>
    <w:rsid w:val="2B313535"/>
    <w:rsid w:val="2BAB10BD"/>
    <w:rsid w:val="2BB249FB"/>
    <w:rsid w:val="2BBB73B8"/>
    <w:rsid w:val="2BD920F4"/>
    <w:rsid w:val="2BDC3332"/>
    <w:rsid w:val="2BEB6099"/>
    <w:rsid w:val="2C255426"/>
    <w:rsid w:val="2C721DBB"/>
    <w:rsid w:val="2C7A6744"/>
    <w:rsid w:val="2CAF3A94"/>
    <w:rsid w:val="2CB812A8"/>
    <w:rsid w:val="2CD402C7"/>
    <w:rsid w:val="2CEE645F"/>
    <w:rsid w:val="2D1274B0"/>
    <w:rsid w:val="2D5A0B81"/>
    <w:rsid w:val="2D66391E"/>
    <w:rsid w:val="2D80392B"/>
    <w:rsid w:val="2D9C28B5"/>
    <w:rsid w:val="2DA643FA"/>
    <w:rsid w:val="2DAB1358"/>
    <w:rsid w:val="2DBA51C4"/>
    <w:rsid w:val="2E1A4ECB"/>
    <w:rsid w:val="2E38688E"/>
    <w:rsid w:val="2E4D60BC"/>
    <w:rsid w:val="2E8E1E84"/>
    <w:rsid w:val="2EA25753"/>
    <w:rsid w:val="2F043BA6"/>
    <w:rsid w:val="2F2466A7"/>
    <w:rsid w:val="2F2D5FA3"/>
    <w:rsid w:val="2F604034"/>
    <w:rsid w:val="2FE37DD1"/>
    <w:rsid w:val="30505ED3"/>
    <w:rsid w:val="30782C0F"/>
    <w:rsid w:val="309941B8"/>
    <w:rsid w:val="30D6181F"/>
    <w:rsid w:val="30F43F95"/>
    <w:rsid w:val="30F80B2B"/>
    <w:rsid w:val="30FA3918"/>
    <w:rsid w:val="31020FBF"/>
    <w:rsid w:val="310C5583"/>
    <w:rsid w:val="312466E3"/>
    <w:rsid w:val="317E15C8"/>
    <w:rsid w:val="319D371A"/>
    <w:rsid w:val="31C954BC"/>
    <w:rsid w:val="31E82444"/>
    <w:rsid w:val="31F820B0"/>
    <w:rsid w:val="3203626E"/>
    <w:rsid w:val="32284461"/>
    <w:rsid w:val="326B169C"/>
    <w:rsid w:val="328D4BA3"/>
    <w:rsid w:val="332153DF"/>
    <w:rsid w:val="336D374E"/>
    <w:rsid w:val="337D3691"/>
    <w:rsid w:val="33A75653"/>
    <w:rsid w:val="33CA2546"/>
    <w:rsid w:val="33CA6BDF"/>
    <w:rsid w:val="33E511B8"/>
    <w:rsid w:val="340C7DA0"/>
    <w:rsid w:val="340D18C0"/>
    <w:rsid w:val="343C6102"/>
    <w:rsid w:val="34526B2F"/>
    <w:rsid w:val="348529AC"/>
    <w:rsid w:val="34B1774B"/>
    <w:rsid w:val="34B95E87"/>
    <w:rsid w:val="34CB11F1"/>
    <w:rsid w:val="34DD3300"/>
    <w:rsid w:val="34EA2C28"/>
    <w:rsid w:val="352249FF"/>
    <w:rsid w:val="353624EB"/>
    <w:rsid w:val="3558426E"/>
    <w:rsid w:val="35601697"/>
    <w:rsid w:val="35880AA1"/>
    <w:rsid w:val="35C93D43"/>
    <w:rsid w:val="35F321E5"/>
    <w:rsid w:val="36123086"/>
    <w:rsid w:val="36166388"/>
    <w:rsid w:val="36354BF0"/>
    <w:rsid w:val="36471E47"/>
    <w:rsid w:val="364B6378"/>
    <w:rsid w:val="365846D9"/>
    <w:rsid w:val="36ED0852"/>
    <w:rsid w:val="3710727E"/>
    <w:rsid w:val="37160A8C"/>
    <w:rsid w:val="374D3961"/>
    <w:rsid w:val="37533AD3"/>
    <w:rsid w:val="37792D60"/>
    <w:rsid w:val="37B12B45"/>
    <w:rsid w:val="37F166F0"/>
    <w:rsid w:val="38103187"/>
    <w:rsid w:val="38532020"/>
    <w:rsid w:val="388A442E"/>
    <w:rsid w:val="38AD2798"/>
    <w:rsid w:val="38DD53FC"/>
    <w:rsid w:val="38E83274"/>
    <w:rsid w:val="391B7A62"/>
    <w:rsid w:val="39596C0D"/>
    <w:rsid w:val="39706B79"/>
    <w:rsid w:val="39747B73"/>
    <w:rsid w:val="398C37EF"/>
    <w:rsid w:val="39AE6F8C"/>
    <w:rsid w:val="39E24939"/>
    <w:rsid w:val="39EC78F8"/>
    <w:rsid w:val="39F507F3"/>
    <w:rsid w:val="3A087367"/>
    <w:rsid w:val="3A37156F"/>
    <w:rsid w:val="3A5B782E"/>
    <w:rsid w:val="3A5F570A"/>
    <w:rsid w:val="3A670BD4"/>
    <w:rsid w:val="3A677D12"/>
    <w:rsid w:val="3A864EF6"/>
    <w:rsid w:val="3A8841E9"/>
    <w:rsid w:val="3A9D05E6"/>
    <w:rsid w:val="3AA2689F"/>
    <w:rsid w:val="3AE309ED"/>
    <w:rsid w:val="3AE34983"/>
    <w:rsid w:val="3B006EBF"/>
    <w:rsid w:val="3B081790"/>
    <w:rsid w:val="3B1D32BB"/>
    <w:rsid w:val="3B5D39ED"/>
    <w:rsid w:val="3B931E31"/>
    <w:rsid w:val="3B965FDE"/>
    <w:rsid w:val="3B9D6407"/>
    <w:rsid w:val="3BF55114"/>
    <w:rsid w:val="3BFB2A1F"/>
    <w:rsid w:val="3C2210C7"/>
    <w:rsid w:val="3C2F6554"/>
    <w:rsid w:val="3C582AC4"/>
    <w:rsid w:val="3C5F1EDF"/>
    <w:rsid w:val="3C8D359E"/>
    <w:rsid w:val="3CAC1B7E"/>
    <w:rsid w:val="3CB72D75"/>
    <w:rsid w:val="3D104720"/>
    <w:rsid w:val="3D2E5517"/>
    <w:rsid w:val="3D625A5D"/>
    <w:rsid w:val="3D9106D5"/>
    <w:rsid w:val="3D9F07D6"/>
    <w:rsid w:val="3DA00D3F"/>
    <w:rsid w:val="3DB27E77"/>
    <w:rsid w:val="3DCB35FD"/>
    <w:rsid w:val="3DD85759"/>
    <w:rsid w:val="3DDE2475"/>
    <w:rsid w:val="3DF92F24"/>
    <w:rsid w:val="3DFC3526"/>
    <w:rsid w:val="3E146A43"/>
    <w:rsid w:val="3E371CE5"/>
    <w:rsid w:val="3E564D58"/>
    <w:rsid w:val="3E5D519B"/>
    <w:rsid w:val="3EA85983"/>
    <w:rsid w:val="3EAB12B5"/>
    <w:rsid w:val="3EDA243A"/>
    <w:rsid w:val="3F8C7299"/>
    <w:rsid w:val="3FC618E8"/>
    <w:rsid w:val="3FD976C2"/>
    <w:rsid w:val="400E2256"/>
    <w:rsid w:val="40195F13"/>
    <w:rsid w:val="403F27A2"/>
    <w:rsid w:val="405908C1"/>
    <w:rsid w:val="406F1C29"/>
    <w:rsid w:val="407F3067"/>
    <w:rsid w:val="40865295"/>
    <w:rsid w:val="40C27CB9"/>
    <w:rsid w:val="40CF714B"/>
    <w:rsid w:val="40F0234E"/>
    <w:rsid w:val="416B47E1"/>
    <w:rsid w:val="41763A3A"/>
    <w:rsid w:val="41947F38"/>
    <w:rsid w:val="41BB3A28"/>
    <w:rsid w:val="420959EE"/>
    <w:rsid w:val="429939D7"/>
    <w:rsid w:val="429B2857"/>
    <w:rsid w:val="429B6B8F"/>
    <w:rsid w:val="42FB6C80"/>
    <w:rsid w:val="43010581"/>
    <w:rsid w:val="43140819"/>
    <w:rsid w:val="438D5105"/>
    <w:rsid w:val="43901BDA"/>
    <w:rsid w:val="439D7E0C"/>
    <w:rsid w:val="43C34E5C"/>
    <w:rsid w:val="43D63C8A"/>
    <w:rsid w:val="43EB05F8"/>
    <w:rsid w:val="43F233F4"/>
    <w:rsid w:val="44122F8F"/>
    <w:rsid w:val="44372C85"/>
    <w:rsid w:val="4464383F"/>
    <w:rsid w:val="44D6352D"/>
    <w:rsid w:val="44E71DBA"/>
    <w:rsid w:val="44F5719F"/>
    <w:rsid w:val="45453C5B"/>
    <w:rsid w:val="45746C2F"/>
    <w:rsid w:val="462F5689"/>
    <w:rsid w:val="4655414D"/>
    <w:rsid w:val="46733116"/>
    <w:rsid w:val="468E2BCE"/>
    <w:rsid w:val="46900891"/>
    <w:rsid w:val="46BC58C1"/>
    <w:rsid w:val="46BD3646"/>
    <w:rsid w:val="470A2442"/>
    <w:rsid w:val="478C73B6"/>
    <w:rsid w:val="47D01E9E"/>
    <w:rsid w:val="482E720D"/>
    <w:rsid w:val="48461EB7"/>
    <w:rsid w:val="484A6172"/>
    <w:rsid w:val="487C6EA8"/>
    <w:rsid w:val="489111FF"/>
    <w:rsid w:val="48C14942"/>
    <w:rsid w:val="48D57DE5"/>
    <w:rsid w:val="49321376"/>
    <w:rsid w:val="49533485"/>
    <w:rsid w:val="4966765F"/>
    <w:rsid w:val="49923735"/>
    <w:rsid w:val="49924A30"/>
    <w:rsid w:val="49C01B48"/>
    <w:rsid w:val="49CE0B82"/>
    <w:rsid w:val="49FB275D"/>
    <w:rsid w:val="4A1B22DE"/>
    <w:rsid w:val="4B296D5E"/>
    <w:rsid w:val="4B2A53EC"/>
    <w:rsid w:val="4B5146DF"/>
    <w:rsid w:val="4BC640BB"/>
    <w:rsid w:val="4BD65A93"/>
    <w:rsid w:val="4BDD344F"/>
    <w:rsid w:val="4BF236C4"/>
    <w:rsid w:val="4C0E5A05"/>
    <w:rsid w:val="4C0E6D95"/>
    <w:rsid w:val="4C1843DC"/>
    <w:rsid w:val="4C2B4569"/>
    <w:rsid w:val="4C7327B1"/>
    <w:rsid w:val="4C7B7DC2"/>
    <w:rsid w:val="4CC96554"/>
    <w:rsid w:val="4CED14FF"/>
    <w:rsid w:val="4CF35B25"/>
    <w:rsid w:val="4D2D2B0A"/>
    <w:rsid w:val="4D337040"/>
    <w:rsid w:val="4D5D520F"/>
    <w:rsid w:val="4DA1374B"/>
    <w:rsid w:val="4DA953CE"/>
    <w:rsid w:val="4DC679A2"/>
    <w:rsid w:val="4E1D3B57"/>
    <w:rsid w:val="4E6E5298"/>
    <w:rsid w:val="4E740324"/>
    <w:rsid w:val="4EAF1A9A"/>
    <w:rsid w:val="4EC34560"/>
    <w:rsid w:val="4EDC6484"/>
    <w:rsid w:val="4EEE08D3"/>
    <w:rsid w:val="4EF545CF"/>
    <w:rsid w:val="4F014A55"/>
    <w:rsid w:val="4F0260D4"/>
    <w:rsid w:val="4F340393"/>
    <w:rsid w:val="4F3C7D53"/>
    <w:rsid w:val="4F404C18"/>
    <w:rsid w:val="4FF9779A"/>
    <w:rsid w:val="500F651E"/>
    <w:rsid w:val="502739B0"/>
    <w:rsid w:val="50336BEE"/>
    <w:rsid w:val="50406A7B"/>
    <w:rsid w:val="50422D1A"/>
    <w:rsid w:val="504D6034"/>
    <w:rsid w:val="505B63A1"/>
    <w:rsid w:val="507A094E"/>
    <w:rsid w:val="50CE3B79"/>
    <w:rsid w:val="50E130F2"/>
    <w:rsid w:val="50FA11C0"/>
    <w:rsid w:val="51101CA1"/>
    <w:rsid w:val="512E560C"/>
    <w:rsid w:val="515568B5"/>
    <w:rsid w:val="516D5CCD"/>
    <w:rsid w:val="51C64F75"/>
    <w:rsid w:val="51CD5E06"/>
    <w:rsid w:val="51CF1DC9"/>
    <w:rsid w:val="51D91A43"/>
    <w:rsid w:val="52423C70"/>
    <w:rsid w:val="52454706"/>
    <w:rsid w:val="52546D50"/>
    <w:rsid w:val="528728BA"/>
    <w:rsid w:val="529E0FFA"/>
    <w:rsid w:val="52DC011C"/>
    <w:rsid w:val="53024ADD"/>
    <w:rsid w:val="530F2B07"/>
    <w:rsid w:val="531A1016"/>
    <w:rsid w:val="535C21E7"/>
    <w:rsid w:val="53B2135A"/>
    <w:rsid w:val="53D3198D"/>
    <w:rsid w:val="53D57CD1"/>
    <w:rsid w:val="540B3F50"/>
    <w:rsid w:val="541C110C"/>
    <w:rsid w:val="545567BA"/>
    <w:rsid w:val="545B6D0C"/>
    <w:rsid w:val="54BB3F42"/>
    <w:rsid w:val="54F15D3A"/>
    <w:rsid w:val="54F62E91"/>
    <w:rsid w:val="550555F7"/>
    <w:rsid w:val="550E2E63"/>
    <w:rsid w:val="55457C70"/>
    <w:rsid w:val="555D0E6D"/>
    <w:rsid w:val="556B7606"/>
    <w:rsid w:val="559A62ED"/>
    <w:rsid w:val="55A4754C"/>
    <w:rsid w:val="55B51C33"/>
    <w:rsid w:val="55DC761E"/>
    <w:rsid w:val="560D0A02"/>
    <w:rsid w:val="56223C11"/>
    <w:rsid w:val="563457CA"/>
    <w:rsid w:val="56406225"/>
    <w:rsid w:val="567C4D28"/>
    <w:rsid w:val="568D4EC1"/>
    <w:rsid w:val="56910438"/>
    <w:rsid w:val="56C90803"/>
    <w:rsid w:val="56D36933"/>
    <w:rsid w:val="56DB5B25"/>
    <w:rsid w:val="56DF66E4"/>
    <w:rsid w:val="57021874"/>
    <w:rsid w:val="571B27F3"/>
    <w:rsid w:val="57780D8D"/>
    <w:rsid w:val="57A12A2A"/>
    <w:rsid w:val="57CB4802"/>
    <w:rsid w:val="57D60F47"/>
    <w:rsid w:val="57ED1C4A"/>
    <w:rsid w:val="58086559"/>
    <w:rsid w:val="58256800"/>
    <w:rsid w:val="582C6D68"/>
    <w:rsid w:val="584F62A1"/>
    <w:rsid w:val="58592E3B"/>
    <w:rsid w:val="585C205F"/>
    <w:rsid w:val="5875154B"/>
    <w:rsid w:val="5895395F"/>
    <w:rsid w:val="58A30553"/>
    <w:rsid w:val="58BE3669"/>
    <w:rsid w:val="58BE632E"/>
    <w:rsid w:val="58C17C7E"/>
    <w:rsid w:val="58D84F7F"/>
    <w:rsid w:val="58E16CF4"/>
    <w:rsid w:val="58E415D7"/>
    <w:rsid w:val="592D18AD"/>
    <w:rsid w:val="592E627A"/>
    <w:rsid w:val="594C4EFF"/>
    <w:rsid w:val="59541E10"/>
    <w:rsid w:val="598838CC"/>
    <w:rsid w:val="59AA1328"/>
    <w:rsid w:val="59BC378B"/>
    <w:rsid w:val="59CB5777"/>
    <w:rsid w:val="5A24333C"/>
    <w:rsid w:val="5A6243F5"/>
    <w:rsid w:val="5AA73BAF"/>
    <w:rsid w:val="5AA85FDE"/>
    <w:rsid w:val="5AC47809"/>
    <w:rsid w:val="5AFD1D07"/>
    <w:rsid w:val="5B070093"/>
    <w:rsid w:val="5B3C2BBE"/>
    <w:rsid w:val="5B437B30"/>
    <w:rsid w:val="5B47108C"/>
    <w:rsid w:val="5B590DC3"/>
    <w:rsid w:val="5B817F88"/>
    <w:rsid w:val="5BA046C9"/>
    <w:rsid w:val="5BB33F90"/>
    <w:rsid w:val="5BBD0310"/>
    <w:rsid w:val="5BBD57F6"/>
    <w:rsid w:val="5BD07EFC"/>
    <w:rsid w:val="5C905A62"/>
    <w:rsid w:val="5CA71A6A"/>
    <w:rsid w:val="5D012454"/>
    <w:rsid w:val="5D083ED5"/>
    <w:rsid w:val="5D0B07E3"/>
    <w:rsid w:val="5D0F520B"/>
    <w:rsid w:val="5D412E03"/>
    <w:rsid w:val="5D54451A"/>
    <w:rsid w:val="5D7C1BE0"/>
    <w:rsid w:val="5D85485E"/>
    <w:rsid w:val="5D8956B7"/>
    <w:rsid w:val="5DFB3ABB"/>
    <w:rsid w:val="5E085265"/>
    <w:rsid w:val="5E421185"/>
    <w:rsid w:val="5E481B35"/>
    <w:rsid w:val="5E5C7CA3"/>
    <w:rsid w:val="5E9C12FB"/>
    <w:rsid w:val="5EB97191"/>
    <w:rsid w:val="5EDE64A1"/>
    <w:rsid w:val="5F0D742A"/>
    <w:rsid w:val="5F224B35"/>
    <w:rsid w:val="5F4B3862"/>
    <w:rsid w:val="5F6441DB"/>
    <w:rsid w:val="5F6E47DE"/>
    <w:rsid w:val="5F903FC1"/>
    <w:rsid w:val="5FBF4710"/>
    <w:rsid w:val="5FFD1B38"/>
    <w:rsid w:val="601F0CA6"/>
    <w:rsid w:val="603C5BEE"/>
    <w:rsid w:val="60446565"/>
    <w:rsid w:val="605B678B"/>
    <w:rsid w:val="609D66F8"/>
    <w:rsid w:val="60DD0661"/>
    <w:rsid w:val="60F27D32"/>
    <w:rsid w:val="60F87C80"/>
    <w:rsid w:val="61073070"/>
    <w:rsid w:val="61270298"/>
    <w:rsid w:val="613071C8"/>
    <w:rsid w:val="615838CB"/>
    <w:rsid w:val="615F4C5A"/>
    <w:rsid w:val="61630BFB"/>
    <w:rsid w:val="619D5782"/>
    <w:rsid w:val="61B36258"/>
    <w:rsid w:val="61D751E7"/>
    <w:rsid w:val="61F857DF"/>
    <w:rsid w:val="62004952"/>
    <w:rsid w:val="622838E8"/>
    <w:rsid w:val="6256151A"/>
    <w:rsid w:val="629044BE"/>
    <w:rsid w:val="630B18FC"/>
    <w:rsid w:val="63316D91"/>
    <w:rsid w:val="633839B4"/>
    <w:rsid w:val="636D5C9C"/>
    <w:rsid w:val="637C050C"/>
    <w:rsid w:val="63885111"/>
    <w:rsid w:val="63AC0E2F"/>
    <w:rsid w:val="63E66AE8"/>
    <w:rsid w:val="640D4DCC"/>
    <w:rsid w:val="64413D8F"/>
    <w:rsid w:val="64432FAD"/>
    <w:rsid w:val="645C74A7"/>
    <w:rsid w:val="645D55DB"/>
    <w:rsid w:val="648837D6"/>
    <w:rsid w:val="649E775A"/>
    <w:rsid w:val="64C96F13"/>
    <w:rsid w:val="64D00B29"/>
    <w:rsid w:val="64FB113D"/>
    <w:rsid w:val="65107FA8"/>
    <w:rsid w:val="651144BD"/>
    <w:rsid w:val="65147B57"/>
    <w:rsid w:val="657D7F17"/>
    <w:rsid w:val="65A66C4C"/>
    <w:rsid w:val="65C808CE"/>
    <w:rsid w:val="65ED3432"/>
    <w:rsid w:val="65FA39B5"/>
    <w:rsid w:val="661F180E"/>
    <w:rsid w:val="66412F47"/>
    <w:rsid w:val="66461E00"/>
    <w:rsid w:val="664E20C1"/>
    <w:rsid w:val="66535F99"/>
    <w:rsid w:val="66C646AA"/>
    <w:rsid w:val="66DD0F32"/>
    <w:rsid w:val="670B3FC0"/>
    <w:rsid w:val="67270267"/>
    <w:rsid w:val="674049C0"/>
    <w:rsid w:val="67944CBD"/>
    <w:rsid w:val="681768C2"/>
    <w:rsid w:val="68233CD7"/>
    <w:rsid w:val="685477B3"/>
    <w:rsid w:val="68DE2B9C"/>
    <w:rsid w:val="68EF0D46"/>
    <w:rsid w:val="68F80538"/>
    <w:rsid w:val="696122DF"/>
    <w:rsid w:val="69704812"/>
    <w:rsid w:val="698E0805"/>
    <w:rsid w:val="69A5312F"/>
    <w:rsid w:val="69AB3619"/>
    <w:rsid w:val="69BB258B"/>
    <w:rsid w:val="6A2462D0"/>
    <w:rsid w:val="6A2E3D63"/>
    <w:rsid w:val="6A3060C2"/>
    <w:rsid w:val="6A916D50"/>
    <w:rsid w:val="6AA6611C"/>
    <w:rsid w:val="6B037C8C"/>
    <w:rsid w:val="6B174372"/>
    <w:rsid w:val="6B515E39"/>
    <w:rsid w:val="6B6E42A2"/>
    <w:rsid w:val="6B800470"/>
    <w:rsid w:val="6B855B0C"/>
    <w:rsid w:val="6C0905E4"/>
    <w:rsid w:val="6C0C6CE4"/>
    <w:rsid w:val="6C114A69"/>
    <w:rsid w:val="6C3A7C3B"/>
    <w:rsid w:val="6C3D13FD"/>
    <w:rsid w:val="6C7043A6"/>
    <w:rsid w:val="6C792A05"/>
    <w:rsid w:val="6C795C4D"/>
    <w:rsid w:val="6C7B6272"/>
    <w:rsid w:val="6C922387"/>
    <w:rsid w:val="6CCD6B86"/>
    <w:rsid w:val="6CDB30D9"/>
    <w:rsid w:val="6CF52D28"/>
    <w:rsid w:val="6D0B6969"/>
    <w:rsid w:val="6D262AD0"/>
    <w:rsid w:val="6D417CF6"/>
    <w:rsid w:val="6D6E0AE1"/>
    <w:rsid w:val="6D916728"/>
    <w:rsid w:val="6DAB77BD"/>
    <w:rsid w:val="6DAD4E7D"/>
    <w:rsid w:val="6E146DCC"/>
    <w:rsid w:val="6E1C5CC8"/>
    <w:rsid w:val="6EB057E5"/>
    <w:rsid w:val="6EB23CD5"/>
    <w:rsid w:val="6EC3634D"/>
    <w:rsid w:val="6F467B86"/>
    <w:rsid w:val="6F616041"/>
    <w:rsid w:val="6F6C4C82"/>
    <w:rsid w:val="6F812F77"/>
    <w:rsid w:val="6FB37090"/>
    <w:rsid w:val="702C48A1"/>
    <w:rsid w:val="70356DD5"/>
    <w:rsid w:val="70390D6C"/>
    <w:rsid w:val="70666005"/>
    <w:rsid w:val="706E1589"/>
    <w:rsid w:val="70C46ABB"/>
    <w:rsid w:val="70CE0429"/>
    <w:rsid w:val="713A3DB7"/>
    <w:rsid w:val="71742700"/>
    <w:rsid w:val="719B1CDE"/>
    <w:rsid w:val="71A91CBA"/>
    <w:rsid w:val="721B1A99"/>
    <w:rsid w:val="723215A4"/>
    <w:rsid w:val="724C34C5"/>
    <w:rsid w:val="72701893"/>
    <w:rsid w:val="72807392"/>
    <w:rsid w:val="72E31F4E"/>
    <w:rsid w:val="72EA3B25"/>
    <w:rsid w:val="72F61742"/>
    <w:rsid w:val="73591E51"/>
    <w:rsid w:val="736D43E5"/>
    <w:rsid w:val="739C44AE"/>
    <w:rsid w:val="73EF3FC1"/>
    <w:rsid w:val="741D6417"/>
    <w:rsid w:val="74A66F25"/>
    <w:rsid w:val="752E22F0"/>
    <w:rsid w:val="753D6EA5"/>
    <w:rsid w:val="75680EF7"/>
    <w:rsid w:val="758D4034"/>
    <w:rsid w:val="76734358"/>
    <w:rsid w:val="76BF5AD3"/>
    <w:rsid w:val="76C100D9"/>
    <w:rsid w:val="76ED3F61"/>
    <w:rsid w:val="7716731F"/>
    <w:rsid w:val="772260BA"/>
    <w:rsid w:val="77242CF2"/>
    <w:rsid w:val="774E5A9B"/>
    <w:rsid w:val="778C46EA"/>
    <w:rsid w:val="77906EFE"/>
    <w:rsid w:val="77C73A04"/>
    <w:rsid w:val="78150D01"/>
    <w:rsid w:val="781C344D"/>
    <w:rsid w:val="781F076F"/>
    <w:rsid w:val="78225814"/>
    <w:rsid w:val="783C3AEF"/>
    <w:rsid w:val="783D625A"/>
    <w:rsid w:val="78C33755"/>
    <w:rsid w:val="79052B6F"/>
    <w:rsid w:val="79196F91"/>
    <w:rsid w:val="792615C6"/>
    <w:rsid w:val="79423180"/>
    <w:rsid w:val="795A3333"/>
    <w:rsid w:val="796D1C0C"/>
    <w:rsid w:val="798476A8"/>
    <w:rsid w:val="79A56888"/>
    <w:rsid w:val="79AA7B20"/>
    <w:rsid w:val="79AC51A6"/>
    <w:rsid w:val="79E55CA0"/>
    <w:rsid w:val="79ED4D5D"/>
    <w:rsid w:val="7A1B7E60"/>
    <w:rsid w:val="7A3A2D4C"/>
    <w:rsid w:val="7A611EF6"/>
    <w:rsid w:val="7A8D4037"/>
    <w:rsid w:val="7AF8170E"/>
    <w:rsid w:val="7B094A04"/>
    <w:rsid w:val="7B2953D3"/>
    <w:rsid w:val="7B876317"/>
    <w:rsid w:val="7BBB2E80"/>
    <w:rsid w:val="7BC66399"/>
    <w:rsid w:val="7BF42DB0"/>
    <w:rsid w:val="7C6A1472"/>
    <w:rsid w:val="7C7E3982"/>
    <w:rsid w:val="7C8B2DFF"/>
    <w:rsid w:val="7CA042C2"/>
    <w:rsid w:val="7CC73ABB"/>
    <w:rsid w:val="7CE30DAB"/>
    <w:rsid w:val="7CEE0417"/>
    <w:rsid w:val="7D6C40BA"/>
    <w:rsid w:val="7D7A10CB"/>
    <w:rsid w:val="7DA46939"/>
    <w:rsid w:val="7DA74A65"/>
    <w:rsid w:val="7DC11CF0"/>
    <w:rsid w:val="7DE304DD"/>
    <w:rsid w:val="7DFA7727"/>
    <w:rsid w:val="7E1075B0"/>
    <w:rsid w:val="7E165D18"/>
    <w:rsid w:val="7E29436B"/>
    <w:rsid w:val="7E5250C8"/>
    <w:rsid w:val="7E926EA7"/>
    <w:rsid w:val="7E997716"/>
    <w:rsid w:val="7EC634F9"/>
    <w:rsid w:val="7F0B130C"/>
    <w:rsid w:val="7F5F4904"/>
    <w:rsid w:val="7FA76D70"/>
    <w:rsid w:val="7FD349F2"/>
    <w:rsid w:val="7FEE1A1E"/>
    <w:rsid w:val="7FF80D6E"/>
    <w:rsid w:val="7FFC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43"/>
    <w:qFormat/>
    <w:uiPriority w:val="99"/>
    <w:pPr>
      <w:keepNext/>
      <w:keepLines/>
      <w:spacing w:line="576" w:lineRule="auto"/>
      <w:jc w:val="center"/>
      <w:outlineLvl w:val="0"/>
    </w:pPr>
    <w:rPr>
      <w:rFonts w:ascii="黑体" w:hAnsi="Times New Roman" w:eastAsia="黑体"/>
      <w:b/>
      <w:bCs/>
      <w:kern w:val="44"/>
      <w:sz w:val="24"/>
      <w:szCs w:val="44"/>
    </w:rPr>
  </w:style>
  <w:style w:type="paragraph" w:styleId="6">
    <w:name w:val="heading 2"/>
    <w:basedOn w:val="1"/>
    <w:next w:val="1"/>
    <w:qFormat/>
    <w:uiPriority w:val="99"/>
    <w:pPr>
      <w:keepNext/>
      <w:keepLines/>
      <w:spacing w:line="416" w:lineRule="auto"/>
      <w:outlineLvl w:val="1"/>
    </w:pPr>
    <w:rPr>
      <w:rFonts w:ascii="Arial" w:hAnsi="Arial" w:eastAsia="黑体"/>
      <w:b/>
      <w:bCs/>
      <w:sz w:val="28"/>
      <w:szCs w:val="32"/>
    </w:rPr>
  </w:style>
  <w:style w:type="paragraph" w:styleId="7">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8"/>
    <w:basedOn w:val="1"/>
    <w:next w:val="1"/>
    <w:qFormat/>
    <w:uiPriority w:val="1"/>
    <w:pPr>
      <w:ind w:left="200" w:firstLine="439"/>
      <w:outlineLvl w:val="7"/>
    </w:pPr>
    <w:rPr>
      <w:b/>
      <w:bCs/>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10">
    <w:name w:val="annotation text"/>
    <w:basedOn w:val="1"/>
    <w:qFormat/>
    <w:uiPriority w:val="0"/>
    <w:pPr>
      <w:jc w:val="left"/>
    </w:pPr>
  </w:style>
  <w:style w:type="paragraph" w:styleId="11">
    <w:name w:val="Body Text 3"/>
    <w:basedOn w:val="1"/>
    <w:qFormat/>
    <w:uiPriority w:val="0"/>
    <w:rPr>
      <w:rFonts w:ascii="宋体"/>
      <w:sz w:val="24"/>
      <w:szCs w:val="20"/>
    </w:rPr>
  </w:style>
  <w:style w:type="paragraph" w:styleId="12">
    <w:name w:val="Body Text"/>
    <w:basedOn w:val="1"/>
    <w:next w:val="1"/>
    <w:qFormat/>
    <w:uiPriority w:val="0"/>
    <w:pPr>
      <w:spacing w:after="120"/>
    </w:pPr>
    <w:rPr>
      <w:sz w:val="24"/>
    </w:rPr>
  </w:style>
  <w:style w:type="paragraph" w:styleId="13">
    <w:name w:val="List 2"/>
    <w:basedOn w:val="1"/>
    <w:unhideWhenUsed/>
    <w:qFormat/>
    <w:uiPriority w:val="99"/>
    <w:pPr>
      <w:ind w:left="100" w:leftChars="200" w:hanging="200" w:hangingChars="200"/>
      <w:contextualSpacing/>
    </w:pPr>
  </w:style>
  <w:style w:type="paragraph" w:styleId="14">
    <w:name w:val="toc 5"/>
    <w:basedOn w:val="1"/>
    <w:next w:val="1"/>
    <w:qFormat/>
    <w:uiPriority w:val="0"/>
    <w:pPr>
      <w:ind w:left="1680" w:leftChars="800"/>
    </w:pPr>
  </w:style>
  <w:style w:type="paragraph" w:styleId="15">
    <w:name w:val="Plain Text"/>
    <w:basedOn w:val="1"/>
    <w:next w:val="14"/>
    <w:qFormat/>
    <w:uiPriority w:val="99"/>
    <w:rPr>
      <w:rFonts w:ascii="宋体" w:hAnsi="Courier New"/>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tabs>
        <w:tab w:val="right" w:leader="dot" w:pos="8296"/>
      </w:tabs>
    </w:pPr>
    <w:rPr>
      <w:rFonts w:ascii="宋体" w:eastAsia="楷体_GB2312" w:cs="TimesNewRomanPSMT"/>
      <w:b/>
      <w:kern w:val="0"/>
      <w:sz w:val="28"/>
      <w:szCs w:val="20"/>
    </w:rPr>
  </w:style>
  <w:style w:type="paragraph" w:styleId="19">
    <w:name w:val="Subtitle"/>
    <w:basedOn w:val="1"/>
    <w:next w:val="1"/>
    <w:qFormat/>
    <w:uiPriority w:val="99"/>
    <w:pPr>
      <w:spacing w:before="240" w:after="60" w:line="312" w:lineRule="auto"/>
      <w:jc w:val="center"/>
      <w:outlineLvl w:val="1"/>
    </w:pPr>
    <w:rPr>
      <w:rFonts w:ascii="Cambria" w:hAnsi="Cambria"/>
      <w:b/>
      <w:kern w:val="28"/>
      <w:szCs w:val="20"/>
    </w:rPr>
  </w:style>
  <w:style w:type="paragraph" w:styleId="20">
    <w:name w:val="Body Text 2"/>
    <w:basedOn w:val="1"/>
    <w:qFormat/>
    <w:uiPriority w:val="99"/>
    <w:pPr>
      <w:spacing w:after="120" w:line="480" w:lineRule="auto"/>
    </w:pPr>
  </w:style>
  <w:style w:type="paragraph" w:styleId="21">
    <w:name w:val="Normal (Web)"/>
    <w:basedOn w:val="1"/>
    <w:qFormat/>
    <w:uiPriority w:val="99"/>
    <w:pPr>
      <w:spacing w:beforeAutospacing="1" w:afterAutospacing="1"/>
      <w:jc w:val="left"/>
    </w:pPr>
    <w:rPr>
      <w:kern w:val="0"/>
      <w:sz w:val="24"/>
    </w:rPr>
  </w:style>
  <w:style w:type="paragraph" w:styleId="22">
    <w:name w:val="Title"/>
    <w:basedOn w:val="1"/>
    <w:next w:val="1"/>
    <w:qFormat/>
    <w:uiPriority w:val="0"/>
    <w:pPr>
      <w:spacing w:before="240" w:after="60"/>
      <w:jc w:val="left"/>
      <w:outlineLvl w:val="0"/>
    </w:pPr>
    <w:rPr>
      <w:rFonts w:ascii="Arial" w:hAnsi="Arial"/>
      <w:sz w:val="28"/>
    </w:rPr>
  </w:style>
  <w:style w:type="paragraph" w:styleId="23">
    <w:name w:val="annotation subject"/>
    <w:basedOn w:val="10"/>
    <w:next w:val="10"/>
    <w:semiHidden/>
    <w:qFormat/>
    <w:uiPriority w:val="0"/>
    <w:rPr>
      <w:b/>
      <w:bCs/>
    </w:rPr>
  </w:style>
  <w:style w:type="paragraph" w:styleId="24">
    <w:name w:val="Body Text First Indent"/>
    <w:basedOn w:val="12"/>
    <w:next w:val="1"/>
    <w:qFormat/>
    <w:uiPriority w:val="0"/>
    <w:pPr>
      <w:spacing w:line="312" w:lineRule="auto"/>
      <w:ind w:firstLine="42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FollowedHyperlink"/>
    <w:basedOn w:val="27"/>
    <w:qFormat/>
    <w:uiPriority w:val="0"/>
    <w:rPr>
      <w:color w:val="800080"/>
      <w:u w:val="none"/>
    </w:rPr>
  </w:style>
  <w:style w:type="character" w:styleId="31">
    <w:name w:val="Emphasis"/>
    <w:basedOn w:val="27"/>
    <w:qFormat/>
    <w:uiPriority w:val="0"/>
    <w:rPr>
      <w:b/>
      <w:bCs/>
    </w:rPr>
  </w:style>
  <w:style w:type="character" w:styleId="32">
    <w:name w:val="HTML Definition"/>
    <w:basedOn w:val="27"/>
    <w:qFormat/>
    <w:uiPriority w:val="0"/>
  </w:style>
  <w:style w:type="character" w:styleId="33">
    <w:name w:val="HTML Typewriter"/>
    <w:basedOn w:val="27"/>
    <w:qFormat/>
    <w:uiPriority w:val="0"/>
    <w:rPr>
      <w:rFonts w:hint="default" w:ascii="monospace" w:hAnsi="monospace" w:eastAsia="monospace" w:cs="monospace"/>
      <w:sz w:val="20"/>
    </w:rPr>
  </w:style>
  <w:style w:type="character" w:styleId="34">
    <w:name w:val="HTML Acronym"/>
    <w:basedOn w:val="27"/>
    <w:qFormat/>
    <w:uiPriority w:val="0"/>
  </w:style>
  <w:style w:type="character" w:styleId="35">
    <w:name w:val="HTML Variable"/>
    <w:basedOn w:val="27"/>
    <w:qFormat/>
    <w:uiPriority w:val="0"/>
  </w:style>
  <w:style w:type="character" w:styleId="36">
    <w:name w:val="Hyperlink"/>
    <w:basedOn w:val="27"/>
    <w:qFormat/>
    <w:uiPriority w:val="99"/>
    <w:rPr>
      <w:rFonts w:cs="Times New Roman"/>
      <w:color w:val="0000FF"/>
      <w:u w:val="single"/>
    </w:rPr>
  </w:style>
  <w:style w:type="character" w:styleId="37">
    <w:name w:val="HTML Code"/>
    <w:basedOn w:val="27"/>
    <w:qFormat/>
    <w:uiPriority w:val="0"/>
    <w:rPr>
      <w:rFonts w:hint="default" w:ascii="monospace" w:hAnsi="monospace" w:eastAsia="monospace" w:cs="monospace"/>
      <w:sz w:val="20"/>
    </w:rPr>
  </w:style>
  <w:style w:type="character" w:styleId="38">
    <w:name w:val="HTML Cite"/>
    <w:basedOn w:val="27"/>
    <w:qFormat/>
    <w:uiPriority w:val="0"/>
  </w:style>
  <w:style w:type="character" w:styleId="39">
    <w:name w:val="HTML Keyboard"/>
    <w:basedOn w:val="27"/>
    <w:qFormat/>
    <w:uiPriority w:val="0"/>
    <w:rPr>
      <w:rFonts w:hint="default" w:ascii="monospace" w:hAnsi="monospace" w:eastAsia="monospace" w:cs="monospace"/>
      <w:sz w:val="20"/>
    </w:rPr>
  </w:style>
  <w:style w:type="character" w:styleId="40">
    <w:name w:val="HTML Sample"/>
    <w:basedOn w:val="27"/>
    <w:qFormat/>
    <w:uiPriority w:val="0"/>
    <w:rPr>
      <w:rFonts w:ascii="monospace" w:hAnsi="monospace" w:eastAsia="monospace" w:cs="monospace"/>
    </w:rPr>
  </w:style>
  <w:style w:type="paragraph" w:customStyle="1" w:styleId="41">
    <w:name w:val="目录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2">
    <w:name w:val="BodyText"/>
    <w:basedOn w:val="1"/>
    <w:qFormat/>
    <w:uiPriority w:val="0"/>
    <w:pPr>
      <w:spacing w:after="120"/>
    </w:pPr>
    <w:rPr>
      <w:rFonts w:ascii="Times New Roman" w:hAnsi="Times New Roman"/>
    </w:rPr>
  </w:style>
  <w:style w:type="character" w:customStyle="1" w:styleId="43">
    <w:name w:val="标题 1 Char"/>
    <w:link w:val="5"/>
    <w:qFormat/>
    <w:uiPriority w:val="99"/>
    <w:rPr>
      <w:rFonts w:ascii="黑体" w:eastAsia="黑体"/>
      <w:b/>
      <w:bCs/>
      <w:kern w:val="44"/>
      <w:sz w:val="24"/>
      <w:szCs w:val="44"/>
    </w:rPr>
  </w:style>
  <w:style w:type="paragraph" w:customStyle="1" w:styleId="44">
    <w:name w:val="首行缩进"/>
    <w:basedOn w:val="45"/>
    <w:next w:val="1"/>
    <w:qFormat/>
    <w:uiPriority w:val="99"/>
    <w:pPr>
      <w:spacing w:line="360" w:lineRule="auto"/>
      <w:ind w:firstLine="480" w:firstLineChars="200"/>
    </w:pPr>
    <w:rPr>
      <w:rFonts w:ascii="宋体" w:hAnsi="宋体" w:cs="宋体"/>
    </w:rPr>
  </w:style>
  <w:style w:type="paragraph" w:customStyle="1" w:styleId="45">
    <w:name w:val="正文11"/>
    <w:next w:val="46"/>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6">
    <w:name w:val="标题 111"/>
    <w:basedOn w:val="45"/>
    <w:next w:val="45"/>
    <w:qFormat/>
    <w:uiPriority w:val="0"/>
    <w:pPr>
      <w:keepNext/>
      <w:keepLines/>
      <w:spacing w:line="578" w:lineRule="auto"/>
      <w:jc w:val="center"/>
      <w:outlineLvl w:val="0"/>
    </w:pPr>
    <w:rPr>
      <w:rFonts w:eastAsia="新宋体"/>
      <w:b/>
      <w:bCs/>
      <w:sz w:val="30"/>
      <w:szCs w:val="44"/>
    </w:rPr>
  </w:style>
  <w:style w:type="paragraph" w:customStyle="1" w:styleId="47">
    <w:name w:val="样式 样式 左侧:  2 字符 + 左侧:  0.85 厘米 首行缩进:  2 字符1"/>
    <w:basedOn w:val="1"/>
    <w:qFormat/>
    <w:uiPriority w:val="0"/>
    <w:pPr>
      <w:ind w:left="482" w:firstLine="200" w:firstLineChars="200"/>
    </w:pPr>
    <w:rPr>
      <w:rFonts w:cs="宋体"/>
      <w:szCs w:val="20"/>
    </w:rPr>
  </w:style>
  <w:style w:type="paragraph" w:customStyle="1" w:styleId="48">
    <w:name w:val="正文啊"/>
    <w:basedOn w:val="1"/>
    <w:qFormat/>
    <w:uiPriority w:val="0"/>
    <w:pPr>
      <w:ind w:firstLine="200" w:firstLineChars="200"/>
    </w:pPr>
    <w:rPr>
      <w:sz w:val="28"/>
      <w:szCs w:val="28"/>
    </w:rPr>
  </w:style>
  <w:style w:type="paragraph" w:customStyle="1" w:styleId="49">
    <w:name w:val="Table Paragraph"/>
    <w:basedOn w:val="1"/>
    <w:qFormat/>
    <w:uiPriority w:val="1"/>
    <w:rPr>
      <w:rFonts w:ascii="宋体" w:hAnsi="宋体" w:cs="宋体"/>
      <w:lang w:val="zh-CN" w:bidi="zh-CN"/>
    </w:rPr>
  </w:style>
  <w:style w:type="paragraph" w:customStyle="1" w:styleId="50">
    <w:name w:val="正文格式"/>
    <w:basedOn w:val="1"/>
    <w:qFormat/>
    <w:uiPriority w:val="0"/>
    <w:pPr>
      <w:widowControl/>
      <w:adjustRightInd w:val="0"/>
      <w:snapToGrid w:val="0"/>
      <w:spacing w:line="400" w:lineRule="atLeast"/>
      <w:ind w:firstLine="482"/>
      <w:textAlignment w:val="baseline"/>
    </w:pPr>
    <w:rPr>
      <w:rFonts w:ascii="Times New Roman" w:hAnsi="Times New Roman"/>
      <w:kern w:val="0"/>
      <w:sz w:val="24"/>
    </w:rPr>
  </w:style>
  <w:style w:type="paragraph" w:styleId="51">
    <w:name w:val="List Paragraph"/>
    <w:basedOn w:val="1"/>
    <w:qFormat/>
    <w:uiPriority w:val="1"/>
    <w:pPr>
      <w:ind w:left="1260" w:hanging="529"/>
    </w:pPr>
    <w:rPr>
      <w:rFonts w:ascii="宋体" w:hAnsi="宋体" w:cs="宋体"/>
      <w:lang w:val="zh-CN" w:bidi="zh-CN"/>
    </w:rPr>
  </w:style>
  <w:style w:type="paragraph" w:customStyle="1" w:styleId="52">
    <w:name w:val="列出段落1"/>
    <w:basedOn w:val="1"/>
    <w:qFormat/>
    <w:uiPriority w:val="0"/>
    <w:pPr>
      <w:ind w:firstLine="420" w:firstLineChars="200"/>
    </w:pPr>
    <w:rPr>
      <w:rFonts w:ascii="Times New Roman" w:hAnsi="Times New Roman"/>
    </w:rPr>
  </w:style>
  <w:style w:type="paragraph" w:customStyle="1" w:styleId="53">
    <w:name w:val="样式 首行缩进:  2 字符"/>
    <w:basedOn w:val="1"/>
    <w:qFormat/>
    <w:uiPriority w:val="0"/>
    <w:pPr>
      <w:spacing w:line="360" w:lineRule="auto"/>
      <w:ind w:firstLine="480" w:firstLineChars="200"/>
      <w:jc w:val="left"/>
    </w:pPr>
    <w:rPr>
      <w:rFonts w:ascii="宋体" w:hAnsi="宋体"/>
      <w:color w:val="000000"/>
      <w:sz w:val="24"/>
      <w:szCs w:val="20"/>
    </w:rPr>
  </w:style>
  <w:style w:type="table" w:customStyle="1" w:styleId="54">
    <w:name w:val="Table Normal"/>
    <w:unhideWhenUsed/>
    <w:qFormat/>
    <w:uiPriority w:val="0"/>
    <w:tblPr>
      <w:tblCellMar>
        <w:top w:w="0" w:type="dxa"/>
        <w:left w:w="0" w:type="dxa"/>
        <w:bottom w:w="0" w:type="dxa"/>
        <w:right w:w="0" w:type="dxa"/>
      </w:tblCellMar>
    </w:tblPr>
  </w:style>
  <w:style w:type="character" w:customStyle="1" w:styleId="55">
    <w:name w:val="mini-tree-nodetext3"/>
    <w:basedOn w:val="27"/>
    <w:qFormat/>
    <w:uiPriority w:val="0"/>
  </w:style>
  <w:style w:type="paragraph" w:customStyle="1" w:styleId="56">
    <w:name w:val="表格文字"/>
    <w:basedOn w:val="1"/>
    <w:next w:val="12"/>
    <w:qFormat/>
    <w:uiPriority w:val="0"/>
    <w:pPr>
      <w:adjustRightInd w:val="0"/>
      <w:spacing w:line="420" w:lineRule="atLeast"/>
      <w:jc w:val="left"/>
      <w:textAlignment w:val="baseline"/>
    </w:pPr>
    <w:rPr>
      <w:rFonts w:ascii="Times New Roman" w:hAnsi="Times New Roman"/>
      <w:kern w:val="0"/>
      <w:szCs w:val="20"/>
    </w:rPr>
  </w:style>
  <w:style w:type="paragraph" w:customStyle="1" w:styleId="57">
    <w:name w:val="正文首行缩进（安全）"/>
    <w:basedOn w:val="1"/>
    <w:next w:val="1"/>
    <w:qFormat/>
    <w:locked/>
    <w:uiPriority w:val="0"/>
    <w:pPr>
      <w:widowControl/>
      <w:spacing w:line="360" w:lineRule="auto"/>
      <w:ind w:firstLine="480" w:firstLineChars="200"/>
      <w:jc w:val="left"/>
    </w:pPr>
    <w:rPr>
      <w:rFonts w:ascii="Arial" w:hAnsi="Arial"/>
      <w:kern w:val="0"/>
      <w:sz w:val="24"/>
      <w:szCs w:val="21"/>
    </w:rPr>
  </w:style>
  <w:style w:type="character" w:customStyle="1" w:styleId="58">
    <w:name w:val="font11"/>
    <w:basedOn w:val="27"/>
    <w:qFormat/>
    <w:uiPriority w:val="0"/>
    <w:rPr>
      <w:rFonts w:hint="eastAsia" w:ascii="宋体" w:hAnsi="宋体" w:eastAsia="宋体" w:cs="宋体"/>
      <w:b/>
      <w:bCs/>
      <w:color w:val="000000"/>
      <w:sz w:val="24"/>
      <w:szCs w:val="24"/>
      <w:u w:val="none"/>
    </w:rPr>
  </w:style>
  <w:style w:type="character" w:customStyle="1" w:styleId="59">
    <w:name w:val="font41"/>
    <w:basedOn w:val="27"/>
    <w:qFormat/>
    <w:uiPriority w:val="0"/>
    <w:rPr>
      <w:rFonts w:ascii="Calibri" w:hAnsi="Calibri" w:cs="Calibri"/>
      <w:color w:val="000000"/>
      <w:sz w:val="24"/>
      <w:szCs w:val="24"/>
      <w:u w:val="none"/>
    </w:rPr>
  </w:style>
  <w:style w:type="character" w:customStyle="1" w:styleId="60">
    <w:name w:val="font31"/>
    <w:basedOn w:val="27"/>
    <w:qFormat/>
    <w:uiPriority w:val="0"/>
    <w:rPr>
      <w:rFonts w:hint="eastAsia" w:ascii="宋体" w:hAnsi="宋体" w:eastAsia="宋体" w:cs="宋体"/>
      <w:color w:val="333333"/>
      <w:sz w:val="22"/>
      <w:szCs w:val="22"/>
      <w:u w:val="none"/>
    </w:rPr>
  </w:style>
  <w:style w:type="character" w:customStyle="1" w:styleId="61">
    <w:name w:val="font51"/>
    <w:basedOn w:val="27"/>
    <w:qFormat/>
    <w:uiPriority w:val="0"/>
    <w:rPr>
      <w:rFonts w:hint="default" w:ascii="Tahoma" w:hAnsi="Tahoma" w:eastAsia="Tahoma" w:cs="Tahoma"/>
      <w:color w:val="000000"/>
      <w:sz w:val="22"/>
      <w:szCs w:val="22"/>
      <w:u w:val="none"/>
    </w:rPr>
  </w:style>
  <w:style w:type="character" w:customStyle="1" w:styleId="62">
    <w:name w:val="font61"/>
    <w:basedOn w:val="27"/>
    <w:uiPriority w:val="0"/>
    <w:rPr>
      <w:rFonts w:hint="eastAsia" w:ascii="宋体" w:hAnsi="宋体" w:eastAsia="宋体" w:cs="宋体"/>
      <w:color w:val="000000"/>
      <w:sz w:val="22"/>
      <w:szCs w:val="22"/>
      <w:u w:val="none"/>
    </w:rPr>
  </w:style>
  <w:style w:type="character" w:customStyle="1" w:styleId="63">
    <w:name w:val="font01"/>
    <w:basedOn w:val="27"/>
    <w:qFormat/>
    <w:uiPriority w:val="0"/>
    <w:rPr>
      <w:rFonts w:hint="eastAsia" w:ascii="宋体" w:hAnsi="宋体" w:eastAsia="宋体" w:cs="宋体"/>
      <w:color w:val="000000"/>
      <w:sz w:val="22"/>
      <w:szCs w:val="22"/>
      <w:u w:val="none"/>
    </w:rPr>
  </w:style>
  <w:style w:type="character" w:customStyle="1" w:styleId="64">
    <w:name w:val="font21"/>
    <w:basedOn w:val="27"/>
    <w:qFormat/>
    <w:uiPriority w:val="0"/>
    <w:rPr>
      <w:rFonts w:hint="eastAsia" w:ascii="宋体" w:hAnsi="宋体" w:eastAsia="宋体" w:cs="宋体"/>
      <w:color w:val="333333"/>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7867</Words>
  <Characters>44842</Characters>
  <Lines>373</Lines>
  <Paragraphs>105</Paragraphs>
  <TotalTime>10</TotalTime>
  <ScaleCrop>false</ScaleCrop>
  <LinksUpToDate>false</LinksUpToDate>
  <CharactersWithSpaces>52604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岩</cp:lastModifiedBy>
  <cp:lastPrinted>2023-09-21T02:46:00Z</cp:lastPrinted>
  <dcterms:modified xsi:type="dcterms:W3CDTF">2023-10-12T07:28:12Z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B80C147200FC4DB0AC6F27E6B769BDE4_13</vt:lpwstr>
  </property>
</Properties>
</file>