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bidi w:val="0"/>
        <w:spacing w:line="360" w:lineRule="auto"/>
        <w:jc w:val="center"/>
        <w:rPr>
          <w:rFonts w:hint="eastAsia" w:ascii="宋体" w:hAnsi="宋体" w:eastAsia="宋体" w:cs="Arial"/>
          <w:sz w:val="32"/>
          <w:szCs w:val="20"/>
          <w:lang w:eastAsia="zh-CN"/>
        </w:rPr>
      </w:pPr>
      <w:r>
        <w:rPr>
          <w:rFonts w:hint="eastAsia" w:ascii="宋体" w:hAnsi="宋体" w:cs="Arial"/>
          <w:sz w:val="32"/>
          <w:szCs w:val="20"/>
          <w:lang w:eastAsia="zh-CN"/>
        </w:rPr>
        <w:t>山东思极科技有限公司2023年第一批工程类招标采购</w:t>
      </w:r>
    </w:p>
    <w:p>
      <w:pPr>
        <w:keepNext w:val="0"/>
        <w:keepLines w:val="0"/>
        <w:pageBreakBefore w:val="0"/>
        <w:kinsoku/>
        <w:wordWrap/>
        <w:overflowPunct/>
        <w:bidi w:val="0"/>
        <w:spacing w:line="360" w:lineRule="auto"/>
        <w:jc w:val="center"/>
        <w:rPr>
          <w:rFonts w:hint="eastAsia" w:ascii="宋体" w:hAnsi="宋体" w:eastAsia="宋体" w:cs="Arial"/>
          <w:sz w:val="32"/>
          <w:szCs w:val="20"/>
        </w:rPr>
      </w:pPr>
      <w:r>
        <w:rPr>
          <w:rFonts w:hint="eastAsia" w:ascii="宋体" w:hAnsi="宋体" w:eastAsia="宋体" w:cs="Arial"/>
          <w:sz w:val="32"/>
          <w:szCs w:val="20"/>
        </w:rPr>
        <w:t>招标公告</w:t>
      </w:r>
    </w:p>
    <w:p>
      <w:pPr>
        <w:keepNext w:val="0"/>
        <w:keepLines w:val="0"/>
        <w:pageBreakBefore w:val="0"/>
        <w:kinsoku/>
        <w:wordWrap/>
        <w:overflowPunct/>
        <w:bidi w:val="0"/>
        <w:spacing w:line="360" w:lineRule="auto"/>
        <w:jc w:val="center"/>
        <w:rPr>
          <w:rFonts w:hint="default" w:cs="Arial" w:asciiTheme="minorEastAsia" w:hAnsiTheme="minorEastAsia" w:eastAsiaTheme="minorEastAsia"/>
          <w:sz w:val="32"/>
          <w:lang w:val="en-US" w:eastAsia="zh-CN"/>
        </w:rPr>
      </w:pPr>
      <w:r>
        <w:rPr>
          <w:rFonts w:cs="Arial" w:asciiTheme="minorEastAsia" w:hAnsiTheme="minorEastAsia" w:eastAsiaTheme="minorEastAsia"/>
          <w:sz w:val="32"/>
        </w:rPr>
        <w:t>招标编号：</w:t>
      </w:r>
      <w:r>
        <w:rPr>
          <w:rFonts w:hint="eastAsia" w:cs="Arial" w:asciiTheme="minorEastAsia" w:hAnsiTheme="minorEastAsia" w:eastAsiaTheme="minorEastAsia"/>
          <w:sz w:val="32"/>
          <w:lang w:val="en-US" w:eastAsia="zh-CN"/>
        </w:rPr>
        <w:tab/>
      </w:r>
      <w:r>
        <w:rPr>
          <w:rFonts w:hint="eastAsia" w:cs="Arial" w:asciiTheme="minorEastAsia" w:hAnsiTheme="minorEastAsia" w:eastAsiaTheme="minorEastAsia"/>
          <w:sz w:val="32"/>
          <w:lang w:val="en-US" w:eastAsia="zh-CN"/>
        </w:rPr>
        <w:t>SDSJ23-GC-ZB001</w:t>
      </w:r>
    </w:p>
    <w:p>
      <w:pPr>
        <w:pStyle w:val="21"/>
        <w:keepNext w:val="0"/>
        <w:keepLines w:val="0"/>
        <w:pageBreakBefore w:val="0"/>
        <w:kinsoku/>
        <w:wordWrap/>
        <w:overflowPunct/>
        <w:bidi w:val="0"/>
        <w:snapToGrid w:val="0"/>
        <w:spacing w:line="360" w:lineRule="auto"/>
        <w:ind w:firstLine="400"/>
      </w:pPr>
      <w:r>
        <w:rPr>
          <w:rFonts w:hint="eastAsia" w:ascii="宋体" w:hAnsi="宋体" w:eastAsia="宋体" w:cs="宋体"/>
          <w:color w:val="0000FF"/>
          <w:sz w:val="20"/>
          <w:szCs w:val="20"/>
          <w:highlight w:val="yellow"/>
          <w:lang w:eastAsia="zh-CN"/>
        </w:rPr>
        <w:t>山东思极科技有限公司2023年第一批工程类招标采购</w:t>
      </w:r>
      <w:r>
        <w:rPr>
          <w:rFonts w:hint="eastAsia" w:ascii="宋体" w:hAnsi="宋体" w:eastAsia="宋体" w:cs="宋体"/>
          <w:color w:val="0000FF"/>
          <w:sz w:val="20"/>
          <w:szCs w:val="20"/>
          <w:highlight w:val="yellow"/>
        </w:rPr>
        <w:t>招标文件，请各投标人根据当地病毒防控工作总体要求，有效落实各项防控措施，采远程办公等先进手段防止人员积聚，遏制疫情蔓延势头。本次招标采购将采用</w:t>
      </w:r>
      <w:r>
        <w:rPr>
          <w:rFonts w:hint="eastAsia" w:ascii="宋体" w:hAnsi="宋体" w:eastAsia="宋体" w:cs="宋体"/>
          <w:color w:val="0000FF"/>
          <w:sz w:val="20"/>
          <w:szCs w:val="20"/>
          <w:highlight w:val="yellow"/>
          <w:lang w:val="en-US" w:eastAsia="zh-CN"/>
        </w:rPr>
        <w:t>电子</w:t>
      </w:r>
      <w:r>
        <w:rPr>
          <w:rFonts w:hint="eastAsia" w:ascii="宋体" w:hAnsi="宋体" w:eastAsia="宋体" w:cs="宋体"/>
          <w:color w:val="0000FF"/>
          <w:sz w:val="20"/>
          <w:szCs w:val="20"/>
          <w:highlight w:val="yellow"/>
        </w:rPr>
        <w:t>投标、线上报价等方式，投标人无需至现场提交招标文件以及参与公示开标记录，详细内容见招标文件各章节。</w:t>
      </w:r>
    </w:p>
    <w:p>
      <w:pPr>
        <w:keepNext w:val="0"/>
        <w:keepLines w:val="0"/>
        <w:pageBreakBefore w:val="0"/>
        <w:kinsoku/>
        <w:wordWrap/>
        <w:overflowPunct/>
        <w:bidi w:val="0"/>
        <w:spacing w:line="360" w:lineRule="auto"/>
        <w:ind w:firstLine="420" w:firstLineChars="200"/>
        <w:rPr>
          <w:rFonts w:hint="eastAsia" w:ascii="宋体" w:hAnsi="宋体" w:cs="宋体"/>
          <w:sz w:val="21"/>
          <w:szCs w:val="21"/>
          <w:lang w:val="en-US" w:eastAsia="zh-CN"/>
        </w:rPr>
      </w:pPr>
    </w:p>
    <w:p>
      <w:pPr>
        <w:keepNext w:val="0"/>
        <w:keepLines w:val="0"/>
        <w:pageBreakBefore w:val="0"/>
        <w:kinsoku/>
        <w:wordWrap/>
        <w:overflowPunct/>
        <w:autoSpaceDE/>
        <w:autoSpaceDN/>
        <w:bidi w:val="0"/>
        <w:spacing w:line="360" w:lineRule="auto"/>
        <w:ind w:right="0" w:rightChars="0" w:firstLine="424" w:firstLineChars="202"/>
        <w:textAlignment w:val="auto"/>
        <w:outlineLvl w:val="1"/>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1．招标条件</w:t>
      </w:r>
    </w:p>
    <w:p>
      <w:pPr>
        <w:pStyle w:val="21"/>
        <w:keepNext w:val="0"/>
        <w:keepLines w:val="0"/>
        <w:pageBreakBefore w:val="0"/>
        <w:kinsoku/>
        <w:wordWrap/>
        <w:overflowPunct/>
        <w:autoSpaceDE/>
        <w:autoSpaceDN/>
        <w:bidi w:val="0"/>
        <w:spacing w:line="360" w:lineRule="auto"/>
        <w:ind w:right="0" w:rightChars="0"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山东思极科技有限公司2023年第一批工程类招标采购</w:t>
      </w:r>
      <w:r>
        <w:rPr>
          <w:rFonts w:hint="eastAsia" w:asciiTheme="minorEastAsia" w:hAnsiTheme="minorEastAsia" w:eastAsiaTheme="minorEastAsia" w:cstheme="minorEastAsia"/>
          <w:sz w:val="21"/>
          <w:szCs w:val="21"/>
        </w:rPr>
        <w:t>，建设资金</w:t>
      </w:r>
      <w:r>
        <w:rPr>
          <w:rFonts w:hint="eastAsia" w:asciiTheme="minorEastAsia" w:hAnsiTheme="minorEastAsia" w:eastAsiaTheme="minorEastAsia" w:cstheme="minorEastAsia"/>
          <w:sz w:val="21"/>
          <w:szCs w:val="21"/>
          <w:lang w:eastAsia="zh-CN"/>
        </w:rPr>
        <w:t>已落实</w:t>
      </w:r>
      <w:r>
        <w:rPr>
          <w:rFonts w:hint="eastAsia" w:asciiTheme="minorEastAsia" w:hAnsiTheme="minorEastAsia" w:eastAsiaTheme="minorEastAsia" w:cstheme="minorEastAsia"/>
          <w:sz w:val="21"/>
          <w:szCs w:val="21"/>
        </w:rPr>
        <w:t>，项目已具备招标条件</w:t>
      </w:r>
      <w:r>
        <w:rPr>
          <w:rFonts w:hint="eastAsia" w:asciiTheme="minorEastAsia" w:hAnsiTheme="minorEastAsia" w:eastAsiaTheme="minorEastAsia" w:cstheme="minorEastAsia"/>
          <w:sz w:val="21"/>
          <w:szCs w:val="21"/>
          <w:lang w:eastAsia="zh-CN"/>
        </w:rPr>
        <w:t>。山东思极科技有限公司</w:t>
      </w:r>
      <w:r>
        <w:rPr>
          <w:rFonts w:hint="eastAsia" w:asciiTheme="minorEastAsia" w:hAnsiTheme="minorEastAsia" w:eastAsiaTheme="minorEastAsia" w:cstheme="minorEastAsia"/>
          <w:sz w:val="21"/>
          <w:szCs w:val="21"/>
        </w:rPr>
        <w:t>（以下简称“招标人”）委托</w:t>
      </w:r>
      <w:r>
        <w:rPr>
          <w:rFonts w:hint="eastAsia" w:asciiTheme="minorEastAsia" w:hAnsiTheme="minorEastAsia" w:eastAsiaTheme="minorEastAsia" w:cstheme="minorEastAsia"/>
          <w:sz w:val="21"/>
          <w:szCs w:val="21"/>
          <w:lang w:eastAsia="zh-CN"/>
        </w:rPr>
        <w:t>法正项目管理集团有限公司</w:t>
      </w:r>
      <w:r>
        <w:rPr>
          <w:rFonts w:hint="eastAsia" w:asciiTheme="minorEastAsia" w:hAnsiTheme="minorEastAsia" w:eastAsiaTheme="minorEastAsia" w:cstheme="minorEastAsia"/>
          <w:sz w:val="21"/>
          <w:szCs w:val="21"/>
        </w:rPr>
        <w:t>（以下简称“招标代理机构”），采用公开招标方式邀请有</w:t>
      </w:r>
      <w:r>
        <w:rPr>
          <w:rFonts w:hint="eastAsia" w:asciiTheme="minorEastAsia" w:hAnsiTheme="minorEastAsia" w:eastAsiaTheme="minorEastAsia" w:cstheme="minorEastAsia"/>
          <w:sz w:val="21"/>
          <w:szCs w:val="21"/>
          <w:lang w:eastAsia="zh-CN"/>
        </w:rPr>
        <w:t>意向</w:t>
      </w:r>
      <w:r>
        <w:rPr>
          <w:rFonts w:hint="eastAsia" w:asciiTheme="minorEastAsia" w:hAnsiTheme="minorEastAsia" w:eastAsiaTheme="minorEastAsia" w:cstheme="minorEastAsia"/>
          <w:sz w:val="21"/>
          <w:szCs w:val="21"/>
        </w:rPr>
        <w:t>的潜在投标人提交密封的有竞争性的投标文件。</w:t>
      </w:r>
    </w:p>
    <w:p>
      <w:pPr>
        <w:pStyle w:val="21"/>
        <w:keepNext w:val="0"/>
        <w:keepLines w:val="0"/>
        <w:pageBreakBefore w:val="0"/>
        <w:kinsoku/>
        <w:wordWrap/>
        <w:overflowPunct/>
        <w:autoSpaceDE/>
        <w:autoSpaceDN/>
        <w:bidi w:val="0"/>
        <w:spacing w:line="360" w:lineRule="auto"/>
        <w:ind w:right="0" w:rightChars="0"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框架协议招标采购是指通过公开招标，集中确定相应分包招标项目的中标人及其中标项目的服务内容，双方据此签订框架协议。在框架协议有效期内，项目单位根据实际生产需求，与中标人签订具体合同，要求中标人按照规定时间提供相应服务，并据此向中标人分批或分期结算价款。</w:t>
      </w:r>
    </w:p>
    <w:p>
      <w:pPr>
        <w:keepNext w:val="0"/>
        <w:keepLines w:val="0"/>
        <w:pageBreakBefore w:val="0"/>
        <w:kinsoku/>
        <w:wordWrap/>
        <w:overflowPunct/>
        <w:autoSpaceDE/>
        <w:autoSpaceDN/>
        <w:bidi w:val="0"/>
        <w:spacing w:line="360" w:lineRule="auto"/>
        <w:ind w:right="0" w:rightChars="0" w:firstLine="424" w:firstLineChars="202"/>
        <w:textAlignment w:val="auto"/>
        <w:outlineLvl w:val="1"/>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2．招标范围</w:t>
      </w:r>
    </w:p>
    <w:p>
      <w:pPr>
        <w:pStyle w:val="21"/>
        <w:keepNext w:val="0"/>
        <w:keepLines w:val="0"/>
        <w:pageBreakBefore w:val="0"/>
        <w:kinsoku/>
        <w:wordWrap/>
        <w:overflowPunct/>
        <w:autoSpaceDE/>
        <w:autoSpaceDN/>
        <w:bidi w:val="0"/>
        <w:spacing w:line="360" w:lineRule="auto"/>
        <w:ind w:right="0" w:rightChars="0"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分标编号及项目名称见下表，具体内容详见招标需求一览表（附</w:t>
      </w:r>
      <w:r>
        <w:rPr>
          <w:rFonts w:hint="eastAsia" w:asciiTheme="minorEastAsia" w:hAnsiTheme="minorEastAsia" w:eastAsiaTheme="minorEastAsia" w:cstheme="minorEastAsia"/>
          <w:sz w:val="21"/>
          <w:szCs w:val="21"/>
          <w:lang w:eastAsia="zh-CN"/>
        </w:rPr>
        <w:t>表</w:t>
      </w:r>
      <w:r>
        <w:rPr>
          <w:rFonts w:hint="eastAsia" w:asciiTheme="minorEastAsia" w:hAnsiTheme="minorEastAsia" w:eastAsiaTheme="minorEastAsia" w:cstheme="minorEastAsia"/>
          <w:sz w:val="21"/>
          <w:szCs w:val="21"/>
          <w:lang w:val="en-US" w:eastAsia="zh-CN"/>
        </w:rPr>
        <w:t>1</w:t>
      </w:r>
      <w:r>
        <w:rPr>
          <w:rFonts w:hint="eastAsia" w:asciiTheme="minorEastAsia" w:hAnsiTheme="minorEastAsia" w:eastAsiaTheme="minorEastAsia" w:cstheme="minorEastAsia"/>
          <w:sz w:val="21"/>
          <w:szCs w:val="21"/>
        </w:rPr>
        <w:t>）。</w:t>
      </w:r>
    </w:p>
    <w:tbl>
      <w:tblPr>
        <w:tblStyle w:val="11"/>
        <w:tblW w:w="9286" w:type="dxa"/>
        <w:jc w:val="center"/>
        <w:tblBorders>
          <w:top w:val="double" w:color="auto" w:sz="4" w:space="0"/>
          <w:left w:val="none" w:color="auto" w:sz="0" w:space="0"/>
          <w:bottom w:val="doub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4264"/>
        <w:gridCol w:w="3329"/>
        <w:gridCol w:w="1693"/>
      </w:tblGrid>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264" w:type="dxa"/>
            <w:vAlign w:val="center"/>
          </w:tcPr>
          <w:p>
            <w:pPr>
              <w:keepNext w:val="0"/>
              <w:keepLines w:val="0"/>
              <w:pageBreakBefore w:val="0"/>
              <w:kinsoku/>
              <w:wordWrap/>
              <w:overflowPunct/>
              <w:autoSpaceDE/>
              <w:autoSpaceDN/>
              <w:bidi w:val="0"/>
              <w:spacing w:line="360" w:lineRule="auto"/>
              <w:ind w:right="0" w:rightChars="0"/>
              <w:jc w:val="center"/>
              <w:textAlignment w:val="auto"/>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分标编号</w:t>
            </w:r>
          </w:p>
        </w:tc>
        <w:tc>
          <w:tcPr>
            <w:tcW w:w="3329" w:type="dxa"/>
            <w:vAlign w:val="center"/>
          </w:tcPr>
          <w:p>
            <w:pPr>
              <w:keepNext w:val="0"/>
              <w:keepLines w:val="0"/>
              <w:pageBreakBefore w:val="0"/>
              <w:kinsoku/>
              <w:wordWrap/>
              <w:overflowPunct/>
              <w:autoSpaceDE/>
              <w:autoSpaceDN/>
              <w:bidi w:val="0"/>
              <w:spacing w:line="360" w:lineRule="auto"/>
              <w:ind w:right="0" w:rightChars="0"/>
              <w:jc w:val="center"/>
              <w:textAlignment w:val="auto"/>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服务项目名称(分标名称)</w:t>
            </w:r>
          </w:p>
        </w:tc>
        <w:tc>
          <w:tcPr>
            <w:tcW w:w="1693" w:type="dxa"/>
            <w:vAlign w:val="center"/>
          </w:tcPr>
          <w:p>
            <w:pPr>
              <w:keepNext w:val="0"/>
              <w:keepLines w:val="0"/>
              <w:pageBreakBefore w:val="0"/>
              <w:kinsoku/>
              <w:wordWrap/>
              <w:overflowPunct/>
              <w:autoSpaceDE/>
              <w:autoSpaceDN/>
              <w:bidi w:val="0"/>
              <w:spacing w:line="360" w:lineRule="auto"/>
              <w:ind w:right="0" w:rightChars="0"/>
              <w:jc w:val="center"/>
              <w:textAlignment w:val="auto"/>
              <w:rPr>
                <w:rFonts w:hint="eastAsia" w:asciiTheme="minorEastAsia" w:hAnsiTheme="minorEastAsia" w:eastAsiaTheme="minorEastAsia" w:cstheme="minorEastAsia"/>
                <w:b/>
                <w:sz w:val="21"/>
                <w:szCs w:val="21"/>
                <w:lang w:eastAsia="zh-CN"/>
              </w:rPr>
            </w:pPr>
            <w:r>
              <w:rPr>
                <w:rFonts w:hint="eastAsia" w:asciiTheme="minorEastAsia" w:hAnsiTheme="minorEastAsia" w:eastAsiaTheme="minorEastAsia" w:cstheme="minorEastAsia"/>
                <w:b/>
                <w:sz w:val="21"/>
                <w:szCs w:val="21"/>
                <w:lang w:eastAsia="zh-CN"/>
              </w:rPr>
              <w:t>分包数量</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4264" w:type="dxa"/>
            <w:vAlign w:val="center"/>
          </w:tcPr>
          <w:p>
            <w:pPr>
              <w:keepNext w:val="0"/>
              <w:keepLines w:val="0"/>
              <w:pageBreakBefore w:val="0"/>
              <w:widowControl/>
              <w:kinsoku/>
              <w:wordWrap/>
              <w:overflowPunct/>
              <w:autoSpaceDE/>
              <w:autoSpaceDN/>
              <w:bidi w:val="0"/>
              <w:spacing w:line="360" w:lineRule="auto"/>
              <w:ind w:right="0" w:rightChars="0"/>
              <w:jc w:val="center"/>
              <w:textAlignment w:val="auto"/>
              <w:rPr>
                <w:rFonts w:hint="default"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SDSJ23-GC-ZB001</w:t>
            </w:r>
            <w:r>
              <w:rPr>
                <w:rFonts w:hint="default" w:asciiTheme="minorEastAsia" w:hAnsiTheme="minorEastAsia" w:eastAsiaTheme="minorEastAsia" w:cstheme="minorEastAsia"/>
                <w:kern w:val="0"/>
                <w:sz w:val="21"/>
                <w:szCs w:val="21"/>
                <w:lang w:val="en-US" w:eastAsia="zh-CN"/>
              </w:rPr>
              <w:t>-ZH</w:t>
            </w:r>
          </w:p>
        </w:tc>
        <w:tc>
          <w:tcPr>
            <w:tcW w:w="3329" w:type="dxa"/>
            <w:vAlign w:val="center"/>
          </w:tcPr>
          <w:p>
            <w:pPr>
              <w:keepNext w:val="0"/>
              <w:keepLines w:val="0"/>
              <w:pageBreakBefore w:val="0"/>
              <w:widowControl/>
              <w:kinsoku/>
              <w:wordWrap/>
              <w:overflowPunct/>
              <w:autoSpaceDE/>
              <w:autoSpaceDN/>
              <w:bidi w:val="0"/>
              <w:spacing w:line="360" w:lineRule="auto"/>
              <w:ind w:right="0" w:rightChars="0"/>
              <w:jc w:val="center"/>
              <w:textAlignment w:val="auto"/>
              <w:rPr>
                <w:rFonts w:hint="default"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综合施工</w:t>
            </w:r>
          </w:p>
        </w:tc>
        <w:tc>
          <w:tcPr>
            <w:tcW w:w="1693" w:type="dxa"/>
            <w:vAlign w:val="center"/>
          </w:tcPr>
          <w:p>
            <w:pPr>
              <w:keepNext w:val="0"/>
              <w:keepLines w:val="0"/>
              <w:pageBreakBefore w:val="0"/>
              <w:widowControl/>
              <w:kinsoku/>
              <w:wordWrap/>
              <w:overflowPunct/>
              <w:autoSpaceDE/>
              <w:autoSpaceDN/>
              <w:bidi w:val="0"/>
              <w:spacing w:line="360" w:lineRule="auto"/>
              <w:ind w:right="0" w:rightChars="0"/>
              <w:jc w:val="center"/>
              <w:textAlignment w:val="auto"/>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1</w:t>
            </w:r>
          </w:p>
        </w:tc>
      </w:tr>
    </w:tbl>
    <w:p>
      <w:pPr>
        <w:keepNext w:val="0"/>
        <w:keepLines w:val="0"/>
        <w:pageBreakBefore w:val="0"/>
        <w:kinsoku/>
        <w:wordWrap/>
        <w:overflowPunct/>
        <w:autoSpaceDE/>
        <w:autoSpaceDN/>
        <w:bidi w:val="0"/>
        <w:spacing w:line="360" w:lineRule="auto"/>
        <w:ind w:right="0" w:rightChars="0" w:firstLine="424" w:firstLineChars="202"/>
        <w:textAlignment w:val="auto"/>
        <w:outlineLvl w:val="1"/>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3．投标人资格要求</w:t>
      </w:r>
    </w:p>
    <w:p>
      <w:pPr>
        <w:keepNext w:val="0"/>
        <w:keepLines w:val="0"/>
        <w:pageBreakBefore w:val="0"/>
        <w:kinsoku/>
        <w:wordWrap/>
        <w:overflowPunct/>
        <w:autoSpaceDE/>
        <w:autoSpaceDN/>
        <w:bidi w:val="0"/>
        <w:spacing w:line="360" w:lineRule="auto"/>
        <w:ind w:right="0" w:rightChars="0" w:firstLine="411" w:firstLineChars="196"/>
        <w:textAlignment w:val="auto"/>
        <w:outlineLvl w:val="1"/>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本次招标要求投标人须为中华人民共和国境内依法注册的企业法人，须具备完成和保障如期交付承担招标项目的能力。</w:t>
      </w:r>
    </w:p>
    <w:p>
      <w:pPr>
        <w:keepNext w:val="0"/>
        <w:keepLines w:val="0"/>
        <w:pageBreakBefore w:val="0"/>
        <w:kinsoku/>
        <w:wordWrap/>
        <w:overflowPunct/>
        <w:autoSpaceDE/>
        <w:autoSpaceDN/>
        <w:bidi w:val="0"/>
        <w:spacing w:line="360" w:lineRule="auto"/>
        <w:ind w:right="0" w:rightChars="0" w:firstLine="411" w:firstLineChars="196"/>
        <w:textAlignment w:val="auto"/>
        <w:outlineLvl w:val="1"/>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3.1投标人及其投标的服务须满足如下通用资格要求：</w:t>
      </w:r>
    </w:p>
    <w:p>
      <w:pPr>
        <w:keepNext w:val="0"/>
        <w:keepLines w:val="0"/>
        <w:pageBreakBefore w:val="0"/>
        <w:kinsoku/>
        <w:wordWrap/>
        <w:overflowPunct/>
        <w:autoSpaceDE/>
        <w:autoSpaceDN/>
        <w:bidi w:val="0"/>
        <w:spacing w:line="360" w:lineRule="auto"/>
        <w:ind w:right="0" w:rightChars="0" w:firstLine="435"/>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rPr>
        <w:t>（1）信誉要求：投标人应有良好的商业信誉。根据最高人民法院、国家发改委等9部门联合印发的《关于在招标投标活动中对失信被执行人实施联合惩戒的通知》的规定，投标单位（包括不具备</w:t>
      </w:r>
      <w:r>
        <w:rPr>
          <w:rFonts w:hint="eastAsia" w:asciiTheme="minorEastAsia" w:hAnsiTheme="minorEastAsia" w:eastAsiaTheme="minorEastAsia" w:cstheme="minorEastAsia"/>
          <w:sz w:val="21"/>
          <w:szCs w:val="21"/>
          <w:highlight w:val="none"/>
        </w:rPr>
        <w:t>法人资格的分公司）不得被人民法院列为失信被执行人。</w:t>
      </w:r>
    </w:p>
    <w:p>
      <w:pPr>
        <w:keepNext w:val="0"/>
        <w:keepLines w:val="0"/>
        <w:pageBreakBefore w:val="0"/>
        <w:kinsoku/>
        <w:wordWrap/>
        <w:overflowPunct/>
        <w:autoSpaceDE/>
        <w:autoSpaceDN/>
        <w:bidi w:val="0"/>
        <w:spacing w:line="360" w:lineRule="auto"/>
        <w:ind w:right="0" w:rightChars="0" w:firstLine="435"/>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val="en-US" w:eastAsia="zh-CN"/>
        </w:rPr>
        <w:t>2</w:t>
      </w:r>
      <w:r>
        <w:rPr>
          <w:rFonts w:hint="eastAsia" w:asciiTheme="minorEastAsia" w:hAnsiTheme="minorEastAsia" w:eastAsiaTheme="minorEastAsia" w:cstheme="minorEastAsia"/>
          <w:sz w:val="21"/>
          <w:szCs w:val="21"/>
        </w:rPr>
        <w:t>）投标人不得存在下列情形之一：</w:t>
      </w:r>
    </w:p>
    <w:p>
      <w:pPr>
        <w:keepNext w:val="0"/>
        <w:keepLines w:val="0"/>
        <w:pageBreakBefore w:val="0"/>
        <w:numPr>
          <w:ilvl w:val="3"/>
          <w:numId w:val="1"/>
        </w:numPr>
        <w:tabs>
          <w:tab w:val="left" w:pos="1276"/>
        </w:tabs>
        <w:kinsoku/>
        <w:wordWrap/>
        <w:overflowPunct/>
        <w:topLinePunct w:val="0"/>
        <w:autoSpaceDE/>
        <w:autoSpaceDN/>
        <w:bidi w:val="0"/>
        <w:spacing w:line="360" w:lineRule="auto"/>
        <w:ind w:left="1276" w:right="0" w:rightChars="0" w:hanging="567"/>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为招标人不具备独立法人资格的附属机构（单位）；</w:t>
      </w:r>
    </w:p>
    <w:p>
      <w:pPr>
        <w:keepNext w:val="0"/>
        <w:keepLines w:val="0"/>
        <w:pageBreakBefore w:val="0"/>
        <w:numPr>
          <w:ilvl w:val="3"/>
          <w:numId w:val="1"/>
        </w:numPr>
        <w:tabs>
          <w:tab w:val="left" w:pos="1276"/>
        </w:tabs>
        <w:kinsoku/>
        <w:wordWrap/>
        <w:overflowPunct/>
        <w:topLinePunct w:val="0"/>
        <w:autoSpaceDE/>
        <w:autoSpaceDN/>
        <w:bidi w:val="0"/>
        <w:spacing w:line="360" w:lineRule="auto"/>
        <w:ind w:left="1276" w:right="0" w:rightChars="0" w:hanging="567"/>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被责令停业的；</w:t>
      </w:r>
    </w:p>
    <w:p>
      <w:pPr>
        <w:keepNext w:val="0"/>
        <w:keepLines w:val="0"/>
        <w:pageBreakBefore w:val="0"/>
        <w:numPr>
          <w:ilvl w:val="3"/>
          <w:numId w:val="1"/>
        </w:numPr>
        <w:tabs>
          <w:tab w:val="left" w:pos="1276"/>
        </w:tabs>
        <w:kinsoku/>
        <w:wordWrap/>
        <w:overflowPunct/>
        <w:topLinePunct w:val="0"/>
        <w:autoSpaceDE/>
        <w:autoSpaceDN/>
        <w:bidi w:val="0"/>
        <w:spacing w:line="360" w:lineRule="auto"/>
        <w:ind w:left="1276" w:right="0" w:rightChars="0" w:hanging="567"/>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被暂停或取消投标资格的；</w:t>
      </w:r>
    </w:p>
    <w:p>
      <w:pPr>
        <w:keepNext w:val="0"/>
        <w:keepLines w:val="0"/>
        <w:pageBreakBefore w:val="0"/>
        <w:numPr>
          <w:ilvl w:val="3"/>
          <w:numId w:val="1"/>
        </w:numPr>
        <w:tabs>
          <w:tab w:val="left" w:pos="1276"/>
        </w:tabs>
        <w:kinsoku/>
        <w:wordWrap/>
        <w:overflowPunct/>
        <w:topLinePunct w:val="0"/>
        <w:autoSpaceDE/>
        <w:autoSpaceDN/>
        <w:bidi w:val="0"/>
        <w:spacing w:line="360" w:lineRule="auto"/>
        <w:ind w:left="1276" w:right="0" w:rightChars="0" w:hanging="567"/>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财产被接管或冻结的；</w:t>
      </w:r>
    </w:p>
    <w:p>
      <w:pPr>
        <w:keepNext w:val="0"/>
        <w:keepLines w:val="0"/>
        <w:pageBreakBefore w:val="0"/>
        <w:numPr>
          <w:ilvl w:val="3"/>
          <w:numId w:val="1"/>
        </w:numPr>
        <w:tabs>
          <w:tab w:val="left" w:pos="1276"/>
        </w:tabs>
        <w:kinsoku/>
        <w:wordWrap/>
        <w:overflowPunct/>
        <w:topLinePunct w:val="0"/>
        <w:autoSpaceDE/>
        <w:autoSpaceDN/>
        <w:bidi w:val="0"/>
        <w:spacing w:line="360" w:lineRule="auto"/>
        <w:ind w:left="1276" w:right="0" w:rightChars="0" w:hanging="567"/>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在最近三年内有骗取中标或严重违约或质量问题责任追溯措施未全面落实的；</w:t>
      </w:r>
    </w:p>
    <w:p>
      <w:pPr>
        <w:keepNext w:val="0"/>
        <w:keepLines w:val="0"/>
        <w:pageBreakBefore w:val="0"/>
        <w:numPr>
          <w:ilvl w:val="3"/>
          <w:numId w:val="1"/>
        </w:numPr>
        <w:tabs>
          <w:tab w:val="left" w:pos="1276"/>
        </w:tabs>
        <w:kinsoku/>
        <w:wordWrap/>
        <w:overflowPunct/>
        <w:topLinePunct w:val="0"/>
        <w:autoSpaceDE/>
        <w:autoSpaceDN/>
        <w:bidi w:val="0"/>
        <w:spacing w:line="360" w:lineRule="auto"/>
        <w:ind w:left="1276" w:right="0" w:rightChars="0" w:hanging="567"/>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法定代表</w:t>
      </w:r>
      <w:r>
        <w:rPr>
          <w:rFonts w:hint="eastAsia" w:asciiTheme="minorEastAsia" w:hAnsiTheme="minorEastAsia" w:eastAsiaTheme="minorEastAsia" w:cstheme="minorEastAsia"/>
          <w:sz w:val="21"/>
          <w:szCs w:val="21"/>
        </w:rPr>
        <w:t>人</w:t>
      </w:r>
      <w:r>
        <w:rPr>
          <w:rFonts w:hint="eastAsia" w:asciiTheme="minorEastAsia" w:hAnsiTheme="minorEastAsia" w:eastAsiaTheme="minorEastAsia" w:cstheme="minorEastAsia"/>
          <w:sz w:val="21"/>
          <w:szCs w:val="21"/>
          <w:lang w:val="en-US" w:eastAsia="zh-CN"/>
        </w:rPr>
        <w:t>或总经理</w:t>
      </w:r>
      <w:r>
        <w:rPr>
          <w:rFonts w:hint="eastAsia" w:asciiTheme="minorEastAsia" w:hAnsiTheme="minorEastAsia" w:eastAsiaTheme="minorEastAsia" w:cstheme="minorEastAsia"/>
          <w:sz w:val="21"/>
          <w:szCs w:val="21"/>
        </w:rPr>
        <w:t>为同一人或者存在控股、管理关系的不同单位，不得同时参加本（批）次招标相应标包投标。</w:t>
      </w:r>
    </w:p>
    <w:p>
      <w:pPr>
        <w:keepNext w:val="0"/>
        <w:keepLines w:val="0"/>
        <w:pageBreakBefore w:val="0"/>
        <w:kinsoku/>
        <w:wordWrap/>
        <w:overflowPunct/>
        <w:autoSpaceDE/>
        <w:autoSpaceDN/>
        <w:bidi w:val="0"/>
        <w:spacing w:line="360" w:lineRule="auto"/>
        <w:ind w:right="0" w:rightChars="0"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3</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 xml:space="preserve"> 安全质量要求</w:t>
      </w:r>
    </w:p>
    <w:p>
      <w:pPr>
        <w:pStyle w:val="21"/>
        <w:keepNext w:val="0"/>
        <w:keepLines w:val="0"/>
        <w:pageBreakBefore w:val="0"/>
        <w:kinsoku/>
        <w:wordWrap/>
        <w:overflowPunct/>
        <w:autoSpaceDE/>
        <w:autoSpaceDN/>
        <w:bidi w:val="0"/>
        <w:spacing w:line="360" w:lineRule="auto"/>
        <w:ind w:right="0" w:rightChars="0" w:firstLine="420" w:firstLineChars="200"/>
        <w:textAlignment w:val="auto"/>
        <w:rPr>
          <w:rFonts w:hint="eastAsia"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投标人不得存在下列情形之一：</w:t>
      </w:r>
    </w:p>
    <w:p>
      <w:pPr>
        <w:keepNext w:val="0"/>
        <w:keepLines w:val="0"/>
        <w:pageBreakBefore w:val="0"/>
        <w:kinsoku/>
        <w:wordWrap/>
        <w:overflowPunct/>
        <w:topLinePunct w:val="0"/>
        <w:autoSpaceDE/>
        <w:autoSpaceDN/>
        <w:bidi w:val="0"/>
        <w:snapToGrid w:val="0"/>
        <w:spacing w:line="360" w:lineRule="auto"/>
        <w:ind w:left="0" w:right="0" w:firstLine="420" w:firstLineChars="200"/>
        <w:rPr>
          <w:rFonts w:hint="eastAsia"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自开标日前三年内发生因投标人负同等及以上责任造成的重大质量事故（二级及以上质量事件）；一年内发生因投标人负同等及以上责任造成的较大及以上人身死亡事故（三级及以上人身安全事件）、较大及以上电网、设备事故（三级及以上电网、设备安全事件）；六个月内发生因投标人负同等及以上责任造成的一般人身死亡事故（四级人身安全事件）、一般电网、设备事故（四级电网、设备安全事件）或较大质量事故（三级质量事件）；三个月内发生因投标人负同等及以上责任造成的一般质量事故（四级质量事件）。</w:t>
      </w:r>
    </w:p>
    <w:p>
      <w:pPr>
        <w:keepNext w:val="0"/>
        <w:keepLines w:val="0"/>
        <w:pageBreakBefore w:val="0"/>
        <w:kinsoku/>
        <w:wordWrap/>
        <w:overflowPunct/>
        <w:topLinePunct w:val="0"/>
        <w:autoSpaceDE/>
        <w:autoSpaceDN/>
        <w:bidi w:val="0"/>
        <w:snapToGrid w:val="0"/>
        <w:spacing w:line="360" w:lineRule="auto"/>
        <w:ind w:left="0" w:right="0" w:firstLine="420" w:firstLineChars="200"/>
        <w:rPr>
          <w:rFonts w:hint="eastAsia"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（4）</w:t>
      </w:r>
      <w:r>
        <w:rPr>
          <w:rFonts w:hint="eastAsia" w:ascii="宋体" w:hAnsi="宋体" w:eastAsia="宋体" w:cs="宋体"/>
          <w:sz w:val="21"/>
          <w:szCs w:val="21"/>
          <w:highlight w:val="none"/>
          <w:lang w:val="en-US" w:eastAsia="zh-CN"/>
        </w:rPr>
        <w:t>根据《国家电网公司供应商不良行为处理管理细则》的规定，投标人存在导致其被暂停中标资格或取消中标资格的不良行为，且在处理有效期内的，不得参加相应项目的投标。</w:t>
      </w:r>
    </w:p>
    <w:p>
      <w:pPr>
        <w:keepNext w:val="0"/>
        <w:keepLines w:val="0"/>
        <w:pageBreakBefore w:val="0"/>
        <w:kinsoku/>
        <w:wordWrap/>
        <w:overflowPunct/>
        <w:topLinePunct w:val="0"/>
        <w:autoSpaceDE/>
        <w:autoSpaceDN/>
        <w:bidi w:val="0"/>
        <w:snapToGrid w:val="0"/>
        <w:spacing w:line="360" w:lineRule="auto"/>
        <w:ind w:left="0" w:right="0" w:firstLine="420" w:firstLineChars="200"/>
        <w:rPr>
          <w:rFonts w:hint="eastAsia"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（5）</w:t>
      </w:r>
      <w:r>
        <w:rPr>
          <w:rFonts w:hint="eastAsia" w:ascii="宋体" w:hAnsi="宋体" w:eastAsia="宋体" w:cs="宋体"/>
          <w:sz w:val="21"/>
          <w:szCs w:val="21"/>
          <w:highlight w:val="none"/>
          <w:lang w:val="en-US" w:eastAsia="zh-CN"/>
        </w:rPr>
        <w:t>投标人在商务文件中提供国家企业信用信息公示系统（http://www.gsxt.gov.cn/index.html）上打印的企业信用信息公示报告，报告中应包含</w:t>
      </w:r>
    </w:p>
    <w:p>
      <w:pPr>
        <w:keepNext w:val="0"/>
        <w:keepLines w:val="0"/>
        <w:pageBreakBefore w:val="0"/>
        <w:kinsoku/>
        <w:wordWrap/>
        <w:overflowPunct/>
        <w:topLinePunct w:val="0"/>
        <w:autoSpaceDE/>
        <w:autoSpaceDN/>
        <w:bidi w:val="0"/>
        <w:snapToGrid w:val="0"/>
        <w:spacing w:line="360" w:lineRule="auto"/>
        <w:ind w:right="0"/>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营业执照信息”、“列入经营异常名录信息”和“列入严重违法失信企业名单（黑名单）信息”，报告出具之日为开标日前一个月内。如投标人未提供企业信用信息公示报告，或提供的报告不符合招标文件规定的格式与内容，或报告内容被评审委员会认定有异议的，投标人的“列入经营异常名录信息”和“列入严重违法失信企业名单（黑名单）信息”以评标委员会在国家企业信用信息公示系统（http://www.gsxt.gov.cn/index.html）的查询的结果为准。评标委员会将会对未提供或提供的报告不符合招标文件规定的格式与内容的投标人作出不利的评价。</w:t>
      </w:r>
    </w:p>
    <w:p>
      <w:pPr>
        <w:keepNext w:val="0"/>
        <w:keepLines w:val="0"/>
        <w:pageBreakBefore w:val="0"/>
        <w:kinsoku/>
        <w:wordWrap/>
        <w:overflowPunct/>
        <w:topLinePunct w:val="0"/>
        <w:autoSpaceDE/>
        <w:autoSpaceDN/>
        <w:bidi w:val="0"/>
        <w:snapToGrid w:val="0"/>
        <w:spacing w:line="360" w:lineRule="auto"/>
        <w:ind w:left="0" w:right="0"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w:t>
      </w:r>
      <w:r>
        <w:rPr>
          <w:rFonts w:hint="eastAsia" w:ascii="宋体" w:hAnsi="宋体" w:cs="宋体"/>
          <w:sz w:val="21"/>
          <w:szCs w:val="21"/>
          <w:highlight w:val="none"/>
          <w:lang w:val="en-US" w:eastAsia="zh-CN"/>
        </w:rPr>
        <w:t>6</w:t>
      </w:r>
      <w:r>
        <w:rPr>
          <w:rFonts w:hint="eastAsia" w:ascii="宋体" w:hAnsi="宋体" w:eastAsia="宋体" w:cs="宋体"/>
          <w:sz w:val="21"/>
          <w:szCs w:val="21"/>
          <w:highlight w:val="none"/>
        </w:rPr>
        <w:t>）根据国家发改委等部委联合印发的《印发&lt;关于对电力行业严重违法失信市场主体及其有关人员实施联合惩戒的合作备忘录&gt;的通知》（发改运行〔2017〕946号）的规定，投标人不得被政府主管部门认定存在严重违法失信行为并纳入电力行业“黑名单”。</w:t>
      </w:r>
    </w:p>
    <w:p>
      <w:pPr>
        <w:keepNext w:val="0"/>
        <w:keepLines w:val="0"/>
        <w:pageBreakBefore w:val="0"/>
        <w:kinsoku/>
        <w:wordWrap/>
        <w:overflowPunct/>
        <w:autoSpaceDE/>
        <w:autoSpaceDN/>
        <w:bidi w:val="0"/>
        <w:adjustRightInd/>
        <w:snapToGrid w:val="0"/>
        <w:spacing w:beforeAutospacing="0" w:afterAutospacing="0" w:line="360" w:lineRule="auto"/>
        <w:ind w:left="0" w:leftChars="0" w:right="0" w:rightChars="0" w:firstLine="420" w:firstLineChars="200"/>
        <w:rPr>
          <w:rFonts w:hint="eastAsia" w:ascii="宋体" w:hAnsi="宋体" w:eastAsia="宋体" w:cs="宋体"/>
          <w:sz w:val="21"/>
          <w:szCs w:val="21"/>
        </w:rPr>
      </w:pPr>
      <w:r>
        <w:rPr>
          <w:rFonts w:hint="eastAsia" w:ascii="宋体" w:hAnsi="宋体" w:eastAsia="宋体" w:cs="宋体"/>
          <w:sz w:val="21"/>
          <w:szCs w:val="21"/>
          <w:lang w:val="en-US" w:eastAsia="zh-CN"/>
        </w:rPr>
        <w:t>（</w:t>
      </w:r>
      <w:r>
        <w:rPr>
          <w:rFonts w:hint="eastAsia" w:ascii="宋体" w:hAnsi="宋体" w:cs="宋体"/>
          <w:sz w:val="21"/>
          <w:szCs w:val="21"/>
          <w:lang w:val="en-US" w:eastAsia="zh-CN"/>
        </w:rPr>
        <w:t>7</w:t>
      </w:r>
      <w:r>
        <w:rPr>
          <w:rFonts w:hint="eastAsia" w:ascii="宋体" w:hAnsi="宋体" w:eastAsia="宋体" w:cs="宋体"/>
          <w:sz w:val="21"/>
          <w:szCs w:val="21"/>
        </w:rPr>
        <w:t>）法律法规或投标人须知前附表规定的其他情形。</w:t>
      </w:r>
    </w:p>
    <w:p>
      <w:pPr>
        <w:pStyle w:val="21"/>
        <w:keepNext w:val="0"/>
        <w:keepLines w:val="0"/>
        <w:pageBreakBefore w:val="0"/>
        <w:kinsoku/>
        <w:wordWrap/>
        <w:overflowPunct/>
        <w:autoSpaceDE/>
        <w:autoSpaceDN/>
        <w:bidi w:val="0"/>
        <w:spacing w:line="360" w:lineRule="auto"/>
        <w:ind w:right="0" w:rightChars="0" w:firstLine="420" w:firstLineChars="200"/>
        <w:textAlignment w:val="auto"/>
        <w:rPr>
          <w:rFonts w:hint="eastAsia" w:asciiTheme="minorEastAsia" w:hAnsiTheme="minorEastAsia" w:eastAsiaTheme="minorEastAsia" w:cstheme="minorEastAsia"/>
          <w:b/>
          <w:kern w:val="2"/>
          <w:sz w:val="21"/>
          <w:szCs w:val="21"/>
        </w:rPr>
      </w:pPr>
      <w:r>
        <w:rPr>
          <w:rFonts w:hint="eastAsia" w:asciiTheme="minorEastAsia" w:hAnsiTheme="minorEastAsia" w:eastAsiaTheme="minorEastAsia" w:cstheme="minorEastAsia"/>
          <w:kern w:val="2"/>
          <w:sz w:val="21"/>
          <w:szCs w:val="21"/>
        </w:rPr>
        <w:t>3.2投标人及其投标的服务须满足相应招标项目的专用资格要求，具体内容详见招标需求一览表（附表1）</w:t>
      </w:r>
      <w:r>
        <w:rPr>
          <w:rFonts w:hint="eastAsia" w:asciiTheme="minorEastAsia" w:hAnsiTheme="minorEastAsia" w:eastAsiaTheme="minorEastAsia" w:cstheme="minorEastAsia"/>
          <w:kern w:val="2"/>
          <w:sz w:val="21"/>
          <w:szCs w:val="21"/>
          <w:lang w:eastAsia="zh-CN"/>
        </w:rPr>
        <w:t>。</w:t>
      </w:r>
    </w:p>
    <w:p>
      <w:pPr>
        <w:pStyle w:val="21"/>
        <w:keepNext w:val="0"/>
        <w:keepLines w:val="0"/>
        <w:pageBreakBefore w:val="0"/>
        <w:kinsoku/>
        <w:wordWrap/>
        <w:overflowPunct/>
        <w:autoSpaceDE/>
        <w:autoSpaceDN/>
        <w:bidi w:val="0"/>
        <w:spacing w:line="360" w:lineRule="auto"/>
        <w:ind w:right="0" w:rightChars="0" w:firstLine="420" w:firstLineChars="200"/>
        <w:textAlignment w:val="auto"/>
        <w:rPr>
          <w:rFonts w:hint="eastAsia" w:asciiTheme="minorEastAsia" w:hAnsiTheme="minorEastAsia" w:eastAsiaTheme="minorEastAsia" w:cstheme="minorEastAsia"/>
          <w:kern w:val="2"/>
          <w:sz w:val="21"/>
          <w:szCs w:val="21"/>
          <w:lang w:val="en-US" w:eastAsia="zh-CN"/>
        </w:rPr>
      </w:pPr>
      <w:r>
        <w:rPr>
          <w:rFonts w:hint="eastAsia" w:asciiTheme="minorEastAsia" w:hAnsiTheme="minorEastAsia" w:eastAsiaTheme="minorEastAsia" w:cstheme="minorEastAsia"/>
          <w:kern w:val="2"/>
          <w:sz w:val="21"/>
          <w:szCs w:val="21"/>
          <w:lang w:val="en-US" w:eastAsia="zh-CN"/>
        </w:rPr>
        <w:t>3.3联合体投标：本批次招标不接受联合体投标。</w:t>
      </w:r>
    </w:p>
    <w:p>
      <w:pPr>
        <w:pStyle w:val="21"/>
        <w:keepNext w:val="0"/>
        <w:keepLines w:val="0"/>
        <w:pageBreakBefore w:val="0"/>
        <w:kinsoku/>
        <w:wordWrap/>
        <w:overflowPunct/>
        <w:autoSpaceDE/>
        <w:autoSpaceDN/>
        <w:bidi w:val="0"/>
        <w:spacing w:line="360" w:lineRule="auto"/>
        <w:ind w:right="0" w:rightChars="0" w:firstLine="420" w:firstLineChars="200"/>
        <w:textAlignment w:val="auto"/>
        <w:rPr>
          <w:rFonts w:hint="eastAsia" w:asciiTheme="minorEastAsia" w:hAnsiTheme="minorEastAsia" w:eastAsiaTheme="minorEastAsia" w:cstheme="minorEastAsia"/>
          <w:kern w:val="2"/>
          <w:sz w:val="21"/>
          <w:szCs w:val="21"/>
          <w:lang w:val="en-US" w:eastAsia="zh-CN"/>
        </w:rPr>
      </w:pPr>
      <w:r>
        <w:rPr>
          <w:rFonts w:hint="eastAsia" w:asciiTheme="minorEastAsia" w:hAnsiTheme="minorEastAsia" w:eastAsiaTheme="minorEastAsia" w:cstheme="minorEastAsia"/>
          <w:kern w:val="2"/>
          <w:sz w:val="21"/>
          <w:szCs w:val="21"/>
          <w:lang w:val="en-US" w:eastAsia="zh-CN"/>
        </w:rPr>
        <w:t>3.4代理商投标：本批次招标不接受代理商投标。</w:t>
      </w:r>
      <w:bookmarkStart w:id="0" w:name="_Toc409044754"/>
    </w:p>
    <w:p>
      <w:pPr>
        <w:pStyle w:val="21"/>
        <w:keepNext w:val="0"/>
        <w:keepLines w:val="0"/>
        <w:pageBreakBefore w:val="0"/>
        <w:kinsoku/>
        <w:wordWrap/>
        <w:overflowPunct/>
        <w:autoSpaceDE/>
        <w:autoSpaceDN/>
        <w:bidi w:val="0"/>
        <w:spacing w:line="360" w:lineRule="auto"/>
        <w:ind w:right="0" w:rightChars="0" w:firstLine="420" w:firstLineChars="200"/>
        <w:textAlignment w:val="auto"/>
        <w:rPr>
          <w:rFonts w:hint="eastAsia" w:asciiTheme="minorEastAsia" w:hAnsiTheme="minorEastAsia" w:eastAsiaTheme="minorEastAsia" w:cstheme="minorEastAsia"/>
          <w:b w:val="0"/>
          <w:bCs w:val="0"/>
          <w:kern w:val="2"/>
          <w:sz w:val="21"/>
          <w:szCs w:val="21"/>
          <w:lang w:val="en-US" w:eastAsia="zh-CN" w:bidi="ar-SA"/>
        </w:rPr>
      </w:pPr>
      <w:r>
        <w:rPr>
          <w:rFonts w:hint="eastAsia" w:asciiTheme="minorEastAsia" w:hAnsiTheme="minorEastAsia" w:eastAsiaTheme="minorEastAsia" w:cstheme="minorEastAsia"/>
          <w:b w:val="0"/>
          <w:bCs w:val="0"/>
          <w:kern w:val="2"/>
          <w:sz w:val="21"/>
          <w:szCs w:val="21"/>
          <w:lang w:val="en-US" w:eastAsia="zh-CN" w:bidi="ar-SA"/>
        </w:rPr>
        <w:t>4.招标文件的获取</w:t>
      </w:r>
      <w:bookmarkEnd w:id="0"/>
      <w:bookmarkStart w:id="1" w:name="_Toc383250055"/>
      <w:bookmarkStart w:id="2" w:name="_Toc383250252"/>
      <w:bookmarkStart w:id="3" w:name="_Toc409044755"/>
      <w:bookmarkStart w:id="4" w:name="_Toc283947583"/>
    </w:p>
    <w:p>
      <w:pPr>
        <w:keepNext w:val="0"/>
        <w:keepLines w:val="0"/>
        <w:pageBreakBefore w:val="0"/>
        <w:kinsoku/>
        <w:wordWrap/>
        <w:overflowPunct/>
        <w:autoSpaceDE/>
        <w:autoSpaceDN/>
        <w:bidi w:val="0"/>
        <w:adjustRightInd w:val="0"/>
        <w:snapToGrid w:val="0"/>
        <w:spacing w:beforeAutospacing="0" w:afterAutospacing="0" w:line="360" w:lineRule="auto"/>
        <w:ind w:left="0" w:leftChars="0" w:right="0" w:rightChars="0" w:firstLine="420" w:firstLineChars="200"/>
        <w:jc w:val="left"/>
        <w:textAlignment w:val="auto"/>
        <w:rPr>
          <w:rFonts w:hint="eastAsia" w:asciiTheme="minorEastAsia" w:hAnsiTheme="minorEastAsia" w:eastAsiaTheme="minorEastAsia" w:cstheme="minorEastAsia"/>
          <w:b w:val="0"/>
          <w:bCs w:val="0"/>
          <w:kern w:val="2"/>
          <w:sz w:val="21"/>
          <w:szCs w:val="21"/>
          <w:lang w:val="en-US" w:eastAsia="zh-CN" w:bidi="ar-SA"/>
        </w:rPr>
      </w:pPr>
      <w:r>
        <w:rPr>
          <w:rFonts w:hint="eastAsia" w:asciiTheme="minorEastAsia" w:hAnsiTheme="minorEastAsia" w:eastAsiaTheme="minorEastAsia" w:cstheme="minorEastAsia"/>
          <w:b w:val="0"/>
          <w:bCs w:val="0"/>
          <w:kern w:val="2"/>
          <w:sz w:val="21"/>
          <w:szCs w:val="21"/>
          <w:lang w:val="en-US" w:eastAsia="zh-CN" w:bidi="ar-SA"/>
        </w:rPr>
        <w:t>4.1本次招标不收取标书费。</w:t>
      </w:r>
    </w:p>
    <w:p>
      <w:pPr>
        <w:pStyle w:val="21"/>
        <w:keepNext w:val="0"/>
        <w:keepLines w:val="0"/>
        <w:pageBreakBefore w:val="0"/>
        <w:kinsoku/>
        <w:wordWrap/>
        <w:overflowPunct/>
        <w:autoSpaceDE/>
        <w:autoSpaceDN/>
        <w:bidi w:val="0"/>
        <w:spacing w:line="360" w:lineRule="auto"/>
        <w:ind w:right="0" w:rightChars="0" w:firstLine="420" w:firstLineChars="200"/>
        <w:textAlignment w:val="auto"/>
        <w:rPr>
          <w:rFonts w:hint="eastAsia" w:asciiTheme="minorEastAsia" w:hAnsiTheme="minorEastAsia" w:eastAsiaTheme="minorEastAsia" w:cstheme="minorEastAsia"/>
          <w:kern w:val="2"/>
          <w:sz w:val="21"/>
          <w:szCs w:val="21"/>
          <w:lang w:val="en-US" w:eastAsia="zh-CN"/>
        </w:rPr>
      </w:pPr>
      <w:bookmarkStart w:id="5" w:name="_Toc468916367"/>
      <w:r>
        <w:rPr>
          <w:rFonts w:hint="eastAsia" w:asciiTheme="minorEastAsia" w:hAnsiTheme="minorEastAsia" w:eastAsiaTheme="minorEastAsia" w:cstheme="minorEastAsia"/>
          <w:kern w:val="2"/>
          <w:sz w:val="21"/>
          <w:szCs w:val="21"/>
          <w:lang w:val="en-US" w:eastAsia="zh-CN"/>
        </w:rPr>
        <w:t>4.2本次实行网上发放电子版招标文件，潜在投标人应在国家电网电子商务平台（ECP2.0）-电工交易专区（https://sgccetp.com.cn，以下简称“电子商务平台”，请使用谷歌浏览器（推荐71版本）打开上述网址，电脑配置推荐使用WIN7、WIN8、WIN10系统）注册并办理CA证书电子钥匙方可申请下载采购文件，电子钥匙的购买流程请登录电子商务平台网站阅读。ECP2.0与ECP1.0会员信息不互通，需重新注册，未注册供应商请按照ECP2.0首页“注册”指引及时注册。电子钥匙在ECP1.0、ECP2.0两个平台通用，如为ECP1.0平台老用户且具有有效的CA证书电子钥匙，仅需注册ECP2.0并下载安装新版电子钥匙安装包，即可获取采购文件。未办理电子钥匙的，请登录ECP2.0首页“下载专区”→“平台注册”→“电脑配置及电子钥匙”下载所有文件仔细阅读办理流程。电子钥匙的办理需要一定的时间，请潜在投标人高度重视。由于没有及时办理电子钥匙导致获取采购文件失败，后果由潜在投标人自行承担。</w:t>
      </w:r>
    </w:p>
    <w:p>
      <w:pPr>
        <w:pStyle w:val="21"/>
        <w:keepNext w:val="0"/>
        <w:keepLines w:val="0"/>
        <w:pageBreakBefore w:val="0"/>
        <w:kinsoku/>
        <w:wordWrap/>
        <w:overflowPunct/>
        <w:autoSpaceDE/>
        <w:autoSpaceDN/>
        <w:bidi w:val="0"/>
        <w:spacing w:line="360" w:lineRule="auto"/>
        <w:ind w:right="0" w:rightChars="0" w:firstLine="422" w:firstLineChars="200"/>
        <w:textAlignment w:val="auto"/>
        <w:rPr>
          <w:rFonts w:hint="eastAsia" w:asciiTheme="minorEastAsia" w:hAnsiTheme="minorEastAsia" w:eastAsiaTheme="minorEastAsia" w:cstheme="minorEastAsia"/>
          <w:kern w:val="2"/>
          <w:sz w:val="21"/>
          <w:szCs w:val="21"/>
          <w:highlight w:val="yellow"/>
          <w:lang w:val="en-US" w:eastAsia="zh-CN"/>
        </w:rPr>
      </w:pPr>
      <w:r>
        <w:rPr>
          <w:rFonts w:hint="eastAsia" w:ascii="宋体" w:hAnsi="宋体" w:eastAsia="宋体" w:cs="宋体"/>
          <w:b/>
          <w:bCs/>
          <w:kern w:val="2"/>
          <w:sz w:val="21"/>
          <w:szCs w:val="21"/>
          <w:highlight w:val="yellow"/>
          <w:lang w:val="en-US" w:eastAsia="zh-CN" w:bidi="ar-SA"/>
        </w:rPr>
        <w:t>4.3凡有意参加投标者，请于2023年1月31日至2023年02月07日16:00时（北京时间），登录电子商务平台下载招标文件，并按《电子招标投标办法》等国家法律法规要求，到第三方认证机构办理CA证书电子钥匙。</w:t>
      </w:r>
    </w:p>
    <w:p>
      <w:pPr>
        <w:pStyle w:val="21"/>
        <w:keepNext w:val="0"/>
        <w:keepLines w:val="0"/>
        <w:pageBreakBefore w:val="0"/>
        <w:kinsoku/>
        <w:wordWrap/>
        <w:overflowPunct/>
        <w:autoSpaceDE/>
        <w:autoSpaceDN/>
        <w:bidi w:val="0"/>
        <w:spacing w:line="360" w:lineRule="auto"/>
        <w:ind w:right="0" w:rightChars="0" w:firstLine="420" w:firstLineChars="200"/>
        <w:textAlignment w:val="auto"/>
        <w:rPr>
          <w:rFonts w:hint="eastAsia" w:asciiTheme="minorEastAsia" w:hAnsiTheme="minorEastAsia" w:eastAsiaTheme="minorEastAsia" w:cstheme="minorEastAsia"/>
          <w:kern w:val="2"/>
          <w:sz w:val="21"/>
          <w:szCs w:val="21"/>
          <w:lang w:val="en-US" w:eastAsia="zh-CN"/>
        </w:rPr>
      </w:pPr>
      <w:r>
        <w:rPr>
          <w:rFonts w:hint="eastAsia" w:asciiTheme="minorEastAsia" w:hAnsiTheme="minorEastAsia" w:eastAsiaTheme="minorEastAsia" w:cstheme="minorEastAsia"/>
          <w:kern w:val="2"/>
          <w:sz w:val="21"/>
          <w:szCs w:val="21"/>
          <w:lang w:val="en-US" w:eastAsia="zh-CN"/>
        </w:rPr>
        <w:t>4.4招标文件（电子文件）免费获取！！！投标人在电子商务平台点击购买招标文件即可，无须支付费用。投标人购买申请提交后1个工作日内将自动获得招标文件下载权限，超过1个工作日未获得下载权限的，可联系代理机构核实报名情况。</w:t>
      </w:r>
    </w:p>
    <w:p>
      <w:pPr>
        <w:pStyle w:val="21"/>
        <w:keepNext w:val="0"/>
        <w:keepLines w:val="0"/>
        <w:pageBreakBefore w:val="0"/>
        <w:kinsoku/>
        <w:wordWrap/>
        <w:overflowPunct/>
        <w:autoSpaceDE/>
        <w:autoSpaceDN/>
        <w:bidi w:val="0"/>
        <w:spacing w:line="360" w:lineRule="auto"/>
        <w:ind w:right="0" w:rightChars="0" w:firstLine="420" w:firstLineChars="200"/>
        <w:textAlignment w:val="auto"/>
        <w:rPr>
          <w:rFonts w:hint="eastAsia" w:asciiTheme="minorEastAsia" w:hAnsiTheme="minorEastAsia" w:eastAsiaTheme="minorEastAsia" w:cstheme="minorEastAsia"/>
          <w:kern w:val="2"/>
          <w:sz w:val="21"/>
          <w:szCs w:val="21"/>
          <w:lang w:val="en-US" w:eastAsia="zh-CN"/>
        </w:rPr>
      </w:pPr>
      <w:r>
        <w:rPr>
          <w:rFonts w:hint="eastAsia" w:asciiTheme="minorEastAsia" w:hAnsiTheme="minorEastAsia" w:eastAsiaTheme="minorEastAsia" w:cstheme="minorEastAsia"/>
          <w:kern w:val="2"/>
          <w:sz w:val="21"/>
          <w:szCs w:val="21"/>
          <w:lang w:val="en-US" w:eastAsia="zh-CN"/>
        </w:rPr>
        <w:t>4.5请潜在投标人注意的其他事项</w:t>
      </w:r>
    </w:p>
    <w:p>
      <w:pPr>
        <w:pStyle w:val="21"/>
        <w:keepNext w:val="0"/>
        <w:keepLines w:val="0"/>
        <w:pageBreakBefore w:val="0"/>
        <w:kinsoku/>
        <w:wordWrap/>
        <w:overflowPunct/>
        <w:autoSpaceDE/>
        <w:autoSpaceDN/>
        <w:bidi w:val="0"/>
        <w:spacing w:line="360" w:lineRule="auto"/>
        <w:ind w:right="0" w:rightChars="0" w:firstLine="420" w:firstLineChars="200"/>
        <w:textAlignment w:val="auto"/>
        <w:rPr>
          <w:rFonts w:hint="eastAsia" w:asciiTheme="minorEastAsia" w:hAnsiTheme="minorEastAsia" w:eastAsiaTheme="minorEastAsia" w:cstheme="minorEastAsia"/>
          <w:kern w:val="2"/>
          <w:sz w:val="21"/>
          <w:szCs w:val="21"/>
          <w:lang w:val="en-US" w:eastAsia="zh-CN"/>
        </w:rPr>
      </w:pPr>
      <w:r>
        <w:rPr>
          <w:rFonts w:hint="eastAsia" w:asciiTheme="minorEastAsia" w:hAnsiTheme="minorEastAsia" w:eastAsiaTheme="minorEastAsia" w:cstheme="minorEastAsia"/>
          <w:kern w:val="2"/>
          <w:sz w:val="21"/>
          <w:szCs w:val="21"/>
          <w:lang w:val="en-US" w:eastAsia="zh-CN"/>
        </w:rPr>
        <w:t>离线投标工具下载方式：请各投标人在国家电网公司新一代电子商务平台首页“参与投标→投标工具安装”目录下下载</w:t>
      </w:r>
      <w:r>
        <w:rPr>
          <w:rFonts w:hint="eastAsia" w:asciiTheme="minorEastAsia" w:hAnsiTheme="minorEastAsia" w:eastAsiaTheme="minorEastAsia" w:cstheme="minorEastAsia"/>
          <w:kern w:val="2"/>
          <w:sz w:val="21"/>
          <w:szCs w:val="21"/>
          <w:lang w:val="en-US" w:eastAsia="zh-CN"/>
        </w:rPr>
        <w:fldChar w:fldCharType="begin"/>
      </w:r>
      <w:r>
        <w:rPr>
          <w:rFonts w:hint="eastAsia" w:asciiTheme="minorEastAsia" w:hAnsiTheme="minorEastAsia" w:eastAsiaTheme="minorEastAsia" w:cstheme="minorEastAsia"/>
          <w:kern w:val="2"/>
          <w:sz w:val="21"/>
          <w:szCs w:val="21"/>
          <w:lang w:val="en-US" w:eastAsia="zh-CN"/>
        </w:rPr>
        <w:instrText xml:space="preserve"> HYPERLINK "https://ecp.sgcc.com.cn/ecp2.0/portal/" \l "/list/down/javascript:void(0)" </w:instrText>
      </w:r>
      <w:r>
        <w:rPr>
          <w:rFonts w:hint="eastAsia" w:asciiTheme="minorEastAsia" w:hAnsiTheme="minorEastAsia" w:eastAsiaTheme="minorEastAsia" w:cstheme="minorEastAsia"/>
          <w:kern w:val="2"/>
          <w:sz w:val="21"/>
          <w:szCs w:val="21"/>
          <w:lang w:val="en-US" w:eastAsia="zh-CN"/>
        </w:rPr>
        <w:fldChar w:fldCharType="separate"/>
      </w:r>
      <w:r>
        <w:rPr>
          <w:rFonts w:hint="eastAsia" w:asciiTheme="minorEastAsia" w:hAnsiTheme="minorEastAsia" w:eastAsiaTheme="minorEastAsia" w:cstheme="minorEastAsia"/>
          <w:kern w:val="2"/>
          <w:sz w:val="21"/>
          <w:szCs w:val="21"/>
          <w:lang w:val="en-US" w:eastAsia="zh-CN"/>
        </w:rPr>
        <w:t>供应商投标工具</w:t>
      </w:r>
      <w:r>
        <w:rPr>
          <w:rFonts w:hint="eastAsia" w:asciiTheme="minorEastAsia" w:hAnsiTheme="minorEastAsia" w:eastAsiaTheme="minorEastAsia" w:cstheme="minorEastAsia"/>
          <w:kern w:val="2"/>
          <w:sz w:val="21"/>
          <w:szCs w:val="21"/>
          <w:lang w:val="en-US" w:eastAsia="zh-CN"/>
        </w:rPr>
        <w:fldChar w:fldCharType="end"/>
      </w:r>
      <w:r>
        <w:rPr>
          <w:rFonts w:hint="eastAsia" w:asciiTheme="minorEastAsia" w:hAnsiTheme="minorEastAsia" w:eastAsiaTheme="minorEastAsia" w:cstheme="minorEastAsia"/>
          <w:kern w:val="2"/>
          <w:sz w:val="21"/>
          <w:szCs w:val="21"/>
          <w:lang w:val="en-US" w:eastAsia="zh-CN"/>
        </w:rPr>
        <w:t>。</w:t>
      </w:r>
    </w:p>
    <w:p>
      <w:pPr>
        <w:pStyle w:val="21"/>
        <w:keepNext w:val="0"/>
        <w:keepLines w:val="0"/>
        <w:pageBreakBefore w:val="0"/>
        <w:kinsoku/>
        <w:wordWrap/>
        <w:overflowPunct/>
        <w:autoSpaceDE/>
        <w:autoSpaceDN/>
        <w:bidi w:val="0"/>
        <w:spacing w:line="360" w:lineRule="auto"/>
        <w:ind w:right="0" w:rightChars="0" w:firstLine="420" w:firstLineChars="200"/>
        <w:textAlignment w:val="auto"/>
        <w:rPr>
          <w:rFonts w:hint="eastAsia" w:asciiTheme="minorEastAsia" w:hAnsiTheme="minorEastAsia" w:eastAsiaTheme="minorEastAsia" w:cstheme="minorEastAsia"/>
          <w:kern w:val="2"/>
          <w:sz w:val="21"/>
          <w:szCs w:val="21"/>
          <w:lang w:val="en-US" w:eastAsia="zh-CN"/>
        </w:rPr>
      </w:pPr>
      <w:r>
        <w:rPr>
          <w:rFonts w:hint="eastAsia" w:asciiTheme="minorEastAsia" w:hAnsiTheme="minorEastAsia" w:eastAsiaTheme="minorEastAsia" w:cstheme="minorEastAsia"/>
          <w:kern w:val="2"/>
          <w:sz w:val="21"/>
          <w:szCs w:val="21"/>
          <w:lang w:val="en-US" w:eastAsia="zh-CN"/>
        </w:rPr>
        <w:t>操作手册下载：请各投标人在电子商务平台首页“下载专区→参与投标→投标工具安装”下载并安装。操作手册及注意事项见首页“下载专区→参与投标→操作手册”。</w:t>
      </w:r>
    </w:p>
    <w:p>
      <w:pPr>
        <w:pStyle w:val="21"/>
        <w:keepNext w:val="0"/>
        <w:keepLines w:val="0"/>
        <w:pageBreakBefore w:val="0"/>
        <w:kinsoku/>
        <w:wordWrap/>
        <w:overflowPunct/>
        <w:autoSpaceDE/>
        <w:autoSpaceDN/>
        <w:bidi w:val="0"/>
        <w:spacing w:line="360" w:lineRule="auto"/>
        <w:ind w:right="0" w:rightChars="0" w:firstLine="420" w:firstLineChars="200"/>
        <w:textAlignment w:val="auto"/>
        <w:rPr>
          <w:rFonts w:hint="eastAsia" w:asciiTheme="minorEastAsia" w:hAnsiTheme="minorEastAsia" w:eastAsiaTheme="minorEastAsia" w:cstheme="minorEastAsia"/>
          <w:b w:val="0"/>
          <w:bCs w:val="0"/>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rPr>
        <w:t>投标工具操作问题联系电话：010-63411000。</w:t>
      </w:r>
    </w:p>
    <w:p>
      <w:pPr>
        <w:keepNext w:val="0"/>
        <w:keepLines w:val="0"/>
        <w:pageBreakBefore w:val="0"/>
        <w:kinsoku/>
        <w:wordWrap/>
        <w:overflowPunct/>
        <w:autoSpaceDE/>
        <w:autoSpaceDN/>
        <w:bidi w:val="0"/>
        <w:adjustRightInd w:val="0"/>
        <w:snapToGrid w:val="0"/>
        <w:spacing w:beforeAutospacing="0" w:afterAutospacing="0" w:line="360" w:lineRule="auto"/>
        <w:ind w:left="0" w:leftChars="0" w:right="0" w:rightChars="0" w:firstLine="420" w:firstLineChars="200"/>
        <w:jc w:val="left"/>
        <w:textAlignment w:val="auto"/>
        <w:rPr>
          <w:rFonts w:hint="eastAsia" w:asciiTheme="minorEastAsia" w:hAnsiTheme="minorEastAsia" w:eastAsiaTheme="minorEastAsia" w:cstheme="minorEastAsia"/>
          <w:b w:val="0"/>
          <w:bCs w:val="0"/>
          <w:kern w:val="2"/>
          <w:sz w:val="21"/>
          <w:szCs w:val="21"/>
          <w:lang w:val="en-US" w:eastAsia="zh-CN" w:bidi="ar-SA"/>
        </w:rPr>
      </w:pPr>
      <w:r>
        <w:rPr>
          <w:rFonts w:hint="eastAsia" w:asciiTheme="minorEastAsia" w:hAnsiTheme="minorEastAsia" w:eastAsiaTheme="minorEastAsia" w:cstheme="minorEastAsia"/>
          <w:b w:val="0"/>
          <w:bCs w:val="0"/>
          <w:kern w:val="2"/>
          <w:sz w:val="21"/>
          <w:szCs w:val="21"/>
          <w:lang w:val="en-US" w:eastAsia="zh-CN" w:bidi="ar-SA"/>
        </w:rPr>
        <w:t>5.投标保证金及招标文件的递交</w:t>
      </w:r>
      <w:bookmarkEnd w:id="5"/>
    </w:p>
    <w:bookmarkEnd w:id="1"/>
    <w:bookmarkEnd w:id="2"/>
    <w:bookmarkEnd w:id="3"/>
    <w:bookmarkEnd w:id="4"/>
    <w:p>
      <w:pPr>
        <w:keepNext w:val="0"/>
        <w:keepLines w:val="0"/>
        <w:pageBreakBefore w:val="0"/>
        <w:kinsoku/>
        <w:wordWrap/>
        <w:overflowPunct/>
        <w:autoSpaceDE w:val="0"/>
        <w:autoSpaceDN w:val="0"/>
        <w:bidi w:val="0"/>
        <w:adjustRightInd w:val="0"/>
        <w:snapToGrid w:val="0"/>
        <w:spacing w:line="360" w:lineRule="auto"/>
        <w:ind w:firstLine="422" w:firstLineChars="200"/>
        <w:rPr>
          <w:rFonts w:hint="eastAsia" w:ascii="宋体" w:hAnsi="宋体" w:cs="宋体"/>
          <w:b/>
          <w:bCs/>
          <w:sz w:val="21"/>
          <w:szCs w:val="21"/>
          <w:highlight w:val="red"/>
        </w:rPr>
      </w:pPr>
      <w:r>
        <w:rPr>
          <w:rFonts w:hint="eastAsia" w:ascii="宋体" w:hAnsi="宋体" w:cs="宋体"/>
          <w:b/>
          <w:bCs/>
          <w:sz w:val="21"/>
          <w:szCs w:val="21"/>
          <w:highlight w:val="red"/>
          <w:lang w:val="en-US" w:eastAsia="zh-CN"/>
        </w:rPr>
        <w:t>5</w:t>
      </w:r>
      <w:r>
        <w:rPr>
          <w:rFonts w:hint="eastAsia" w:ascii="宋体" w:hAnsi="宋体" w:eastAsia="宋体" w:cs="宋体"/>
          <w:b/>
          <w:bCs/>
          <w:sz w:val="21"/>
          <w:szCs w:val="21"/>
          <w:highlight w:val="red"/>
        </w:rPr>
        <w:t xml:space="preserve">.1 </w:t>
      </w:r>
      <w:r>
        <w:rPr>
          <w:rFonts w:hint="eastAsia" w:ascii="宋体" w:hAnsi="宋体" w:cs="宋体"/>
          <w:b/>
          <w:bCs/>
          <w:sz w:val="21"/>
          <w:szCs w:val="21"/>
          <w:highlight w:val="red"/>
        </w:rPr>
        <w:t xml:space="preserve"> 本次</w:t>
      </w:r>
      <w:r>
        <w:rPr>
          <w:rFonts w:hint="eastAsia" w:ascii="宋体" w:hAnsi="宋体" w:cs="宋体"/>
          <w:b/>
          <w:bCs/>
          <w:sz w:val="21"/>
          <w:szCs w:val="21"/>
          <w:highlight w:val="red"/>
          <w:lang w:eastAsia="zh-CN"/>
        </w:rPr>
        <w:t>招标</w:t>
      </w:r>
      <w:r>
        <w:rPr>
          <w:rFonts w:hint="eastAsia" w:ascii="宋体" w:hAnsi="宋体" w:cs="宋体"/>
          <w:b/>
          <w:bCs/>
          <w:sz w:val="21"/>
          <w:szCs w:val="21"/>
          <w:highlight w:val="red"/>
        </w:rPr>
        <w:t>项目接受电子版应答文件、电子应答文件，不接受纸质应答文件。本次采购项目不接受到现场递交应答文件及应答文件的修改文件，也不接受邮寄方式提交应答文件及应答文件的修改文件。</w:t>
      </w:r>
    </w:p>
    <w:p>
      <w:pPr>
        <w:keepNext w:val="0"/>
        <w:keepLines w:val="0"/>
        <w:pageBreakBefore w:val="0"/>
        <w:kinsoku/>
        <w:wordWrap/>
        <w:overflowPunct/>
        <w:autoSpaceDE w:val="0"/>
        <w:autoSpaceDN w:val="0"/>
        <w:bidi w:val="0"/>
        <w:adjustRightInd w:val="0"/>
        <w:snapToGrid w:val="0"/>
        <w:spacing w:line="360" w:lineRule="auto"/>
        <w:ind w:firstLine="420" w:firstLineChars="200"/>
        <w:rPr>
          <w:rFonts w:hint="eastAsia" w:ascii="宋体" w:hAnsi="宋体" w:cs="宋体"/>
          <w:sz w:val="21"/>
          <w:szCs w:val="21"/>
        </w:rPr>
      </w:pPr>
      <w:r>
        <w:rPr>
          <w:rFonts w:hint="eastAsia" w:ascii="宋体" w:hAnsi="宋体" w:cs="宋体"/>
          <w:sz w:val="21"/>
          <w:szCs w:val="21"/>
        </w:rPr>
        <w:t>如招标人根据中央和地方政府的新型冠状病毒肺炎疫情防控工作要求，并结合国务院办公厅及地方政府复工复产工作安排等通知，对该时间进行调整，将在实际的投标截止时间前至少2个工作日另行通知。</w:t>
      </w:r>
    </w:p>
    <w:p>
      <w:pPr>
        <w:keepNext w:val="0"/>
        <w:keepLines w:val="0"/>
        <w:pageBreakBefore w:val="0"/>
        <w:kinsoku/>
        <w:wordWrap/>
        <w:overflowPunct/>
        <w:autoSpaceDE w:val="0"/>
        <w:autoSpaceDN w:val="0"/>
        <w:bidi w:val="0"/>
        <w:adjustRightInd w:val="0"/>
        <w:snapToGrid w:val="0"/>
        <w:spacing w:line="360" w:lineRule="auto"/>
        <w:ind w:firstLine="420" w:firstLineChars="200"/>
        <w:rPr>
          <w:rFonts w:hint="eastAsia" w:ascii="宋体" w:hAnsi="宋体" w:cs="宋体"/>
          <w:sz w:val="21"/>
          <w:szCs w:val="21"/>
        </w:rPr>
      </w:pPr>
      <w:r>
        <w:rPr>
          <w:rFonts w:hint="eastAsia" w:cs="Times New Roman"/>
          <w:szCs w:val="21"/>
          <w:highlight w:val="none"/>
          <w:lang w:val="en-US" w:eastAsia="zh-CN"/>
        </w:rPr>
        <w:t>5</w:t>
      </w:r>
      <w:r>
        <w:rPr>
          <w:rFonts w:hint="eastAsia" w:ascii="Times New Roman" w:hAnsi="Times New Roman" w:eastAsia="宋体" w:cs="Times New Roman"/>
          <w:szCs w:val="21"/>
          <w:highlight w:val="none"/>
          <w:lang w:val="en-US" w:eastAsia="zh-CN"/>
        </w:rPr>
        <w:t>.2</w:t>
      </w:r>
      <w:r>
        <w:rPr>
          <w:rFonts w:hint="eastAsia" w:ascii="宋体" w:hAnsi="宋体" w:cs="宋体"/>
          <w:sz w:val="21"/>
          <w:szCs w:val="21"/>
        </w:rPr>
        <w:t>投标人“投标人主动放弃投标情况的说明”（如有，详见招标文件格式）请于投标截止日之前发送到邮箱</w:t>
      </w:r>
      <w:r>
        <w:rPr>
          <w:rFonts w:hint="eastAsia" w:ascii="宋体" w:hAnsi="宋体" w:cs="宋体"/>
          <w:sz w:val="21"/>
          <w:szCs w:val="21"/>
          <w:highlight w:val="green"/>
          <w:lang w:eastAsia="zh-CN"/>
        </w:rPr>
        <w:t>sdfzzb1@163.com</w:t>
      </w:r>
      <w:r>
        <w:rPr>
          <w:rFonts w:hint="eastAsia" w:ascii="宋体" w:hAnsi="宋体" w:cs="宋体"/>
          <w:sz w:val="21"/>
          <w:szCs w:val="21"/>
          <w:highlight w:val="green"/>
        </w:rPr>
        <w:t>。</w:t>
      </w:r>
      <w:r>
        <w:rPr>
          <w:rFonts w:hint="eastAsia" w:ascii="宋体" w:hAnsi="宋体" w:cs="宋体"/>
          <w:sz w:val="21"/>
          <w:szCs w:val="21"/>
        </w:rPr>
        <w:t>邮件主题名称统一为：【弃标函】投标人单位全称。</w:t>
      </w:r>
    </w:p>
    <w:p>
      <w:pPr>
        <w:keepNext w:val="0"/>
        <w:keepLines w:val="0"/>
        <w:pageBreakBefore w:val="0"/>
        <w:tabs>
          <w:tab w:val="left" w:pos="6300"/>
        </w:tabs>
        <w:kinsoku/>
        <w:wordWrap/>
        <w:overflowPunct/>
        <w:bidi w:val="0"/>
        <w:adjustRightInd w:val="0"/>
        <w:snapToGrid w:val="0"/>
        <w:spacing w:line="360" w:lineRule="auto"/>
        <w:ind w:firstLine="424" w:firstLineChars="202"/>
        <w:jc w:val="left"/>
        <w:rPr>
          <w:rFonts w:hint="eastAsia"/>
          <w:b w:val="0"/>
          <w:bCs w:val="0"/>
          <w:szCs w:val="21"/>
          <w:highlight w:val="yellow"/>
          <w:lang w:eastAsia="zh-CN"/>
        </w:rPr>
      </w:pPr>
      <w:r>
        <w:rPr>
          <w:rFonts w:hint="eastAsia"/>
          <w:szCs w:val="21"/>
          <w:highlight w:val="none"/>
          <w:lang w:val="en-US" w:eastAsia="zh-CN"/>
        </w:rPr>
        <w:t>5</w:t>
      </w:r>
      <w:r>
        <w:rPr>
          <w:rFonts w:hint="eastAsia"/>
          <w:szCs w:val="21"/>
          <w:highlight w:val="none"/>
        </w:rPr>
        <w:t>.2</w:t>
      </w:r>
      <w:r>
        <w:rPr>
          <w:rFonts w:hint="eastAsia"/>
          <w:szCs w:val="21"/>
          <w:highlight w:val="none"/>
          <w:lang w:val="en-US" w:eastAsia="zh-CN"/>
        </w:rPr>
        <w:t>.1</w:t>
      </w:r>
      <w:r>
        <w:rPr>
          <w:rFonts w:hint="eastAsia"/>
          <w:b/>
          <w:bCs/>
          <w:color w:val="auto"/>
          <w:szCs w:val="21"/>
          <w:highlight w:val="none"/>
          <w:lang w:eastAsia="zh-CN"/>
        </w:rPr>
        <w:t>投标文件</w:t>
      </w:r>
      <w:r>
        <w:rPr>
          <w:rFonts w:hint="eastAsia"/>
          <w:b/>
          <w:bCs/>
          <w:color w:val="auto"/>
          <w:szCs w:val="21"/>
          <w:highlight w:val="none"/>
        </w:rPr>
        <w:t>递交的截止时间（</w:t>
      </w:r>
      <w:r>
        <w:rPr>
          <w:rFonts w:hint="eastAsia"/>
          <w:b/>
          <w:bCs/>
          <w:color w:val="auto"/>
          <w:szCs w:val="21"/>
          <w:highlight w:val="none"/>
          <w:lang w:val="en-US" w:eastAsia="zh-CN"/>
        </w:rPr>
        <w:t>投标</w:t>
      </w:r>
      <w:r>
        <w:rPr>
          <w:rFonts w:hint="eastAsia"/>
          <w:b/>
          <w:bCs/>
          <w:color w:val="auto"/>
          <w:szCs w:val="21"/>
          <w:highlight w:val="none"/>
        </w:rPr>
        <w:t>截止时间）为：</w:t>
      </w:r>
      <w:r>
        <w:rPr>
          <w:rFonts w:hint="eastAsia"/>
          <w:b/>
          <w:bCs/>
          <w:color w:val="FF0000"/>
          <w:szCs w:val="21"/>
          <w:highlight w:val="yellow"/>
          <w:lang w:eastAsia="zh-CN"/>
        </w:rPr>
        <w:t>2023年02月21日上午09:05时</w:t>
      </w:r>
      <w:r>
        <w:rPr>
          <w:rFonts w:hint="eastAsia"/>
          <w:b w:val="0"/>
          <w:bCs w:val="0"/>
          <w:szCs w:val="21"/>
          <w:highlight w:val="yellow"/>
          <w:lang w:eastAsia="zh-CN"/>
        </w:rPr>
        <w:t>。</w:t>
      </w:r>
    </w:p>
    <w:p>
      <w:pPr>
        <w:keepNext w:val="0"/>
        <w:keepLines w:val="0"/>
        <w:pageBreakBefore w:val="0"/>
        <w:kinsoku/>
        <w:wordWrap/>
        <w:overflowPunct/>
        <w:bidi w:val="0"/>
        <w:spacing w:line="360" w:lineRule="auto"/>
        <w:ind w:firstLine="422" w:firstLineChars="200"/>
        <w:outlineLvl w:val="1"/>
        <w:rPr>
          <w:rFonts w:ascii="宋体" w:hAnsi="宋体" w:cs="宋体"/>
          <w:b/>
          <w:sz w:val="21"/>
          <w:szCs w:val="21"/>
          <w:lang w:eastAsia="zh-CN"/>
        </w:rPr>
      </w:pPr>
      <w:r>
        <w:rPr>
          <w:rFonts w:hint="eastAsia" w:ascii="宋体" w:hAnsi="宋体" w:cs="宋体"/>
          <w:b/>
          <w:sz w:val="21"/>
          <w:szCs w:val="21"/>
          <w:lang w:val="en-US" w:eastAsia="zh-CN"/>
        </w:rPr>
        <w:t>5.2.1.1</w:t>
      </w:r>
      <w:r>
        <w:rPr>
          <w:rFonts w:hint="eastAsia" w:ascii="宋体" w:hAnsi="宋体" w:cs="宋体"/>
          <w:b/>
          <w:sz w:val="21"/>
          <w:szCs w:val="21"/>
          <w:lang w:eastAsia="zh-CN"/>
        </w:rPr>
        <w:t>投标文件的递交</w:t>
      </w:r>
    </w:p>
    <w:p>
      <w:pPr>
        <w:keepNext w:val="0"/>
        <w:keepLines w:val="0"/>
        <w:pageBreakBefore w:val="0"/>
        <w:kinsoku/>
        <w:wordWrap/>
        <w:overflowPunct/>
        <w:bidi w:val="0"/>
        <w:spacing w:line="360" w:lineRule="auto"/>
        <w:ind w:firstLine="413" w:firstLineChars="196"/>
        <w:outlineLvl w:val="1"/>
        <w:rPr>
          <w:rFonts w:ascii="宋体" w:hAnsi="宋体" w:cs="宋体"/>
          <w:sz w:val="21"/>
          <w:szCs w:val="21"/>
          <w:highlight w:val="yellow"/>
          <w:lang w:eastAsia="zh-CN"/>
        </w:rPr>
      </w:pPr>
      <w:r>
        <w:rPr>
          <w:rFonts w:hint="eastAsia" w:ascii="宋体" w:hAnsi="宋体" w:cs="宋体"/>
          <w:b/>
          <w:bCs/>
          <w:sz w:val="21"/>
          <w:szCs w:val="21"/>
          <w:highlight w:val="yellow"/>
          <w:lang w:eastAsia="zh-CN"/>
        </w:rPr>
        <w:t>投标文件须以两种方式同时提交：</w:t>
      </w:r>
    </w:p>
    <w:p>
      <w:pPr>
        <w:keepNext w:val="0"/>
        <w:keepLines w:val="0"/>
        <w:pageBreakBefore w:val="0"/>
        <w:kinsoku/>
        <w:wordWrap/>
        <w:overflowPunct/>
        <w:bidi w:val="0"/>
        <w:spacing w:line="360" w:lineRule="auto"/>
        <w:ind w:firstLine="413" w:firstLineChars="196"/>
        <w:outlineLvl w:val="1"/>
        <w:rPr>
          <w:rFonts w:ascii="宋体" w:hAnsi="宋体" w:cs="宋体"/>
          <w:sz w:val="21"/>
          <w:szCs w:val="21"/>
        </w:rPr>
      </w:pPr>
      <w:r>
        <w:rPr>
          <w:rFonts w:hint="eastAsia" w:ascii="宋体" w:hAnsi="宋体" w:cs="宋体"/>
          <w:b/>
          <w:sz w:val="21"/>
          <w:szCs w:val="21"/>
        </w:rPr>
        <w:t>方式一：</w:t>
      </w:r>
      <w:r>
        <w:rPr>
          <w:rFonts w:hint="eastAsia" w:ascii="宋体" w:hAnsi="宋体" w:cs="宋体"/>
          <w:sz w:val="21"/>
          <w:szCs w:val="21"/>
        </w:rPr>
        <w:t>投标人将电子投标文件上传至</w:t>
      </w:r>
      <w:r>
        <w:rPr>
          <w:rFonts w:hint="eastAsia" w:ascii="宋体" w:hAnsi="宋体" w:cs="宋体"/>
          <w:sz w:val="21"/>
          <w:szCs w:val="21"/>
          <w:lang w:eastAsia="zh-CN"/>
        </w:rPr>
        <w:t>国家电网电子商务平台（ECP2.0）-电工交易专区</w:t>
      </w:r>
      <w:r>
        <w:rPr>
          <w:rFonts w:hint="eastAsia" w:ascii="宋体" w:hAnsi="宋体" w:cs="宋体"/>
          <w:sz w:val="21"/>
          <w:szCs w:val="21"/>
        </w:rPr>
        <w:t>（</w:t>
      </w:r>
      <w:r>
        <w:rPr>
          <w:rFonts w:ascii="宋体" w:hAnsi="宋体" w:cs="宋体"/>
          <w:sz w:val="21"/>
          <w:szCs w:val="21"/>
        </w:rPr>
        <w:t>ECP2.0</w:t>
      </w:r>
      <w:r>
        <w:rPr>
          <w:rFonts w:hint="eastAsia" w:ascii="宋体" w:hAnsi="宋体" w:cs="宋体"/>
          <w:sz w:val="21"/>
          <w:szCs w:val="21"/>
        </w:rPr>
        <w:t>）</w:t>
      </w:r>
      <w:r>
        <w:rPr>
          <w:rFonts w:hint="eastAsia" w:ascii="宋体" w:hAnsi="宋体" w:cs="宋体"/>
          <w:sz w:val="21"/>
          <w:szCs w:val="21"/>
          <w:lang w:eastAsia="zh-CN"/>
        </w:rPr>
        <w:t>https://sgccetp.com.cn</w:t>
      </w:r>
      <w:r>
        <w:rPr>
          <w:rFonts w:hint="eastAsia" w:ascii="宋体" w:hAnsi="宋体" w:cs="宋体"/>
          <w:sz w:val="21"/>
          <w:szCs w:val="21"/>
        </w:rPr>
        <w:t>，下同），上传商务、技术、开标文件。</w:t>
      </w:r>
    </w:p>
    <w:p>
      <w:pPr>
        <w:pStyle w:val="111"/>
        <w:keepNext w:val="0"/>
        <w:keepLines w:val="0"/>
        <w:pageBreakBefore w:val="0"/>
        <w:numPr>
          <w:ilvl w:val="0"/>
          <w:numId w:val="2"/>
        </w:numPr>
        <w:kinsoku/>
        <w:wordWrap/>
        <w:overflowPunct/>
        <w:bidi w:val="0"/>
        <w:spacing w:line="360" w:lineRule="auto"/>
        <w:ind w:left="1070" w:hanging="600" w:firstLineChars="0"/>
        <w:outlineLvl w:val="1"/>
        <w:rPr>
          <w:rFonts w:ascii="宋体" w:hAnsi="宋体" w:cs="宋体"/>
          <w:sz w:val="21"/>
          <w:szCs w:val="21"/>
          <w:lang w:eastAsia="zh-CN"/>
        </w:rPr>
      </w:pPr>
      <w:r>
        <w:rPr>
          <w:rFonts w:hint="eastAsia" w:ascii="宋体" w:hAnsi="宋体" w:cs="宋体"/>
          <w:sz w:val="21"/>
          <w:szCs w:val="21"/>
          <w:lang w:eastAsia="zh-CN"/>
        </w:rPr>
        <w:t>开标文件请上传完整文件；</w:t>
      </w:r>
    </w:p>
    <w:p>
      <w:pPr>
        <w:pStyle w:val="111"/>
        <w:keepNext w:val="0"/>
        <w:keepLines w:val="0"/>
        <w:pageBreakBefore w:val="0"/>
        <w:numPr>
          <w:ilvl w:val="0"/>
          <w:numId w:val="2"/>
        </w:numPr>
        <w:kinsoku/>
        <w:wordWrap/>
        <w:overflowPunct/>
        <w:bidi w:val="0"/>
        <w:spacing w:line="360" w:lineRule="auto"/>
        <w:ind w:left="1070" w:hanging="600" w:firstLineChars="0"/>
        <w:outlineLvl w:val="1"/>
        <w:rPr>
          <w:rFonts w:ascii="宋体" w:hAnsi="宋体" w:cs="宋体"/>
          <w:sz w:val="21"/>
          <w:szCs w:val="21"/>
          <w:lang w:eastAsia="zh-CN"/>
        </w:rPr>
      </w:pPr>
      <w:r>
        <w:rPr>
          <w:rFonts w:hint="eastAsia" w:ascii="宋体" w:hAnsi="宋体" w:cs="宋体"/>
          <w:sz w:val="21"/>
          <w:szCs w:val="21"/>
          <w:lang w:eastAsia="zh-CN"/>
        </w:rPr>
        <w:t>商务文件因</w:t>
      </w:r>
      <w:r>
        <w:rPr>
          <w:rFonts w:ascii="宋体" w:hAnsi="宋体" w:cs="宋体"/>
          <w:sz w:val="21"/>
          <w:szCs w:val="21"/>
          <w:lang w:eastAsia="zh-CN"/>
        </w:rPr>
        <w:t>ECP2.0</w:t>
      </w:r>
      <w:r>
        <w:rPr>
          <w:rFonts w:hint="eastAsia" w:ascii="宋体" w:hAnsi="宋体" w:cs="宋体"/>
          <w:sz w:val="21"/>
          <w:szCs w:val="21"/>
          <w:lang w:eastAsia="zh-CN"/>
        </w:rPr>
        <w:t>限制10M，如商务文件在10M内，请上传完整文件；如不能控制在10M内，请在</w:t>
      </w:r>
      <w:r>
        <w:rPr>
          <w:rFonts w:ascii="宋体" w:hAnsi="宋体" w:cs="宋体"/>
          <w:sz w:val="21"/>
          <w:szCs w:val="21"/>
          <w:lang w:eastAsia="zh-CN"/>
        </w:rPr>
        <w:t>ECP2.0</w:t>
      </w:r>
      <w:r>
        <w:rPr>
          <w:rFonts w:hint="eastAsia" w:ascii="宋体" w:hAnsi="宋体" w:cs="宋体"/>
          <w:sz w:val="21"/>
          <w:szCs w:val="21"/>
          <w:lang w:eastAsia="zh-CN"/>
        </w:rPr>
        <w:t>上传商务响应文件文字描述部分，大小控制在10M以内；</w:t>
      </w:r>
    </w:p>
    <w:p>
      <w:pPr>
        <w:pStyle w:val="111"/>
        <w:keepNext w:val="0"/>
        <w:keepLines w:val="0"/>
        <w:pageBreakBefore w:val="0"/>
        <w:numPr>
          <w:ilvl w:val="0"/>
          <w:numId w:val="2"/>
        </w:numPr>
        <w:kinsoku/>
        <w:wordWrap/>
        <w:overflowPunct/>
        <w:bidi w:val="0"/>
        <w:spacing w:line="360" w:lineRule="auto"/>
        <w:ind w:left="1070" w:hanging="600" w:firstLineChars="0"/>
        <w:outlineLvl w:val="1"/>
        <w:rPr>
          <w:rFonts w:ascii="宋体" w:hAnsi="宋体" w:cs="宋体"/>
          <w:sz w:val="21"/>
          <w:szCs w:val="21"/>
          <w:lang w:eastAsia="zh-CN"/>
        </w:rPr>
      </w:pPr>
      <w:r>
        <w:rPr>
          <w:rFonts w:hint="eastAsia" w:ascii="宋体" w:hAnsi="宋体" w:cs="宋体"/>
          <w:sz w:val="21"/>
          <w:szCs w:val="21"/>
          <w:lang w:eastAsia="zh-CN"/>
        </w:rPr>
        <w:t>技术文件请上传完整技术文件，文件大小控制在60M以内；</w:t>
      </w:r>
    </w:p>
    <w:p>
      <w:pPr>
        <w:keepNext w:val="0"/>
        <w:keepLines w:val="0"/>
        <w:pageBreakBefore w:val="0"/>
        <w:kinsoku/>
        <w:wordWrap/>
        <w:overflowPunct/>
        <w:bidi w:val="0"/>
        <w:spacing w:line="360" w:lineRule="auto"/>
        <w:ind w:firstLine="413" w:firstLineChars="196"/>
        <w:outlineLvl w:val="1"/>
        <w:rPr>
          <w:rFonts w:ascii="宋体" w:hAnsi="宋体" w:cs="宋体"/>
          <w:b/>
          <w:sz w:val="21"/>
          <w:szCs w:val="21"/>
          <w:highlight w:val="none"/>
          <w:lang w:eastAsia="zh-CN"/>
        </w:rPr>
      </w:pPr>
      <w:r>
        <w:rPr>
          <w:rFonts w:hint="eastAsia" w:ascii="宋体" w:hAnsi="宋体" w:cs="宋体"/>
          <w:b/>
          <w:sz w:val="21"/>
          <w:szCs w:val="21"/>
          <w:highlight w:val="none"/>
          <w:lang w:eastAsia="zh-CN"/>
        </w:rPr>
        <w:t>方式二：</w:t>
      </w:r>
    </w:p>
    <w:p>
      <w:pPr>
        <w:keepNext w:val="0"/>
        <w:keepLines w:val="0"/>
        <w:pageBreakBefore w:val="0"/>
        <w:widowControl w:val="0"/>
        <w:kinsoku/>
        <w:wordWrap/>
        <w:overflowPunct/>
        <w:topLinePunct/>
        <w:autoSpaceDE/>
        <w:autoSpaceDN/>
        <w:bidi w:val="0"/>
        <w:adjustRightInd/>
        <w:snapToGrid/>
        <w:spacing w:line="360" w:lineRule="auto"/>
        <w:ind w:firstLine="420" w:firstLineChars="200"/>
        <w:textAlignment w:val="auto"/>
        <w:rPr>
          <w:lang w:eastAsia="zh-CN"/>
        </w:rPr>
      </w:pPr>
      <w:r>
        <w:rPr>
          <w:rFonts w:hint="eastAsia"/>
          <w:lang w:eastAsia="zh-CN"/>
        </w:rPr>
        <w:t>（1）本次招标只接受电子邮件方式递交的投标文件。</w:t>
      </w:r>
    </w:p>
    <w:p>
      <w:pPr>
        <w:keepNext w:val="0"/>
        <w:keepLines w:val="0"/>
        <w:pageBreakBefore w:val="0"/>
        <w:widowControl w:val="0"/>
        <w:kinsoku/>
        <w:wordWrap/>
        <w:overflowPunct/>
        <w:topLinePunct/>
        <w:autoSpaceDE/>
        <w:autoSpaceDN/>
        <w:bidi w:val="0"/>
        <w:adjustRightInd/>
        <w:snapToGrid/>
        <w:spacing w:line="360" w:lineRule="auto"/>
        <w:ind w:firstLine="422" w:firstLineChars="200"/>
        <w:textAlignment w:val="auto"/>
        <w:rPr>
          <w:b/>
          <w:bCs/>
          <w:lang w:eastAsia="zh-CN"/>
        </w:rPr>
      </w:pPr>
      <w:r>
        <w:rPr>
          <w:rFonts w:hint="eastAsia"/>
          <w:b/>
          <w:bCs/>
        </w:rPr>
        <w:t>（2）投标人应合理安排时间，确保指定</w:t>
      </w:r>
      <w:r>
        <w:rPr>
          <w:rFonts w:hint="eastAsia"/>
          <w:b/>
          <w:bCs/>
          <w:lang w:eastAsia="zh-CN"/>
        </w:rPr>
        <w:t>电子邮箱</w:t>
      </w:r>
      <w:r>
        <w:rPr>
          <w:rFonts w:hint="eastAsia"/>
          <w:b/>
          <w:bCs/>
        </w:rPr>
        <w:t>能在投标截止时间前收到</w:t>
      </w:r>
      <w:r>
        <w:rPr>
          <w:rFonts w:hint="eastAsia"/>
          <w:b/>
          <w:bCs/>
          <w:lang w:eastAsia="zh-CN"/>
        </w:rPr>
        <w:t>以电子邮件方式加密发送至的投标文件，招标代理机构邮箱：</w:t>
      </w:r>
      <w:r>
        <w:rPr>
          <w:rFonts w:hint="eastAsia"/>
          <w:b/>
          <w:bCs/>
          <w:lang w:eastAsia="zh-CN"/>
        </w:rPr>
        <w:fldChar w:fldCharType="begin"/>
      </w:r>
      <w:r>
        <w:rPr>
          <w:rFonts w:hint="eastAsia"/>
          <w:b/>
          <w:bCs/>
          <w:lang w:eastAsia="zh-CN"/>
        </w:rPr>
        <w:instrText xml:space="preserve"> HYPERLINK "mailto:hrzb15@163.com。" </w:instrText>
      </w:r>
      <w:r>
        <w:rPr>
          <w:rFonts w:hint="eastAsia"/>
          <w:b/>
          <w:bCs/>
          <w:lang w:eastAsia="zh-CN"/>
        </w:rPr>
        <w:fldChar w:fldCharType="separate"/>
      </w:r>
      <w:r>
        <w:rPr>
          <w:rStyle w:val="15"/>
          <w:rFonts w:hint="eastAsia" w:ascii="宋体" w:hAnsi="宋体" w:cs="宋体"/>
          <w:b/>
          <w:bCs/>
          <w:szCs w:val="21"/>
          <w:highlight w:val="none"/>
          <w:lang w:eastAsia="zh-CN"/>
        </w:rPr>
        <w:t>sdfzzb1@163.com。</w:t>
      </w:r>
      <w:r>
        <w:rPr>
          <w:rFonts w:hint="eastAsia"/>
          <w:b/>
          <w:bCs/>
          <w:lang w:eastAsia="zh-CN"/>
        </w:rPr>
        <w:fldChar w:fldCharType="end"/>
      </w:r>
      <w:r>
        <w:rPr>
          <w:rFonts w:hint="eastAsia"/>
          <w:b/>
          <w:bCs/>
          <w:lang w:eastAsia="zh-CN"/>
        </w:rPr>
        <w:t>如逾期未送达指定邮箱或投标文件损坏无法打开等其他对投标人成功投标带来的风险，由投标人自行承担。</w:t>
      </w:r>
    </w:p>
    <w:p>
      <w:pPr>
        <w:keepNext w:val="0"/>
        <w:keepLines w:val="0"/>
        <w:pageBreakBefore w:val="0"/>
        <w:widowControl w:val="0"/>
        <w:kinsoku/>
        <w:wordWrap/>
        <w:overflowPunct/>
        <w:topLinePunct/>
        <w:autoSpaceDE/>
        <w:autoSpaceDN/>
        <w:bidi w:val="0"/>
        <w:adjustRightInd/>
        <w:snapToGrid/>
        <w:spacing w:line="360" w:lineRule="auto"/>
        <w:ind w:firstLine="420" w:firstLineChars="200"/>
        <w:textAlignment w:val="auto"/>
        <w:rPr>
          <w:lang w:eastAsia="zh-CN"/>
        </w:rPr>
      </w:pPr>
      <w:r>
        <w:rPr>
          <w:rFonts w:hint="eastAsia"/>
          <w:lang w:eastAsia="zh-CN"/>
        </w:rPr>
        <w:t>（3）投标文件应按分包编制，</w:t>
      </w:r>
      <w:r>
        <w:rPr>
          <w:rFonts w:hint="eastAsia"/>
          <w:highlight w:val="red"/>
          <w:lang w:eastAsia="zh-CN"/>
        </w:rPr>
        <w:t>转成双层PDF格式</w:t>
      </w:r>
      <w:r>
        <w:rPr>
          <w:rFonts w:hint="eastAsia"/>
          <w:lang w:eastAsia="zh-CN"/>
        </w:rPr>
        <w:t>，并以分包为单位压缩、加密、发送至邮箱。一个分包一个邮件，同一个投标人不同分包的投标文件应通过不同封的邮件发送，且使用相同的压缩密码加密。同一分包的开标文件、商务文件、技术文件应分别压缩，并使用相同压缩密码加密，放于同一邮件内。压缩包格式应为.zip或.rar格式。邮件主题名称统一格式为：“【投标】</w:t>
      </w:r>
      <w:r>
        <w:rPr>
          <w:rFonts w:hint="eastAsia"/>
          <w:lang w:val="en-US" w:eastAsia="zh-CN"/>
        </w:rPr>
        <w:t>综合工程+</w:t>
      </w:r>
      <w:r>
        <w:rPr>
          <w:rFonts w:hint="eastAsia"/>
          <w:lang w:eastAsia="zh-CN"/>
        </w:rPr>
        <w:t>包号</w:t>
      </w:r>
      <w:r>
        <w:rPr>
          <w:rFonts w:hint="eastAsia"/>
          <w:lang w:val="en-US" w:eastAsia="zh-CN"/>
        </w:rPr>
        <w:t>+</w:t>
      </w:r>
      <w:r>
        <w:rPr>
          <w:rFonts w:hint="eastAsia"/>
          <w:lang w:eastAsia="zh-CN"/>
        </w:rPr>
        <w:t>投标人单位全称”，邮件内含各附件名称格式分别为：“</w:t>
      </w:r>
      <w:r>
        <w:rPr>
          <w:rFonts w:hint="eastAsia"/>
          <w:lang w:val="en-US" w:eastAsia="zh-CN"/>
        </w:rPr>
        <w:t>综合工程+</w:t>
      </w:r>
      <w:r>
        <w:rPr>
          <w:rFonts w:hint="eastAsia"/>
          <w:lang w:eastAsia="zh-CN"/>
        </w:rPr>
        <w:t>包号</w:t>
      </w:r>
      <w:r>
        <w:rPr>
          <w:rFonts w:hint="eastAsia"/>
          <w:lang w:val="en-US" w:eastAsia="zh-CN"/>
        </w:rPr>
        <w:t>+</w:t>
      </w:r>
      <w:r>
        <w:rPr>
          <w:rFonts w:hint="eastAsia"/>
          <w:lang w:eastAsia="zh-CN"/>
        </w:rPr>
        <w:t>投标人单位全称</w:t>
      </w:r>
      <w:r>
        <w:rPr>
          <w:rFonts w:hint="eastAsia"/>
          <w:lang w:val="en-US" w:eastAsia="zh-CN"/>
        </w:rPr>
        <w:t>+</w:t>
      </w:r>
      <w:r>
        <w:rPr>
          <w:rFonts w:hint="eastAsia"/>
          <w:lang w:eastAsia="zh-CN"/>
        </w:rPr>
        <w:t>开标文件”、“</w:t>
      </w:r>
      <w:r>
        <w:rPr>
          <w:rFonts w:hint="eastAsia"/>
          <w:lang w:val="en-US" w:eastAsia="zh-CN"/>
        </w:rPr>
        <w:t>综合工程+</w:t>
      </w:r>
      <w:r>
        <w:rPr>
          <w:rFonts w:hint="eastAsia"/>
          <w:lang w:eastAsia="zh-CN"/>
        </w:rPr>
        <w:t>包号</w:t>
      </w:r>
      <w:r>
        <w:rPr>
          <w:rFonts w:hint="eastAsia"/>
          <w:lang w:val="en-US" w:eastAsia="zh-CN"/>
        </w:rPr>
        <w:t>+</w:t>
      </w:r>
      <w:r>
        <w:rPr>
          <w:rFonts w:hint="eastAsia"/>
          <w:lang w:eastAsia="zh-CN"/>
        </w:rPr>
        <w:t>投标人单位全称</w:t>
      </w:r>
      <w:r>
        <w:rPr>
          <w:rFonts w:hint="eastAsia"/>
          <w:lang w:val="en-US" w:eastAsia="zh-CN"/>
        </w:rPr>
        <w:t>+</w:t>
      </w:r>
      <w:r>
        <w:rPr>
          <w:rFonts w:hint="eastAsia"/>
          <w:lang w:eastAsia="zh-CN"/>
        </w:rPr>
        <w:t>商务文件”、“</w:t>
      </w:r>
      <w:r>
        <w:rPr>
          <w:rFonts w:hint="eastAsia"/>
          <w:lang w:val="en-US" w:eastAsia="zh-CN"/>
        </w:rPr>
        <w:t>综合工程+</w:t>
      </w:r>
      <w:r>
        <w:rPr>
          <w:rFonts w:hint="eastAsia"/>
          <w:lang w:eastAsia="zh-CN"/>
        </w:rPr>
        <w:t>包号</w:t>
      </w:r>
      <w:r>
        <w:rPr>
          <w:rFonts w:hint="eastAsia"/>
          <w:lang w:val="en-US" w:eastAsia="zh-CN"/>
        </w:rPr>
        <w:t>+</w:t>
      </w:r>
      <w:r>
        <w:rPr>
          <w:rFonts w:hint="eastAsia"/>
          <w:lang w:eastAsia="zh-CN"/>
        </w:rPr>
        <w:t>投标人单位全称</w:t>
      </w:r>
      <w:r>
        <w:rPr>
          <w:rFonts w:hint="eastAsia"/>
          <w:lang w:val="en-US" w:eastAsia="zh-CN"/>
        </w:rPr>
        <w:t>+</w:t>
      </w:r>
      <w:r>
        <w:rPr>
          <w:rFonts w:hint="eastAsia"/>
          <w:lang w:eastAsia="zh-CN"/>
        </w:rPr>
        <w:t>技术文件”。投标文件电子版提交前，须确认该电子版内容解密后可读。对于不可读取的电子版内容将不作评审。（若电子版内容在随机选取的不少于三台电脑上均无法打开，则视为其电子版文件不可读取）。投标文件是否完成递交以收到回复邮件（非邮件系统自动回复、已读回执等）为准。</w:t>
      </w:r>
    </w:p>
    <w:p>
      <w:pPr>
        <w:keepNext w:val="0"/>
        <w:keepLines w:val="0"/>
        <w:pageBreakBefore w:val="0"/>
        <w:widowControl w:val="0"/>
        <w:kinsoku/>
        <w:wordWrap/>
        <w:overflowPunct/>
        <w:topLinePunct/>
        <w:autoSpaceDE/>
        <w:autoSpaceDN/>
        <w:bidi w:val="0"/>
        <w:adjustRightInd/>
        <w:snapToGrid/>
        <w:spacing w:line="360" w:lineRule="auto"/>
        <w:ind w:firstLine="420" w:firstLineChars="200"/>
        <w:textAlignment w:val="auto"/>
        <w:rPr>
          <w:lang w:eastAsia="zh-CN"/>
        </w:rPr>
      </w:pPr>
      <w:r>
        <w:rPr>
          <w:rFonts w:hint="eastAsia"/>
          <w:lang w:eastAsia="zh-CN"/>
        </w:rPr>
        <w:t>(4)同一投标人不要多人分别用不同邮箱发送投标文件。同一投标人如因修改造成多次发送，评标时将以投标截止时间之前最后一次发送的投标文件为准。</w:t>
      </w:r>
    </w:p>
    <w:p>
      <w:pPr>
        <w:keepNext w:val="0"/>
        <w:keepLines w:val="0"/>
        <w:pageBreakBefore w:val="0"/>
        <w:widowControl w:val="0"/>
        <w:kinsoku/>
        <w:wordWrap/>
        <w:overflowPunct/>
        <w:topLinePunct/>
        <w:autoSpaceDE/>
        <w:autoSpaceDN/>
        <w:bidi w:val="0"/>
        <w:adjustRightInd/>
        <w:snapToGrid/>
        <w:spacing w:line="360" w:lineRule="auto"/>
        <w:ind w:firstLine="420" w:firstLineChars="200"/>
        <w:textAlignment w:val="auto"/>
        <w:rPr>
          <w:highlight w:val="yellow"/>
        </w:rPr>
      </w:pPr>
      <w:r>
        <w:rPr>
          <w:rFonts w:hint="eastAsia"/>
          <w:highlight w:val="yellow"/>
        </w:rPr>
        <w:t>(</w:t>
      </w:r>
      <w:r>
        <w:rPr>
          <w:rFonts w:hint="eastAsia"/>
          <w:highlight w:val="yellow"/>
          <w:lang w:eastAsia="zh-CN"/>
        </w:rPr>
        <w:t>5</w:t>
      </w:r>
      <w:r>
        <w:rPr>
          <w:rFonts w:hint="eastAsia"/>
          <w:highlight w:val="yellow"/>
        </w:rPr>
        <w:t>)投标截止时间过后</w:t>
      </w:r>
      <w:r>
        <w:rPr>
          <w:rFonts w:hint="eastAsia"/>
          <w:highlight w:val="yellow"/>
          <w:lang w:eastAsia="zh-CN"/>
        </w:rPr>
        <w:t>10分钟内（2023年02月21日09:05至09:15，北京时间），投</w:t>
      </w:r>
      <w:r>
        <w:rPr>
          <w:rFonts w:hint="eastAsia"/>
          <w:highlight w:val="yellow"/>
        </w:rPr>
        <w:t>标人应通过与发送上述投标文件相同的邮箱将投标文件正确密码发送至指定邮箱</w:t>
      </w:r>
      <w:r>
        <w:rPr>
          <w:rFonts w:hint="eastAsia"/>
          <w:highlight w:val="yellow"/>
          <w:lang w:eastAsia="zh-CN"/>
        </w:rPr>
        <w:t>sdfzzb1@163.com</w:t>
      </w:r>
      <w:r>
        <w:rPr>
          <w:rFonts w:hint="eastAsia"/>
          <w:highlight w:val="yellow"/>
        </w:rPr>
        <w:t>。</w:t>
      </w:r>
    </w:p>
    <w:p>
      <w:pPr>
        <w:keepNext w:val="0"/>
        <w:keepLines w:val="0"/>
        <w:pageBreakBefore w:val="0"/>
        <w:widowControl w:val="0"/>
        <w:kinsoku/>
        <w:wordWrap/>
        <w:overflowPunct/>
        <w:topLinePunct/>
        <w:autoSpaceDE/>
        <w:autoSpaceDN/>
        <w:bidi w:val="0"/>
        <w:adjustRightInd/>
        <w:snapToGrid/>
        <w:spacing w:line="360" w:lineRule="auto"/>
        <w:ind w:firstLine="420" w:firstLineChars="200"/>
        <w:textAlignment w:val="auto"/>
        <w:rPr>
          <w:lang w:eastAsia="zh-CN"/>
        </w:rPr>
      </w:pPr>
      <w:r>
        <w:rPr>
          <w:rFonts w:hint="eastAsia"/>
          <w:lang w:eastAsia="zh-CN"/>
        </w:rPr>
        <w:t>（</w:t>
      </w:r>
      <w:r>
        <w:rPr>
          <w:rFonts w:hint="eastAsia"/>
          <w:lang w:val="en-US" w:eastAsia="zh-CN"/>
        </w:rPr>
        <w:t>6</w:t>
      </w:r>
      <w:r>
        <w:rPr>
          <w:rFonts w:hint="eastAsia"/>
          <w:lang w:eastAsia="zh-CN"/>
        </w:rPr>
        <w:t>）开标时，在监督人员监督下检查投标文件加密情况，并统一将各投标人密码信息解密。若投标人的投标文件未加密，或者投标人发送错误密码以及未按照要求发送密码，导致投标文件无法解密的，均视为无效投标文件。</w:t>
      </w:r>
    </w:p>
    <w:p>
      <w:pPr>
        <w:keepNext w:val="0"/>
        <w:keepLines w:val="0"/>
        <w:pageBreakBefore w:val="0"/>
        <w:widowControl w:val="0"/>
        <w:kinsoku/>
        <w:wordWrap/>
        <w:overflowPunct/>
        <w:topLinePunct/>
        <w:autoSpaceDE/>
        <w:autoSpaceDN/>
        <w:bidi w:val="0"/>
        <w:adjustRightInd/>
        <w:snapToGrid/>
        <w:spacing w:line="360" w:lineRule="auto"/>
        <w:ind w:firstLine="420" w:firstLineChars="200"/>
        <w:textAlignment w:val="auto"/>
        <w:rPr>
          <w:lang w:eastAsia="zh-CN"/>
        </w:rPr>
      </w:pPr>
      <w:r>
        <w:rPr>
          <w:rFonts w:hint="eastAsia"/>
          <w:lang w:val="en-US" w:eastAsia="zh-CN"/>
        </w:rPr>
        <w:t>5.3</w:t>
      </w:r>
      <w:r>
        <w:rPr>
          <w:rFonts w:hint="eastAsia"/>
          <w:lang w:eastAsia="zh-CN"/>
        </w:rPr>
        <w:t>投标文件递交</w:t>
      </w:r>
      <w:r>
        <w:rPr>
          <w:lang w:eastAsia="zh-CN"/>
        </w:rPr>
        <w:t>的截止时间</w:t>
      </w:r>
      <w:r>
        <w:rPr>
          <w:rFonts w:hint="eastAsia"/>
          <w:lang w:eastAsia="zh-CN"/>
        </w:rPr>
        <w:t>（投标截止时间、开标时间）</w:t>
      </w:r>
      <w:r>
        <w:rPr>
          <w:lang w:eastAsia="zh-CN"/>
        </w:rPr>
        <w:t>为：</w:t>
      </w:r>
      <w:r>
        <w:rPr>
          <w:rFonts w:hint="eastAsia"/>
          <w:highlight w:val="yellow"/>
          <w:lang w:val="en-US" w:eastAsia="zh-CN"/>
        </w:rPr>
        <w:t>2023年02月21日09:05</w:t>
      </w:r>
      <w:r>
        <w:rPr>
          <w:rFonts w:hint="eastAsia"/>
          <w:highlight w:val="yellow"/>
          <w:lang w:eastAsia="zh-CN"/>
        </w:rPr>
        <w:t>（北京时间）</w:t>
      </w:r>
      <w:r>
        <w:rPr>
          <w:rFonts w:hint="eastAsia"/>
          <w:lang w:eastAsia="zh-CN"/>
        </w:rPr>
        <w:t>。（如招标人根据中央和地方政府的新型冠状病毒肺炎疫情防控工作要求，并结合国务院办公厅及地方政府复工复产工作安排等通知，对该时间进行调整，将在实际的递交截止时间前至少5日另行通知投标人）。</w:t>
      </w:r>
    </w:p>
    <w:p>
      <w:pPr>
        <w:keepNext w:val="0"/>
        <w:keepLines w:val="0"/>
        <w:pageBreakBefore w:val="0"/>
        <w:widowControl w:val="0"/>
        <w:kinsoku/>
        <w:wordWrap/>
        <w:overflowPunct/>
        <w:topLinePunct/>
        <w:autoSpaceDE/>
        <w:autoSpaceDN/>
        <w:bidi w:val="0"/>
        <w:adjustRightInd/>
        <w:snapToGrid/>
        <w:spacing w:line="360" w:lineRule="auto"/>
        <w:ind w:firstLine="420" w:firstLineChars="200"/>
        <w:textAlignment w:val="auto"/>
        <w:rPr>
          <w:lang w:eastAsia="zh-CN"/>
        </w:rPr>
      </w:pPr>
      <w:r>
        <w:rPr>
          <w:rFonts w:hint="eastAsia"/>
          <w:lang w:val="en-US" w:eastAsia="zh-CN"/>
        </w:rPr>
        <w:t>6</w:t>
      </w:r>
      <w:r>
        <w:rPr>
          <w:rFonts w:hint="eastAsia"/>
          <w:lang w:eastAsia="zh-CN"/>
        </w:rPr>
        <w:t>.招标代理机构在投标截止时间后在国家电网电子商务平台（ECP2.0）-电工交易专区完成开标操作，维护投标人价格查看时间和确认时间，各投标人可在开标后24小时内自行在国家电网电子商务平台（ECP2.0）-电工交易专区查看开标结果。</w:t>
      </w:r>
    </w:p>
    <w:p>
      <w:pPr>
        <w:keepNext w:val="0"/>
        <w:keepLines w:val="0"/>
        <w:pageBreakBefore w:val="0"/>
        <w:kinsoku/>
        <w:wordWrap/>
        <w:overflowPunct/>
        <w:bidi w:val="0"/>
        <w:adjustRightInd w:val="0"/>
        <w:snapToGrid w:val="0"/>
        <w:spacing w:line="360" w:lineRule="auto"/>
        <w:ind w:firstLine="422" w:firstLineChars="200"/>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6.1【重要】本次招标不采用现场递交方式，采用网络提交方式。具体递交流程如下：</w:t>
      </w:r>
    </w:p>
    <w:p>
      <w:pPr>
        <w:keepNext w:val="0"/>
        <w:keepLines w:val="0"/>
        <w:pageBreakBefore w:val="0"/>
        <w:kinsoku/>
        <w:wordWrap/>
        <w:overflowPunct/>
        <w:bidi w:val="0"/>
        <w:adjustRightInd w:val="0"/>
        <w:snapToGrid w:val="0"/>
        <w:spacing w:line="360" w:lineRule="auto"/>
        <w:ind w:firstLine="420" w:firstLineChars="200"/>
        <w:rPr>
          <w:rFonts w:hint="eastAsia" w:ascii="宋体" w:hAnsi="宋体" w:eastAsia="宋体" w:cs="宋体"/>
          <w:color w:val="auto"/>
          <w:kern w:val="0"/>
          <w:sz w:val="21"/>
          <w:szCs w:val="21"/>
          <w:highlight w:val="none"/>
          <w:lang w:val="en-US" w:eastAsia="zh-CN" w:bidi="ar-SA"/>
        </w:rPr>
      </w:pPr>
      <w:r>
        <w:rPr>
          <w:rFonts w:hint="eastAsia" w:ascii="宋体" w:hAnsi="宋体" w:cs="宋体"/>
          <w:color w:val="auto"/>
          <w:kern w:val="0"/>
          <w:sz w:val="21"/>
          <w:szCs w:val="21"/>
          <w:highlight w:val="none"/>
          <w:lang w:val="en-US" w:eastAsia="zh-CN" w:bidi="ar-SA"/>
        </w:rPr>
        <w:t>6.1.1</w:t>
      </w:r>
      <w:r>
        <w:rPr>
          <w:rFonts w:hint="eastAsia" w:ascii="宋体" w:hAnsi="宋体" w:eastAsia="宋体" w:cs="宋体"/>
          <w:color w:val="auto"/>
          <w:kern w:val="0"/>
          <w:sz w:val="21"/>
          <w:szCs w:val="21"/>
          <w:highlight w:val="none"/>
          <w:lang w:val="en-US" w:eastAsia="zh-CN" w:bidi="ar-SA"/>
        </w:rPr>
        <w:t>电子商务平台-电工交易专区电子投标文件开标、商务、技术投标文件上传说明</w:t>
      </w:r>
    </w:p>
    <w:p>
      <w:pPr>
        <w:keepNext w:val="0"/>
        <w:keepLines w:val="0"/>
        <w:pageBreakBefore w:val="0"/>
        <w:kinsoku/>
        <w:wordWrap/>
        <w:overflowPunct/>
        <w:bidi w:val="0"/>
        <w:adjustRightInd/>
        <w:spacing w:line="360" w:lineRule="auto"/>
        <w:ind w:firstLine="420" w:firstLineChars="200"/>
        <w:rPr>
          <w:rFonts w:hint="eastAsia" w:ascii="宋体" w:hAnsi="宋体" w:eastAsia="宋体" w:cs="宋体"/>
          <w:sz w:val="21"/>
          <w:szCs w:val="21"/>
        </w:rPr>
      </w:pPr>
      <w:r>
        <w:rPr>
          <w:rFonts w:hint="eastAsia" w:ascii="宋体" w:hAnsi="宋体" w:eastAsia="宋体" w:cs="宋体"/>
          <w:color w:val="auto"/>
          <w:sz w:val="21"/>
          <w:szCs w:val="21"/>
        </w:rPr>
        <w:t>（1）</w:t>
      </w:r>
      <w:r>
        <w:rPr>
          <w:rFonts w:hint="eastAsia" w:ascii="宋体" w:hAnsi="宋体" w:eastAsia="宋体" w:cs="宋体"/>
          <w:color w:val="auto"/>
          <w:sz w:val="21"/>
          <w:szCs w:val="21"/>
          <w:lang w:val="en-US" w:eastAsia="zh-CN"/>
        </w:rPr>
        <w:t>价格文件：</w:t>
      </w:r>
    </w:p>
    <w:p>
      <w:pPr>
        <w:pStyle w:val="5"/>
        <w:keepNext w:val="0"/>
        <w:keepLines w:val="0"/>
        <w:pageBreakBefore w:val="0"/>
        <w:kinsoku/>
        <w:wordWrap/>
        <w:overflowPunct/>
        <w:bidi w:val="0"/>
        <w:spacing w:line="360" w:lineRule="auto"/>
        <w:jc w:val="center"/>
        <w:rPr>
          <w:rFonts w:hint="eastAsia" w:ascii="宋体" w:hAnsi="宋体" w:eastAsia="宋体" w:cs="宋体"/>
        </w:rPr>
      </w:pPr>
      <w:r>
        <w:rPr>
          <w:rFonts w:hint="eastAsia" w:ascii="宋体" w:hAnsi="宋体" w:eastAsia="宋体" w:cs="宋体"/>
          <w:lang w:eastAsia="zh-CN"/>
        </w:rPr>
        <w:drawing>
          <wp:inline distT="0" distB="0" distL="114300" distR="114300">
            <wp:extent cx="5266690" cy="2291715"/>
            <wp:effectExtent l="0" t="0" r="10160" b="13335"/>
            <wp:docPr id="1" name="图片 1"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片1"/>
                    <pic:cNvPicPr>
                      <a:picLocks noChangeAspect="1"/>
                    </pic:cNvPicPr>
                  </pic:nvPicPr>
                  <pic:blipFill>
                    <a:blip r:embed="rId8"/>
                    <a:stretch>
                      <a:fillRect/>
                    </a:stretch>
                  </pic:blipFill>
                  <pic:spPr>
                    <a:xfrm>
                      <a:off x="0" y="0"/>
                      <a:ext cx="5266690" cy="2291715"/>
                    </a:xfrm>
                    <a:prstGeom prst="rect">
                      <a:avLst/>
                    </a:prstGeom>
                    <a:noFill/>
                    <a:ln>
                      <a:noFill/>
                    </a:ln>
                  </pic:spPr>
                </pic:pic>
              </a:graphicData>
            </a:graphic>
          </wp:inline>
        </w:drawing>
      </w:r>
    </w:p>
    <w:p>
      <w:pPr>
        <w:pStyle w:val="5"/>
        <w:keepNext w:val="0"/>
        <w:keepLines w:val="0"/>
        <w:pageBreakBefore w:val="0"/>
        <w:kinsoku/>
        <w:wordWrap/>
        <w:overflowPunct/>
        <w:bidi w:val="0"/>
        <w:spacing w:line="360" w:lineRule="auto"/>
        <w:jc w:val="center"/>
        <w:rPr>
          <w:rFonts w:hint="eastAsia" w:ascii="宋体" w:hAnsi="宋体" w:eastAsia="宋体" w:cs="宋体"/>
          <w:lang w:eastAsia="zh-CN"/>
        </w:rPr>
      </w:pPr>
      <w:r>
        <w:rPr>
          <w:rFonts w:hint="eastAsia" w:ascii="宋体" w:hAnsi="宋体" w:eastAsia="宋体" w:cs="宋体"/>
          <w:lang w:eastAsia="zh-CN"/>
        </w:rPr>
        <w:drawing>
          <wp:inline distT="0" distB="0" distL="114300" distR="114300">
            <wp:extent cx="5262245" cy="2864485"/>
            <wp:effectExtent l="0" t="0" r="14605" b="12065"/>
            <wp:docPr id="2" name="图片 2" descr="图片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片2"/>
                    <pic:cNvPicPr>
                      <a:picLocks noChangeAspect="1"/>
                    </pic:cNvPicPr>
                  </pic:nvPicPr>
                  <pic:blipFill>
                    <a:blip r:embed="rId9"/>
                    <a:stretch>
                      <a:fillRect/>
                    </a:stretch>
                  </pic:blipFill>
                  <pic:spPr>
                    <a:xfrm>
                      <a:off x="0" y="0"/>
                      <a:ext cx="5262245" cy="2864485"/>
                    </a:xfrm>
                    <a:prstGeom prst="rect">
                      <a:avLst/>
                    </a:prstGeom>
                    <a:noFill/>
                    <a:ln>
                      <a:noFill/>
                    </a:ln>
                  </pic:spPr>
                </pic:pic>
              </a:graphicData>
            </a:graphic>
          </wp:inline>
        </w:drawing>
      </w:r>
    </w:p>
    <w:p>
      <w:pPr>
        <w:pStyle w:val="5"/>
        <w:keepNext w:val="0"/>
        <w:keepLines w:val="0"/>
        <w:pageBreakBefore w:val="0"/>
        <w:kinsoku/>
        <w:wordWrap/>
        <w:overflowPunct/>
        <w:bidi w:val="0"/>
        <w:spacing w:line="360" w:lineRule="auto"/>
        <w:ind w:firstLine="420" w:firstLineChars="200"/>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重要提示：离线投标工具价格端口首先维护“投标文件基本信息”；然后进行报价，在已标价货物清单行报价-单价分析表中的“未含税报价-单价”根据招标文件附件《已标价货物清单行报价暨投标报价汇总表》的合计填写单价或单价和，税率按招标文件要求填写；维护单价分析表中将《已标价货物清单行报价暨投标报价汇总表》与开标文件打包压缩后上传，不需要设置密码。</w:t>
      </w:r>
    </w:p>
    <w:p>
      <w:pPr>
        <w:keepNext w:val="0"/>
        <w:keepLines w:val="0"/>
        <w:pageBreakBefore w:val="0"/>
        <w:numPr>
          <w:ilvl w:val="0"/>
          <w:numId w:val="0"/>
        </w:numPr>
        <w:kinsoku/>
        <w:wordWrap/>
        <w:overflowPunct/>
        <w:bidi w:val="0"/>
        <w:adjustRightInd/>
        <w:spacing w:line="360" w:lineRule="auto"/>
        <w:ind w:firstLine="420" w:firstLineChars="200"/>
        <w:jc w:val="left"/>
        <w:rPr>
          <w:rFonts w:hint="eastAsia" w:ascii="宋体" w:hAnsi="宋体" w:eastAsia="宋体" w:cs="宋体"/>
          <w:sz w:val="21"/>
          <w:szCs w:val="21"/>
          <w:lang w:val="en-US" w:eastAsia="zh-CN"/>
        </w:rPr>
      </w:pPr>
      <w:r>
        <w:rPr>
          <w:rFonts w:hint="eastAsia" w:ascii="宋体" w:hAnsi="宋体" w:eastAsia="宋体" w:cs="宋体"/>
          <w:color w:val="auto"/>
          <w:kern w:val="0"/>
          <w:sz w:val="21"/>
          <w:szCs w:val="21"/>
          <w:highlight w:val="none"/>
          <w:lang w:val="en-US" w:eastAsia="zh-CN" w:bidi="ar-SA"/>
        </w:rPr>
        <w:t>（2）商务文件：按包制作为docx格式，按包批量在“投标工具-商务部分-维护商务部分-补充文件”端口上传。同一分标的每包文件内容应一致。</w:t>
      </w:r>
    </w:p>
    <w:p>
      <w:pPr>
        <w:pStyle w:val="5"/>
        <w:keepNext w:val="0"/>
        <w:keepLines w:val="0"/>
        <w:pageBreakBefore w:val="0"/>
        <w:kinsoku/>
        <w:wordWrap/>
        <w:overflowPunct/>
        <w:bidi w:val="0"/>
        <w:spacing w:line="360" w:lineRule="auto"/>
        <w:jc w:val="center"/>
        <w:rPr>
          <w:rFonts w:hint="eastAsia" w:ascii="宋体" w:hAnsi="宋体" w:eastAsia="宋体" w:cs="宋体"/>
          <w:lang w:eastAsia="zh-CN"/>
        </w:rPr>
      </w:pPr>
      <w:r>
        <w:rPr>
          <w:rFonts w:hint="eastAsia" w:ascii="宋体" w:hAnsi="宋体" w:eastAsia="宋体" w:cs="宋体"/>
          <w:lang w:eastAsia="zh-CN"/>
        </w:rPr>
        <w:drawing>
          <wp:inline distT="0" distB="0" distL="114300" distR="114300">
            <wp:extent cx="5262245" cy="2814955"/>
            <wp:effectExtent l="0" t="0" r="14605" b="4445"/>
            <wp:docPr id="3" name="图片 3" descr="图片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图片3"/>
                    <pic:cNvPicPr>
                      <a:picLocks noChangeAspect="1"/>
                    </pic:cNvPicPr>
                  </pic:nvPicPr>
                  <pic:blipFill>
                    <a:blip r:embed="rId10"/>
                    <a:stretch>
                      <a:fillRect/>
                    </a:stretch>
                  </pic:blipFill>
                  <pic:spPr>
                    <a:xfrm>
                      <a:off x="0" y="0"/>
                      <a:ext cx="5262245" cy="2814955"/>
                    </a:xfrm>
                    <a:prstGeom prst="rect">
                      <a:avLst/>
                    </a:prstGeom>
                    <a:noFill/>
                    <a:ln>
                      <a:noFill/>
                    </a:ln>
                  </pic:spPr>
                </pic:pic>
              </a:graphicData>
            </a:graphic>
          </wp:inline>
        </w:drawing>
      </w:r>
    </w:p>
    <w:p>
      <w:pPr>
        <w:pStyle w:val="5"/>
        <w:keepNext w:val="0"/>
        <w:keepLines w:val="0"/>
        <w:pageBreakBefore w:val="0"/>
        <w:kinsoku/>
        <w:wordWrap/>
        <w:overflowPunct/>
        <w:bidi w:val="0"/>
        <w:spacing w:line="360" w:lineRule="auto"/>
        <w:ind w:firstLine="420" w:firstLineChars="200"/>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重要提示：离线投标工具商务端口中的“补充文件”仅支持上传docx文件，“信用中国”和“国家企业信用信息公示系统”查询结果为pdf版本，投标人应自行将其转换为图片，再制作为word格式；系统最大容量为单包10M，若投标文件超过单包最大容量，建议投标人首先应用word自带压缩功能对投标文件进行压缩，操作步骤：文件另存为-工具-压缩图片，选择屏幕（150ppi）的图片质量，然后将word另存为一个较小的docx文件上传。请投标人压缩文件同时保证清晰度，因清晰度不足无法辨认造成对投标人不利的结果，后果由投标人自行承担。</w:t>
      </w:r>
    </w:p>
    <w:p>
      <w:pPr>
        <w:keepNext w:val="0"/>
        <w:keepLines w:val="0"/>
        <w:pageBreakBefore w:val="0"/>
        <w:kinsoku/>
        <w:wordWrap/>
        <w:overflowPunct/>
        <w:bidi w:val="0"/>
        <w:adjustRightInd/>
        <w:spacing w:line="360" w:lineRule="auto"/>
        <w:ind w:firstLine="420" w:firstLineChars="200"/>
        <w:jc w:val="left"/>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（3）技术文件：按包制作为docx格式，按包批量在按包批量在“投标工具-其他技术应答文件-维护其他技术应答文件-专用技术规范要求的图纸”端口上传。</w:t>
      </w:r>
    </w:p>
    <w:p>
      <w:pPr>
        <w:pStyle w:val="5"/>
        <w:keepNext w:val="0"/>
        <w:keepLines w:val="0"/>
        <w:pageBreakBefore w:val="0"/>
        <w:kinsoku/>
        <w:wordWrap/>
        <w:overflowPunct/>
        <w:bidi w:val="0"/>
        <w:spacing w:line="360" w:lineRule="auto"/>
        <w:jc w:val="center"/>
        <w:rPr>
          <w:rFonts w:hint="eastAsia" w:ascii="宋体" w:hAnsi="宋体" w:eastAsia="宋体" w:cs="宋体"/>
        </w:rPr>
      </w:pPr>
      <w:r>
        <w:rPr>
          <w:rFonts w:hint="eastAsia" w:ascii="宋体" w:hAnsi="宋体" w:eastAsia="宋体" w:cs="宋体"/>
          <w:lang w:eastAsia="zh-CN"/>
        </w:rPr>
        <w:drawing>
          <wp:inline distT="0" distB="0" distL="114300" distR="114300">
            <wp:extent cx="5262245" cy="2833370"/>
            <wp:effectExtent l="0" t="0" r="14605" b="5080"/>
            <wp:docPr id="4" name="图片 4" descr="图片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图片4"/>
                    <pic:cNvPicPr>
                      <a:picLocks noChangeAspect="1"/>
                    </pic:cNvPicPr>
                  </pic:nvPicPr>
                  <pic:blipFill>
                    <a:blip r:embed="rId11"/>
                    <a:stretch>
                      <a:fillRect/>
                    </a:stretch>
                  </pic:blipFill>
                  <pic:spPr>
                    <a:xfrm>
                      <a:off x="0" y="0"/>
                      <a:ext cx="5262245" cy="2833370"/>
                    </a:xfrm>
                    <a:prstGeom prst="rect">
                      <a:avLst/>
                    </a:prstGeom>
                    <a:noFill/>
                    <a:ln>
                      <a:noFill/>
                    </a:ln>
                  </pic:spPr>
                </pic:pic>
              </a:graphicData>
            </a:graphic>
          </wp:inline>
        </w:drawing>
      </w:r>
    </w:p>
    <w:p>
      <w:pPr>
        <w:pStyle w:val="5"/>
        <w:keepNext w:val="0"/>
        <w:keepLines w:val="0"/>
        <w:pageBreakBefore w:val="0"/>
        <w:kinsoku/>
        <w:wordWrap/>
        <w:overflowPunct/>
        <w:bidi w:val="0"/>
        <w:spacing w:line="360" w:lineRule="auto"/>
        <w:ind w:firstLine="420" w:firstLineChars="200"/>
        <w:rPr>
          <w:rFonts w:hint="eastAsia" w:ascii="宋体" w:hAnsi="宋体" w:eastAsia="宋体" w:cs="宋体"/>
          <w:sz w:val="21"/>
          <w:szCs w:val="21"/>
        </w:rPr>
      </w:pPr>
      <w:r>
        <w:rPr>
          <w:rFonts w:hint="eastAsia" w:ascii="宋体" w:hAnsi="宋体" w:eastAsia="宋体" w:cs="宋体"/>
          <w:color w:val="auto"/>
          <w:kern w:val="0"/>
          <w:sz w:val="21"/>
          <w:szCs w:val="21"/>
          <w:highlight w:val="none"/>
          <w:lang w:val="en-US" w:eastAsia="zh-CN" w:bidi="ar-SA"/>
        </w:rPr>
        <w:t>重要提示：离线投标工具技术文件容量为单包60M，若投标文件超过单包最大容量，建议投标人首先应用word自带压缩功能对投标文件进行压缩，操作步骤：文件另存为-工具-压缩图片，选择屏幕（150ppi）的图片质量，然后将word另存为一个较小的docx文件上传。请投标人压缩文件同时保证清晰度，因清晰度不足无法辨认造成对投标人不利的结果，后果由投标人自行承担。</w:t>
      </w:r>
    </w:p>
    <w:p>
      <w:pPr>
        <w:pStyle w:val="5"/>
        <w:keepNext w:val="0"/>
        <w:keepLines w:val="0"/>
        <w:pageBreakBefore w:val="0"/>
        <w:kinsoku/>
        <w:wordWrap/>
        <w:overflowPunct/>
        <w:bidi w:val="0"/>
        <w:spacing w:line="360" w:lineRule="auto"/>
        <w:rPr>
          <w:rFonts w:hint="eastAsia"/>
          <w:sz w:val="21"/>
          <w:szCs w:val="21"/>
        </w:rPr>
      </w:pPr>
      <w:r>
        <w:rPr>
          <w:rFonts w:hint="eastAsia" w:ascii="宋体" w:hAnsi="宋体" w:cs="宋体"/>
          <w:b/>
          <w:bCs/>
          <w:color w:val="auto"/>
          <w:kern w:val="0"/>
          <w:sz w:val="21"/>
          <w:szCs w:val="21"/>
          <w:highlight w:val="none"/>
          <w:lang w:val="en-US" w:eastAsia="zh-CN" w:bidi="ar-SA"/>
        </w:rPr>
        <w:t>6.2</w:t>
      </w:r>
      <w:r>
        <w:rPr>
          <w:rFonts w:hint="eastAsia" w:ascii="宋体" w:hAnsi="宋体" w:eastAsia="宋体" w:cs="宋体"/>
          <w:b/>
          <w:bCs/>
          <w:color w:val="auto"/>
          <w:kern w:val="0"/>
          <w:sz w:val="21"/>
          <w:szCs w:val="21"/>
          <w:highlight w:val="none"/>
          <w:lang w:val="en-US" w:eastAsia="zh-CN" w:bidi="ar-SA"/>
        </w:rPr>
        <w:t>为了避免各投标人的投标文件因网络拥堵等原因造成递交失败，请在上述规定时间内尽量提前、错时递交您的投标文件。投标截止时间之后提交或者未成功提交的电子投标文件，招标人不予受理。</w:t>
      </w:r>
    </w:p>
    <w:p>
      <w:pPr>
        <w:keepNext w:val="0"/>
        <w:keepLines w:val="0"/>
        <w:pageBreakBefore w:val="0"/>
        <w:kinsoku/>
        <w:wordWrap/>
        <w:overflowPunct/>
        <w:autoSpaceDE w:val="0"/>
        <w:autoSpaceDN w:val="0"/>
        <w:bidi w:val="0"/>
        <w:adjustRightInd w:val="0"/>
        <w:snapToGrid w:val="0"/>
        <w:spacing w:line="360" w:lineRule="auto"/>
        <w:rPr>
          <w:rFonts w:hint="eastAsia" w:ascii="宋体" w:hAnsi="宋体" w:eastAsia="宋体" w:cs="宋体"/>
          <w:sz w:val="21"/>
          <w:szCs w:val="21"/>
        </w:rPr>
      </w:pPr>
      <w:r>
        <w:rPr>
          <w:rFonts w:hint="eastAsia" w:ascii="宋体" w:hAnsi="宋体" w:cs="宋体"/>
          <w:sz w:val="21"/>
          <w:szCs w:val="21"/>
          <w:lang w:val="en-US" w:eastAsia="zh-CN"/>
        </w:rPr>
        <w:t>6.3</w:t>
      </w:r>
      <w:r>
        <w:rPr>
          <w:rFonts w:hint="eastAsia" w:ascii="宋体" w:hAnsi="宋体" w:eastAsia="宋体" w:cs="宋体"/>
          <w:sz w:val="21"/>
          <w:szCs w:val="21"/>
        </w:rPr>
        <w:t xml:space="preserve"> 投标保证金要求：所有投标都必须附有投标保证金，投标保证金金额详见附件1：需求一览表。所有投标都必须</w:t>
      </w:r>
      <w:r>
        <w:rPr>
          <w:rFonts w:hint="eastAsia" w:ascii="宋体" w:hAnsi="宋体" w:eastAsia="宋体" w:cs="宋体"/>
          <w:b/>
          <w:bCs/>
          <w:sz w:val="21"/>
          <w:szCs w:val="21"/>
          <w:highlight w:val="cyan"/>
        </w:rPr>
        <w:t>以分</w:t>
      </w:r>
      <w:r>
        <w:rPr>
          <w:rFonts w:hint="eastAsia" w:ascii="宋体" w:hAnsi="宋体" w:cs="宋体"/>
          <w:b/>
          <w:bCs/>
          <w:sz w:val="21"/>
          <w:szCs w:val="21"/>
          <w:highlight w:val="cyan"/>
          <w:lang w:val="en-US" w:eastAsia="zh-CN"/>
        </w:rPr>
        <w:t>包</w:t>
      </w:r>
      <w:r>
        <w:rPr>
          <w:rFonts w:hint="eastAsia" w:ascii="宋体" w:hAnsi="宋体" w:eastAsia="宋体" w:cs="宋体"/>
          <w:b/>
          <w:bCs/>
          <w:sz w:val="21"/>
          <w:szCs w:val="21"/>
          <w:highlight w:val="cyan"/>
        </w:rPr>
        <w:t>为单位</w:t>
      </w:r>
      <w:r>
        <w:rPr>
          <w:rFonts w:hint="eastAsia" w:ascii="宋体" w:hAnsi="宋体" w:eastAsia="宋体" w:cs="宋体"/>
          <w:sz w:val="21"/>
          <w:szCs w:val="21"/>
        </w:rPr>
        <w:t>提交投标保证金,没有提交投标保证金或投标保证金不符合要求的投标将被拒绝。投标保证金应通过潜在投标人</w:t>
      </w:r>
      <w:r>
        <w:rPr>
          <w:rFonts w:hint="eastAsia" w:ascii="宋体" w:hAnsi="宋体" w:eastAsia="宋体" w:cs="宋体"/>
          <w:b/>
          <w:bCs/>
          <w:sz w:val="21"/>
          <w:szCs w:val="21"/>
        </w:rPr>
        <w:t>“基本账户”</w:t>
      </w:r>
      <w:r>
        <w:rPr>
          <w:rFonts w:hint="eastAsia" w:ascii="宋体" w:hAnsi="宋体" w:eastAsia="宋体" w:cs="宋体"/>
          <w:sz w:val="21"/>
          <w:szCs w:val="21"/>
        </w:rPr>
        <w:t>对公转账或汇款，不接受个人汇款。投标保证金提交时，在付款摘要中注明“分标名称”（</w:t>
      </w:r>
      <w:r>
        <w:rPr>
          <w:rFonts w:hint="eastAsia" w:ascii="宋体" w:hAnsi="宋体" w:eastAsia="宋体" w:cs="宋体"/>
          <w:sz w:val="21"/>
          <w:szCs w:val="21"/>
          <w:highlight w:val="yellow"/>
        </w:rPr>
        <w:t>如：</w:t>
      </w:r>
      <w:r>
        <w:rPr>
          <w:rFonts w:hint="eastAsia" w:ascii="宋体" w:hAnsi="宋体" w:cs="宋体"/>
          <w:sz w:val="21"/>
          <w:szCs w:val="21"/>
          <w:highlight w:val="yellow"/>
          <w:lang w:val="en-US" w:eastAsia="zh-CN"/>
        </w:rPr>
        <w:t>思极科技2023年第一批工程类招标包01</w:t>
      </w:r>
      <w:r>
        <w:rPr>
          <w:rFonts w:hint="eastAsia" w:ascii="宋体" w:hAnsi="宋体" w:eastAsia="宋体" w:cs="宋体"/>
          <w:sz w:val="21"/>
          <w:szCs w:val="21"/>
          <w:highlight w:val="yellow"/>
          <w:lang w:val="en-US" w:eastAsia="zh-CN"/>
        </w:rPr>
        <w:t>）</w:t>
      </w:r>
      <w:r>
        <w:rPr>
          <w:rFonts w:hint="eastAsia" w:ascii="宋体" w:hAnsi="宋体" w:eastAsia="宋体" w:cs="宋体"/>
          <w:sz w:val="21"/>
          <w:szCs w:val="21"/>
        </w:rPr>
        <w:t>，并确保投标保证金在投标截止时间前到账。</w:t>
      </w:r>
    </w:p>
    <w:p>
      <w:pPr>
        <w:pStyle w:val="2"/>
        <w:keepNext w:val="0"/>
        <w:keepLines w:val="0"/>
        <w:pageBreakBefore w:val="0"/>
        <w:kinsoku/>
        <w:wordWrap/>
        <w:overflowPunct/>
        <w:bidi w:val="0"/>
        <w:spacing w:line="360" w:lineRule="auto"/>
        <w:rPr>
          <w:rFonts w:hint="eastAsia"/>
          <w:highlight w:val="red"/>
        </w:rPr>
      </w:pPr>
      <w:r>
        <w:rPr>
          <w:rFonts w:hint="eastAsia" w:ascii="宋体" w:hAnsi="宋体" w:cs="宋体"/>
          <w:b/>
          <w:sz w:val="21"/>
          <w:szCs w:val="21"/>
          <w:highlight w:val="red"/>
          <w:lang w:eastAsia="zh-CN"/>
        </w:rPr>
        <w:t>投标保证金：</w:t>
      </w:r>
      <w:r>
        <w:rPr>
          <w:rFonts w:hint="eastAsia" w:ascii="宋体" w:hAnsi="宋体" w:cs="宋体"/>
          <w:b/>
          <w:sz w:val="21"/>
          <w:szCs w:val="21"/>
          <w:highlight w:val="red"/>
          <w:lang w:val="en-US" w:eastAsia="zh-CN"/>
        </w:rPr>
        <w:t>请于2023年02月17日12时前递交。</w:t>
      </w:r>
    </w:p>
    <w:p>
      <w:pPr>
        <w:keepNext w:val="0"/>
        <w:keepLines w:val="0"/>
        <w:pageBreakBefore w:val="0"/>
        <w:kinsoku/>
        <w:wordWrap/>
        <w:overflowPunct/>
        <w:autoSpaceDE w:val="0"/>
        <w:autoSpaceDN w:val="0"/>
        <w:bidi w:val="0"/>
        <w:adjustRightInd w:val="0"/>
        <w:snapToGrid w:val="0"/>
        <w:spacing w:line="360" w:lineRule="auto"/>
        <w:ind w:firstLine="420" w:firstLineChars="200"/>
        <w:rPr>
          <w:rFonts w:hint="eastAsia" w:ascii="宋体" w:hAnsi="宋体" w:cs="宋体"/>
          <w:sz w:val="21"/>
          <w:szCs w:val="21"/>
        </w:rPr>
      </w:pPr>
      <w:r>
        <w:rPr>
          <w:rFonts w:hint="eastAsia" w:ascii="宋体" w:hAnsi="宋体" w:eastAsia="宋体" w:cs="宋体"/>
          <w:sz w:val="21"/>
          <w:szCs w:val="21"/>
        </w:rPr>
        <w:t>投标保证金的形式：银行电汇、网银转账、银行保函、投标保证保险。不接受个人汇款等其他方式</w:t>
      </w:r>
      <w:r>
        <w:rPr>
          <w:rFonts w:hint="eastAsia" w:ascii="宋体" w:hAnsi="宋体" w:cs="宋体"/>
          <w:sz w:val="21"/>
          <w:szCs w:val="21"/>
        </w:rPr>
        <w:t>。</w:t>
      </w:r>
    </w:p>
    <w:p>
      <w:pPr>
        <w:keepNext w:val="0"/>
        <w:keepLines w:val="0"/>
        <w:pageBreakBefore w:val="0"/>
        <w:kinsoku/>
        <w:wordWrap/>
        <w:overflowPunct/>
        <w:autoSpaceDE w:val="0"/>
        <w:autoSpaceDN w:val="0"/>
        <w:bidi w:val="0"/>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投标保证金的有效期应与投标有效期一致。</w:t>
      </w:r>
    </w:p>
    <w:p>
      <w:pPr>
        <w:keepNext w:val="0"/>
        <w:keepLines w:val="0"/>
        <w:pageBreakBefore w:val="0"/>
        <w:kinsoku/>
        <w:wordWrap/>
        <w:overflowPunct/>
        <w:autoSpaceDE w:val="0"/>
        <w:autoSpaceDN w:val="0"/>
        <w:bidi w:val="0"/>
        <w:adjustRightInd w:val="0"/>
        <w:snapToGrid w:val="0"/>
        <w:spacing w:line="360" w:lineRule="auto"/>
        <w:ind w:firstLine="420" w:firstLineChars="200"/>
        <w:rPr>
          <w:rFonts w:hint="eastAsia" w:ascii="宋体" w:hAnsi="宋体" w:eastAsia="宋体" w:cs="宋体"/>
          <w:color w:val="FF0000"/>
          <w:sz w:val="21"/>
          <w:szCs w:val="21"/>
        </w:rPr>
      </w:pPr>
      <w:r>
        <w:rPr>
          <w:rFonts w:hint="eastAsia" w:ascii="宋体" w:hAnsi="宋体" w:eastAsia="宋体" w:cs="宋体"/>
          <w:color w:val="FF0000"/>
          <w:sz w:val="21"/>
          <w:szCs w:val="21"/>
        </w:rPr>
        <w:t>公司名称：法正项目管理集团有限公司山东分公司</w:t>
      </w:r>
    </w:p>
    <w:p>
      <w:pPr>
        <w:keepNext w:val="0"/>
        <w:keepLines w:val="0"/>
        <w:pageBreakBefore w:val="0"/>
        <w:kinsoku/>
        <w:wordWrap/>
        <w:overflowPunct/>
        <w:autoSpaceDE w:val="0"/>
        <w:autoSpaceDN w:val="0"/>
        <w:bidi w:val="0"/>
        <w:adjustRightInd w:val="0"/>
        <w:snapToGrid w:val="0"/>
        <w:spacing w:line="360" w:lineRule="auto"/>
        <w:ind w:firstLine="420" w:firstLineChars="200"/>
        <w:rPr>
          <w:rFonts w:hint="eastAsia" w:ascii="宋体" w:hAnsi="宋体" w:eastAsia="宋体" w:cs="宋体"/>
          <w:color w:val="FF0000"/>
          <w:sz w:val="21"/>
          <w:szCs w:val="21"/>
        </w:rPr>
      </w:pPr>
      <w:r>
        <w:rPr>
          <w:rFonts w:hint="eastAsia" w:ascii="宋体" w:hAnsi="宋体" w:eastAsia="宋体" w:cs="宋体"/>
          <w:color w:val="FF0000"/>
          <w:sz w:val="21"/>
          <w:szCs w:val="21"/>
        </w:rPr>
        <w:t>开户银行：中信银行股份有限公司济南高新支行</w:t>
      </w:r>
    </w:p>
    <w:p>
      <w:pPr>
        <w:keepNext w:val="0"/>
        <w:keepLines w:val="0"/>
        <w:pageBreakBefore w:val="0"/>
        <w:kinsoku/>
        <w:wordWrap/>
        <w:overflowPunct/>
        <w:autoSpaceDE w:val="0"/>
        <w:autoSpaceDN w:val="0"/>
        <w:bidi w:val="0"/>
        <w:adjustRightInd w:val="0"/>
        <w:snapToGrid w:val="0"/>
        <w:spacing w:line="360" w:lineRule="auto"/>
        <w:ind w:firstLine="420" w:firstLineChars="200"/>
        <w:rPr>
          <w:rFonts w:hint="eastAsia"/>
          <w:sz w:val="21"/>
          <w:szCs w:val="21"/>
        </w:rPr>
      </w:pPr>
      <w:r>
        <w:rPr>
          <w:rFonts w:hint="eastAsia" w:ascii="宋体" w:hAnsi="宋体" w:eastAsia="宋体" w:cs="宋体"/>
          <w:color w:val="FF0000"/>
          <w:sz w:val="21"/>
          <w:szCs w:val="21"/>
        </w:rPr>
        <w:t>账    号：8112501013601200093</w:t>
      </w:r>
    </w:p>
    <w:p>
      <w:pPr>
        <w:keepNext w:val="0"/>
        <w:keepLines w:val="0"/>
        <w:pageBreakBefore w:val="0"/>
        <w:tabs>
          <w:tab w:val="left" w:pos="6300"/>
        </w:tabs>
        <w:kinsoku/>
        <w:wordWrap/>
        <w:overflowPunct/>
        <w:autoSpaceDE/>
        <w:autoSpaceDN/>
        <w:bidi w:val="0"/>
        <w:adjustRightInd w:val="0"/>
        <w:snapToGrid w:val="0"/>
        <w:spacing w:beforeAutospacing="0" w:line="360" w:lineRule="auto"/>
        <w:ind w:left="0" w:leftChars="0" w:right="0" w:rightChars="0" w:firstLine="0" w:firstLineChars="0"/>
        <w:textAlignment w:val="auto"/>
        <w:rPr>
          <w:rFonts w:hint="eastAsia" w:asciiTheme="minorEastAsia" w:hAnsiTheme="minorEastAsia" w:eastAsiaTheme="minorEastAsia" w:cstheme="minorEastAsia"/>
          <w:b w:val="0"/>
          <w:bCs w:val="0"/>
          <w:kern w:val="2"/>
          <w:sz w:val="21"/>
          <w:szCs w:val="21"/>
          <w:lang w:val="en-US" w:eastAsia="zh-CN" w:bidi="ar-SA"/>
        </w:rPr>
      </w:pPr>
      <w:r>
        <w:rPr>
          <w:rFonts w:hint="eastAsia" w:asciiTheme="minorEastAsia" w:hAnsiTheme="minorEastAsia" w:eastAsiaTheme="minorEastAsia" w:cstheme="minorEastAsia"/>
          <w:b w:val="0"/>
          <w:bCs w:val="0"/>
          <w:kern w:val="2"/>
          <w:sz w:val="21"/>
          <w:szCs w:val="21"/>
          <w:lang w:val="en-US" w:eastAsia="zh-CN" w:bidi="ar-SA"/>
        </w:rPr>
        <w:t>7．开标时间及地点</w:t>
      </w:r>
    </w:p>
    <w:p>
      <w:pPr>
        <w:keepNext w:val="0"/>
        <w:keepLines w:val="0"/>
        <w:pageBreakBefore w:val="0"/>
        <w:kinsoku/>
        <w:wordWrap/>
        <w:overflowPunct/>
        <w:bidi w:val="0"/>
        <w:adjustRightInd w:val="0"/>
        <w:snapToGrid w:val="0"/>
        <w:spacing w:line="360" w:lineRule="auto"/>
        <w:ind w:firstLine="420" w:firstLineChars="200"/>
        <w:rPr>
          <w:rFonts w:hint="eastAsia" w:ascii="宋体" w:hAnsi="宋体" w:cs="宋体"/>
          <w:sz w:val="21"/>
          <w:szCs w:val="21"/>
          <w:highlight w:val="red"/>
        </w:rPr>
      </w:pPr>
      <w:r>
        <w:rPr>
          <w:rFonts w:hint="eastAsia" w:ascii="宋体" w:hAnsi="宋体" w:cs="宋体"/>
          <w:sz w:val="21"/>
          <w:szCs w:val="21"/>
          <w:highlight w:val="red"/>
          <w:lang w:val="en-US" w:eastAsia="zh-CN"/>
        </w:rPr>
        <w:t>7.1</w:t>
      </w:r>
      <w:r>
        <w:rPr>
          <w:rFonts w:hint="eastAsia" w:ascii="宋体" w:hAnsi="宋体" w:cs="宋体"/>
          <w:sz w:val="21"/>
          <w:szCs w:val="21"/>
          <w:highlight w:val="red"/>
        </w:rPr>
        <w:t>开标时间</w:t>
      </w:r>
      <w:r>
        <w:rPr>
          <w:rFonts w:hint="eastAsia" w:ascii="宋体" w:hAnsi="宋体" w:cs="宋体"/>
          <w:sz w:val="21"/>
          <w:szCs w:val="21"/>
          <w:highlight w:val="red"/>
          <w:lang w:eastAsia="zh-CN"/>
        </w:rPr>
        <w:t>2023年02月21日</w:t>
      </w:r>
      <w:r>
        <w:rPr>
          <w:rFonts w:hint="eastAsia" w:ascii="宋体" w:hAnsi="宋体" w:cs="宋体"/>
          <w:sz w:val="21"/>
          <w:szCs w:val="21"/>
          <w:highlight w:val="red"/>
        </w:rPr>
        <w:t>9:05时。</w:t>
      </w:r>
    </w:p>
    <w:p>
      <w:pPr>
        <w:keepNext w:val="0"/>
        <w:keepLines w:val="0"/>
        <w:pageBreakBefore w:val="0"/>
        <w:kinsoku/>
        <w:wordWrap/>
        <w:overflowPunct/>
        <w:bidi w:val="0"/>
        <w:adjustRightInd w:val="0"/>
        <w:snapToGrid w:val="0"/>
        <w:spacing w:line="360" w:lineRule="auto"/>
        <w:ind w:firstLine="420" w:firstLineChars="200"/>
        <w:outlineLvl w:val="1"/>
        <w:rPr>
          <w:rFonts w:hint="eastAsia" w:ascii="宋体" w:hAnsi="宋体" w:cs="宋体"/>
          <w:sz w:val="21"/>
          <w:szCs w:val="21"/>
          <w:highlight w:val="yellow"/>
        </w:rPr>
      </w:pPr>
      <w:r>
        <w:rPr>
          <w:rFonts w:hint="eastAsia" w:ascii="宋体" w:hAnsi="宋体" w:cs="宋体"/>
          <w:sz w:val="21"/>
          <w:szCs w:val="21"/>
          <w:highlight w:val="yellow"/>
        </w:rPr>
        <w:t>招标代理机构完成开标操作，维护投标人价格查看时间和确认时间，投标人可在开标后24小时内通过电子商务平台查看开标结果。</w:t>
      </w:r>
    </w:p>
    <w:p>
      <w:pPr>
        <w:keepNext w:val="0"/>
        <w:keepLines w:val="0"/>
        <w:pageBreakBefore w:val="0"/>
        <w:kinsoku/>
        <w:wordWrap/>
        <w:overflowPunct/>
        <w:bidi w:val="0"/>
        <w:spacing w:line="360" w:lineRule="auto"/>
        <w:ind w:firstLine="420" w:firstLineChars="200"/>
        <w:rPr>
          <w:rFonts w:hint="default" w:ascii="宋体" w:hAnsi="宋体" w:eastAsia="宋体" w:cs="宋体"/>
          <w:lang w:val="en-US" w:eastAsia="zh-CN"/>
        </w:rPr>
      </w:pPr>
      <w:r>
        <w:rPr>
          <w:rFonts w:hint="eastAsia" w:ascii="宋体" w:hAnsi="宋体" w:cs="宋体"/>
        </w:rPr>
        <w:t>鉴于当前疫情防控要求，</w:t>
      </w:r>
      <w:r>
        <w:rPr>
          <w:rFonts w:hint="eastAsia" w:ascii="宋体" w:hAnsi="宋体" w:cs="宋体"/>
          <w:lang w:val="en-US" w:eastAsia="zh-CN"/>
        </w:rPr>
        <w:t>采购</w:t>
      </w:r>
      <w:r>
        <w:rPr>
          <w:rFonts w:hint="eastAsia" w:ascii="宋体" w:hAnsi="宋体" w:cs="宋体"/>
        </w:rPr>
        <w:t>人通过网络视频</w:t>
      </w:r>
      <w:r>
        <w:rPr>
          <w:rFonts w:hint="eastAsia" w:ascii="宋体" w:hAnsi="宋体" w:cs="宋体"/>
          <w:lang w:val="en-US" w:eastAsia="zh-CN"/>
        </w:rPr>
        <w:t>会议</w:t>
      </w:r>
      <w:r>
        <w:rPr>
          <w:rFonts w:hint="eastAsia" w:ascii="宋体" w:hAnsi="宋体" w:cs="宋体"/>
        </w:rPr>
        <w:t>方式进行</w:t>
      </w:r>
      <w:r>
        <w:rPr>
          <w:rFonts w:hint="eastAsia" w:ascii="宋体" w:hAnsi="宋体" w:cs="宋体"/>
          <w:lang w:val="en-US" w:eastAsia="zh-CN"/>
        </w:rPr>
        <w:t>首轮报价开启仪式及谈判工作</w:t>
      </w:r>
      <w:r>
        <w:rPr>
          <w:rFonts w:hint="eastAsia" w:ascii="宋体" w:hAnsi="宋体" w:cs="宋体"/>
        </w:rPr>
        <w:t>。</w:t>
      </w:r>
      <w:r>
        <w:rPr>
          <w:rFonts w:hint="eastAsia" w:ascii="宋体" w:hAnsi="宋体" w:cs="宋体"/>
          <w:lang w:val="en-US" w:eastAsia="zh-CN"/>
        </w:rPr>
        <w:t>应答</w:t>
      </w:r>
      <w:r>
        <w:rPr>
          <w:rFonts w:hint="eastAsia" w:ascii="宋体" w:hAnsi="宋体" w:cs="宋体"/>
        </w:rPr>
        <w:t>人授权代表</w:t>
      </w:r>
      <w:r>
        <w:rPr>
          <w:rFonts w:hint="eastAsia" w:ascii="宋体" w:hAnsi="宋体" w:cs="宋体"/>
          <w:lang w:val="en-US" w:eastAsia="zh-CN"/>
        </w:rPr>
        <w:t>可通过</w:t>
      </w:r>
      <w:r>
        <w:rPr>
          <w:rFonts w:hint="eastAsia" w:ascii="宋体" w:hAnsi="宋体" w:cs="宋体"/>
        </w:rPr>
        <w:t>网络视频</w:t>
      </w:r>
      <w:r>
        <w:rPr>
          <w:rFonts w:hint="eastAsia" w:ascii="宋体" w:hAnsi="宋体" w:cs="宋体"/>
          <w:lang w:val="en-US" w:eastAsia="zh-CN"/>
        </w:rPr>
        <w:t>会议参与。</w:t>
      </w:r>
    </w:p>
    <w:p>
      <w:pPr>
        <w:keepNext w:val="0"/>
        <w:keepLines w:val="0"/>
        <w:pageBreakBefore w:val="0"/>
        <w:kinsoku/>
        <w:wordWrap/>
        <w:overflowPunct/>
        <w:bidi w:val="0"/>
        <w:spacing w:line="360" w:lineRule="auto"/>
        <w:ind w:firstLine="420" w:firstLineChars="200"/>
        <w:rPr>
          <w:rFonts w:hint="eastAsia" w:ascii="宋体" w:hAnsi="宋体" w:eastAsia="宋体" w:cs="宋体"/>
        </w:rPr>
      </w:pPr>
      <w:r>
        <w:rPr>
          <w:rFonts w:hint="eastAsia" w:ascii="宋体" w:hAnsi="宋体" w:cs="宋体"/>
          <w:lang w:val="en-US" w:eastAsia="zh-CN"/>
        </w:rPr>
        <w:t>7</w:t>
      </w:r>
      <w:r>
        <w:rPr>
          <w:rFonts w:hint="eastAsia" w:ascii="宋体" w:hAnsi="宋体" w:eastAsia="宋体" w:cs="宋体"/>
          <w:lang w:val="en-US" w:eastAsia="zh-CN"/>
        </w:rPr>
        <w:t>.2开标流程：</w:t>
      </w:r>
      <w:r>
        <w:rPr>
          <w:rFonts w:hint="eastAsia" w:ascii="宋体" w:hAnsi="宋体" w:eastAsia="宋体" w:cs="宋体"/>
        </w:rPr>
        <w:t>网络视频方式：应用“腾讯会议”软件（可通过百度等搜索工具下载）。</w:t>
      </w:r>
      <w:r>
        <w:rPr>
          <w:rFonts w:hint="eastAsia" w:ascii="宋体" w:hAnsi="宋体" w:eastAsia="宋体" w:cs="宋体"/>
          <w:lang w:val="en-US" w:eastAsia="zh-CN"/>
        </w:rPr>
        <w:t>投标</w:t>
      </w:r>
      <w:r>
        <w:rPr>
          <w:rFonts w:hint="eastAsia" w:ascii="宋体" w:hAnsi="宋体" w:eastAsia="宋体" w:cs="宋体"/>
        </w:rPr>
        <w:t>人务必</w:t>
      </w:r>
      <w:r>
        <w:rPr>
          <w:rFonts w:hint="eastAsia" w:ascii="宋体" w:hAnsi="宋体" w:eastAsia="宋体" w:cs="宋体"/>
          <w:lang w:val="en-US" w:eastAsia="zh-CN"/>
        </w:rPr>
        <w:t>提</w:t>
      </w:r>
      <w:r>
        <w:rPr>
          <w:rFonts w:hint="eastAsia" w:ascii="宋体" w:hAnsi="宋体" w:eastAsia="宋体" w:cs="宋体"/>
        </w:rPr>
        <w:t>前下载、安装“腾讯会议”软件，并提前熟悉掌握使用方法。因</w:t>
      </w:r>
      <w:r>
        <w:rPr>
          <w:rFonts w:hint="eastAsia" w:ascii="宋体" w:hAnsi="宋体" w:eastAsia="宋体" w:cs="宋体"/>
          <w:lang w:val="en-US" w:eastAsia="zh-CN"/>
        </w:rPr>
        <w:t>投标</w:t>
      </w:r>
      <w:r>
        <w:rPr>
          <w:rFonts w:hint="eastAsia" w:ascii="宋体" w:hAnsi="宋体" w:eastAsia="宋体" w:cs="宋体"/>
        </w:rPr>
        <w:t>人自身原因造成的无法</w:t>
      </w:r>
      <w:r>
        <w:rPr>
          <w:rFonts w:hint="eastAsia" w:ascii="宋体" w:hAnsi="宋体" w:eastAsia="宋体" w:cs="宋体"/>
          <w:lang w:val="en-US" w:eastAsia="zh-CN"/>
        </w:rPr>
        <w:t>参与</w:t>
      </w:r>
      <w:r>
        <w:rPr>
          <w:rFonts w:hint="eastAsia" w:ascii="宋体" w:hAnsi="宋体" w:eastAsia="宋体" w:cs="宋体"/>
        </w:rPr>
        <w:t>的，由此产生的风险由</w:t>
      </w:r>
      <w:r>
        <w:rPr>
          <w:rFonts w:hint="eastAsia" w:ascii="宋体" w:hAnsi="宋体" w:eastAsia="宋体" w:cs="宋体"/>
          <w:lang w:val="en-US" w:eastAsia="zh-CN"/>
        </w:rPr>
        <w:t>应答</w:t>
      </w:r>
      <w:r>
        <w:rPr>
          <w:rFonts w:hint="eastAsia" w:ascii="宋体" w:hAnsi="宋体" w:eastAsia="宋体" w:cs="宋体"/>
        </w:rPr>
        <w:t>人承担。</w:t>
      </w:r>
    </w:p>
    <w:p>
      <w:pPr>
        <w:keepNext w:val="0"/>
        <w:keepLines w:val="0"/>
        <w:pageBreakBefore w:val="0"/>
        <w:tabs>
          <w:tab w:val="left" w:pos="6300"/>
        </w:tabs>
        <w:kinsoku/>
        <w:wordWrap/>
        <w:overflowPunct/>
        <w:autoSpaceDE/>
        <w:autoSpaceDN/>
        <w:bidi w:val="0"/>
        <w:adjustRightInd w:val="0"/>
        <w:snapToGrid w:val="0"/>
        <w:spacing w:line="360" w:lineRule="auto"/>
        <w:ind w:right="0" w:rightChars="0" w:firstLine="420" w:firstLineChars="200"/>
        <w:textAlignment w:val="auto"/>
        <w:rPr>
          <w:rFonts w:hint="eastAsia" w:asciiTheme="minorEastAsia" w:hAnsiTheme="minorEastAsia" w:eastAsiaTheme="minorEastAsia" w:cstheme="minorEastAsia"/>
          <w:sz w:val="21"/>
          <w:szCs w:val="21"/>
        </w:rPr>
      </w:pPr>
      <w:r>
        <w:rPr>
          <w:rFonts w:hint="eastAsia" w:ascii="宋体" w:hAnsi="宋体" w:cs="宋体"/>
          <w:lang w:val="en-US" w:eastAsia="zh-CN"/>
        </w:rPr>
        <w:t>7</w:t>
      </w:r>
      <w:r>
        <w:rPr>
          <w:rFonts w:hint="eastAsia" w:ascii="宋体" w:hAnsi="宋体" w:eastAsia="宋体" w:cs="宋体"/>
          <w:lang w:val="en-US" w:eastAsia="zh-CN"/>
        </w:rPr>
        <w:t>.3</w:t>
      </w:r>
      <w:r>
        <w:rPr>
          <w:rFonts w:hint="eastAsia" w:ascii="宋体" w:hAnsi="宋体" w:eastAsia="宋体" w:cs="宋体"/>
        </w:rPr>
        <w:t>“腾讯会议”会议号：</w:t>
      </w:r>
      <w:r>
        <w:rPr>
          <w:rFonts w:hint="eastAsia" w:ascii="宋体" w:hAnsi="宋体" w:eastAsia="宋体" w:cs="宋体"/>
          <w:lang w:val="en-US" w:eastAsia="zh-CN"/>
        </w:rPr>
        <w:t>见招标文件。</w:t>
      </w:r>
    </w:p>
    <w:p>
      <w:pPr>
        <w:keepNext w:val="0"/>
        <w:keepLines w:val="0"/>
        <w:pageBreakBefore w:val="0"/>
        <w:tabs>
          <w:tab w:val="left" w:pos="6300"/>
        </w:tabs>
        <w:kinsoku/>
        <w:wordWrap/>
        <w:overflowPunct/>
        <w:autoSpaceDE/>
        <w:autoSpaceDN/>
        <w:bidi w:val="0"/>
        <w:adjustRightInd w:val="0"/>
        <w:snapToGrid w:val="0"/>
        <w:spacing w:beforeAutospacing="0" w:line="360" w:lineRule="auto"/>
        <w:ind w:left="0" w:leftChars="0" w:right="0" w:rightChars="0" w:firstLine="0" w:firstLineChars="0"/>
        <w:textAlignment w:val="auto"/>
        <w:rPr>
          <w:rFonts w:hint="eastAsia" w:ascii="宋体" w:hAnsi="宋体" w:eastAsia="宋体" w:cs="宋体"/>
          <w:sz w:val="21"/>
          <w:szCs w:val="21"/>
        </w:rPr>
      </w:pPr>
      <w:r>
        <w:rPr>
          <w:rFonts w:hint="eastAsia" w:ascii="宋体" w:hAnsi="宋体" w:cs="宋体"/>
          <w:sz w:val="21"/>
          <w:szCs w:val="21"/>
          <w:lang w:val="en-US" w:eastAsia="zh-CN"/>
        </w:rPr>
        <w:t>8</w:t>
      </w:r>
      <w:r>
        <w:rPr>
          <w:rFonts w:hint="eastAsia" w:ascii="宋体" w:hAnsi="宋体" w:eastAsia="宋体" w:cs="宋体"/>
          <w:sz w:val="21"/>
          <w:szCs w:val="21"/>
          <w:lang w:val="en-US" w:eastAsia="zh-CN"/>
        </w:rPr>
        <w:t>.</w:t>
      </w:r>
      <w:r>
        <w:rPr>
          <w:rFonts w:hint="eastAsia" w:ascii="宋体" w:hAnsi="宋体" w:eastAsia="宋体" w:cs="宋体"/>
          <w:sz w:val="21"/>
          <w:szCs w:val="21"/>
        </w:rPr>
        <w:t>发布公告的媒介</w:t>
      </w:r>
    </w:p>
    <w:p>
      <w:pPr>
        <w:keepNext w:val="0"/>
        <w:keepLines w:val="0"/>
        <w:pageBreakBefore w:val="0"/>
        <w:kinsoku/>
        <w:wordWrap/>
        <w:overflowPunct/>
        <w:bidi w:val="0"/>
        <w:adjustRightInd w:val="0"/>
        <w:snapToGrid w:val="0"/>
        <w:spacing w:line="360" w:lineRule="auto"/>
        <w:ind w:firstLine="420" w:firstLineChars="200"/>
        <w:outlineLvl w:val="1"/>
        <w:rPr>
          <w:rFonts w:hint="eastAsia" w:ascii="宋体" w:hAnsi="宋体" w:eastAsia="宋体" w:cs="宋体"/>
          <w:sz w:val="21"/>
          <w:szCs w:val="21"/>
        </w:rPr>
      </w:pPr>
      <w:r>
        <w:rPr>
          <w:rFonts w:hint="eastAsia" w:ascii="宋体" w:hAnsi="宋体" w:eastAsia="宋体" w:cs="宋体"/>
          <w:sz w:val="21"/>
          <w:szCs w:val="21"/>
        </w:rPr>
        <w:t>本次招标公告同时发布在下列媒体上：</w:t>
      </w:r>
    </w:p>
    <w:p>
      <w:pPr>
        <w:keepNext w:val="0"/>
        <w:keepLines w:val="0"/>
        <w:pageBreakBefore w:val="0"/>
        <w:kinsoku/>
        <w:wordWrap/>
        <w:overflowPunct/>
        <w:bidi w:val="0"/>
        <w:adjustRightInd w:val="0"/>
        <w:snapToGrid w:val="0"/>
        <w:spacing w:line="360" w:lineRule="auto"/>
        <w:ind w:firstLine="420" w:firstLineChars="200"/>
        <w:outlineLvl w:val="1"/>
        <w:rPr>
          <w:rFonts w:hint="eastAsia" w:ascii="宋体" w:hAnsi="宋体" w:eastAsia="宋体" w:cs="宋体"/>
          <w:sz w:val="21"/>
          <w:szCs w:val="21"/>
        </w:rPr>
      </w:pPr>
      <w:r>
        <w:rPr>
          <w:rFonts w:hint="eastAsia" w:ascii="宋体" w:hAnsi="宋体" w:eastAsia="宋体" w:cs="宋体"/>
          <w:sz w:val="21"/>
          <w:szCs w:val="21"/>
        </w:rPr>
        <w:t>中国招标投标公共服务平台：http://www.cebpubservice.com/</w:t>
      </w:r>
    </w:p>
    <w:p>
      <w:pPr>
        <w:keepNext w:val="0"/>
        <w:keepLines w:val="0"/>
        <w:pageBreakBefore w:val="0"/>
        <w:tabs>
          <w:tab w:val="left" w:pos="6300"/>
        </w:tabs>
        <w:kinsoku/>
        <w:wordWrap/>
        <w:overflowPunct/>
        <w:bidi w:val="0"/>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国家电网电子商务平台-电工交易专区：https://sgccetp.com.cn</w:t>
      </w:r>
    </w:p>
    <w:p>
      <w:pPr>
        <w:keepNext w:val="0"/>
        <w:keepLines w:val="0"/>
        <w:pageBreakBefore w:val="0"/>
        <w:numPr>
          <w:ilvl w:val="0"/>
          <w:numId w:val="0"/>
        </w:numPr>
        <w:tabs>
          <w:tab w:val="left" w:pos="6300"/>
        </w:tabs>
        <w:kinsoku/>
        <w:wordWrap/>
        <w:overflowPunct/>
        <w:autoSpaceDE/>
        <w:autoSpaceDN/>
        <w:bidi w:val="0"/>
        <w:adjustRightInd w:val="0"/>
        <w:snapToGrid w:val="0"/>
        <w:spacing w:beforeAutospacing="0" w:line="360" w:lineRule="auto"/>
        <w:ind w:left="0" w:leftChars="0" w:right="0" w:rightChars="0" w:firstLine="0" w:firstLineChars="0"/>
        <w:textAlignment w:val="auto"/>
        <w:rPr>
          <w:rFonts w:hint="eastAsia" w:ascii="宋体" w:hAnsi="宋体" w:eastAsia="宋体" w:cs="宋体"/>
          <w:sz w:val="21"/>
          <w:szCs w:val="21"/>
        </w:rPr>
      </w:pPr>
      <w:r>
        <w:rPr>
          <w:rFonts w:hint="eastAsia" w:ascii="宋体" w:hAnsi="宋体" w:cs="宋体"/>
          <w:sz w:val="21"/>
          <w:szCs w:val="21"/>
          <w:lang w:val="en-US" w:eastAsia="zh-CN"/>
        </w:rPr>
        <w:t>9</w:t>
      </w:r>
      <w:r>
        <w:rPr>
          <w:rFonts w:hint="eastAsia" w:ascii="宋体" w:hAnsi="宋体" w:eastAsia="宋体" w:cs="宋体"/>
          <w:sz w:val="21"/>
          <w:szCs w:val="21"/>
          <w:lang w:val="en-US" w:eastAsia="zh-CN"/>
        </w:rPr>
        <w:t>.</w:t>
      </w:r>
      <w:r>
        <w:rPr>
          <w:rFonts w:hint="eastAsia" w:ascii="宋体" w:hAnsi="宋体" w:eastAsia="宋体" w:cs="宋体"/>
          <w:sz w:val="21"/>
          <w:szCs w:val="21"/>
        </w:rPr>
        <w:t>招标人和招标代理机构联系方式</w:t>
      </w:r>
    </w:p>
    <w:p>
      <w:pPr>
        <w:keepNext w:val="0"/>
        <w:keepLines w:val="0"/>
        <w:pageBreakBefore w:val="0"/>
        <w:kinsoku/>
        <w:wordWrap/>
        <w:overflowPunct/>
        <w:bidi w:val="0"/>
        <w:spacing w:line="360" w:lineRule="auto"/>
        <w:ind w:firstLine="411" w:firstLineChars="196"/>
        <w:outlineLvl w:val="1"/>
        <w:rPr>
          <w:rFonts w:ascii="宋体" w:hAnsi="宋体" w:cs="宋体"/>
          <w:sz w:val="21"/>
          <w:szCs w:val="21"/>
          <w:lang w:eastAsia="zh-CN"/>
        </w:rPr>
      </w:pPr>
      <w:r>
        <w:rPr>
          <w:rFonts w:hint="eastAsia" w:ascii="宋体" w:hAnsi="宋体" w:cs="宋体"/>
          <w:sz w:val="21"/>
          <w:szCs w:val="21"/>
          <w:lang w:eastAsia="zh-CN"/>
        </w:rPr>
        <w:t xml:space="preserve">招 标 人：山东思极科技有限公司        招标代理机构：法正项目管理集团有限公司                        </w:t>
      </w:r>
    </w:p>
    <w:p>
      <w:pPr>
        <w:keepNext w:val="0"/>
        <w:keepLines w:val="0"/>
        <w:pageBreakBefore w:val="0"/>
        <w:kinsoku/>
        <w:wordWrap/>
        <w:overflowPunct/>
        <w:bidi w:val="0"/>
        <w:spacing w:line="360" w:lineRule="auto"/>
        <w:ind w:firstLine="411" w:firstLineChars="196"/>
        <w:outlineLvl w:val="1"/>
        <w:rPr>
          <w:rFonts w:ascii="宋体" w:hAnsi="宋体" w:cs="宋体"/>
          <w:sz w:val="21"/>
          <w:szCs w:val="21"/>
          <w:lang w:eastAsia="zh-CN"/>
        </w:rPr>
      </w:pPr>
      <w:r>
        <w:rPr>
          <w:rFonts w:hint="eastAsia" w:ascii="宋体" w:hAnsi="宋体" w:cs="宋体"/>
          <w:sz w:val="21"/>
          <w:szCs w:val="21"/>
          <w:lang w:eastAsia="zh-CN"/>
        </w:rPr>
        <w:t>地    址：山东省济南市市中区经七路</w:t>
      </w:r>
    </w:p>
    <w:p>
      <w:pPr>
        <w:keepNext w:val="0"/>
        <w:keepLines w:val="0"/>
        <w:pageBreakBefore w:val="0"/>
        <w:kinsoku/>
        <w:wordWrap/>
        <w:overflowPunct/>
        <w:bidi w:val="0"/>
        <w:spacing w:line="360" w:lineRule="auto"/>
        <w:ind w:firstLine="411" w:firstLineChars="196"/>
        <w:outlineLvl w:val="1"/>
        <w:rPr>
          <w:rFonts w:ascii="宋体" w:hAnsi="宋体" w:cs="宋体"/>
          <w:sz w:val="21"/>
          <w:szCs w:val="21"/>
          <w:lang w:eastAsia="zh-CN"/>
        </w:rPr>
      </w:pPr>
      <w:r>
        <w:rPr>
          <w:rFonts w:hint="eastAsia" w:ascii="宋体" w:hAnsi="宋体" w:cs="宋体"/>
          <w:sz w:val="21"/>
          <w:szCs w:val="21"/>
          <w:lang w:eastAsia="zh-CN"/>
        </w:rPr>
        <w:t xml:space="preserve">28-1号山东数字产业大厦7楼701室     地    址：济南市历下区银丰财富广场B座                            </w:t>
      </w:r>
    </w:p>
    <w:p>
      <w:pPr>
        <w:keepNext w:val="0"/>
        <w:keepLines w:val="0"/>
        <w:pageBreakBefore w:val="0"/>
        <w:kinsoku/>
        <w:wordWrap/>
        <w:overflowPunct/>
        <w:bidi w:val="0"/>
        <w:spacing w:line="360" w:lineRule="auto"/>
        <w:ind w:firstLine="411" w:firstLineChars="196"/>
        <w:outlineLvl w:val="1"/>
        <w:rPr>
          <w:rFonts w:ascii="宋体" w:hAnsi="宋体" w:cs="宋体"/>
          <w:sz w:val="21"/>
          <w:szCs w:val="21"/>
          <w:lang w:eastAsia="zh-CN"/>
        </w:rPr>
      </w:pPr>
      <w:r>
        <w:rPr>
          <w:rFonts w:hint="eastAsia" w:ascii="宋体" w:hAnsi="宋体" w:cs="宋体"/>
          <w:sz w:val="21"/>
          <w:szCs w:val="21"/>
          <w:lang w:eastAsia="zh-CN"/>
        </w:rPr>
        <w:t>邮    编：250001                      邮    编：25000</w:t>
      </w:r>
      <w:r>
        <w:rPr>
          <w:rFonts w:hint="eastAsia" w:ascii="宋体" w:hAnsi="宋体" w:cs="宋体"/>
          <w:sz w:val="21"/>
          <w:szCs w:val="21"/>
          <w:lang w:val="en-US" w:eastAsia="zh-CN"/>
        </w:rPr>
        <w:t>0</w:t>
      </w:r>
      <w:bookmarkStart w:id="6" w:name="_GoBack"/>
      <w:bookmarkEnd w:id="6"/>
      <w:r>
        <w:rPr>
          <w:rFonts w:hint="eastAsia" w:ascii="宋体" w:hAnsi="宋体" w:cs="宋体"/>
          <w:sz w:val="21"/>
          <w:szCs w:val="21"/>
          <w:lang w:eastAsia="zh-CN"/>
        </w:rPr>
        <w:t xml:space="preserve">                            </w:t>
      </w:r>
    </w:p>
    <w:p>
      <w:pPr>
        <w:keepNext w:val="0"/>
        <w:keepLines w:val="0"/>
        <w:pageBreakBefore w:val="0"/>
        <w:kinsoku/>
        <w:wordWrap/>
        <w:overflowPunct/>
        <w:bidi w:val="0"/>
        <w:spacing w:line="360" w:lineRule="auto"/>
        <w:ind w:firstLine="411" w:firstLineChars="196"/>
        <w:outlineLvl w:val="1"/>
        <w:rPr>
          <w:rFonts w:ascii="宋体" w:hAnsi="宋体" w:cs="宋体"/>
          <w:sz w:val="21"/>
          <w:szCs w:val="21"/>
          <w:lang w:eastAsia="zh-CN"/>
        </w:rPr>
      </w:pPr>
      <w:r>
        <w:rPr>
          <w:rFonts w:hint="eastAsia" w:ascii="宋体" w:hAnsi="宋体" w:cs="宋体"/>
          <w:sz w:val="21"/>
          <w:szCs w:val="21"/>
          <w:lang w:eastAsia="zh-CN"/>
        </w:rPr>
        <w:t xml:space="preserve">联 系 人：王工                        联 系 人：张工                            </w:t>
      </w:r>
    </w:p>
    <w:p>
      <w:pPr>
        <w:keepNext w:val="0"/>
        <w:keepLines w:val="0"/>
        <w:pageBreakBefore w:val="0"/>
        <w:kinsoku/>
        <w:wordWrap/>
        <w:overflowPunct/>
        <w:bidi w:val="0"/>
        <w:spacing w:line="360" w:lineRule="auto"/>
        <w:ind w:firstLine="411" w:firstLineChars="196"/>
        <w:outlineLvl w:val="1"/>
        <w:rPr>
          <w:rFonts w:ascii="宋体" w:hAnsi="宋体" w:cs="宋体"/>
          <w:sz w:val="21"/>
          <w:szCs w:val="21"/>
          <w:lang w:eastAsia="zh-CN"/>
        </w:rPr>
      </w:pPr>
      <w:r>
        <w:rPr>
          <w:rFonts w:hint="eastAsia" w:ascii="宋体" w:hAnsi="宋体" w:cs="宋体"/>
          <w:sz w:val="21"/>
          <w:szCs w:val="21"/>
          <w:lang w:eastAsia="zh-CN"/>
        </w:rPr>
        <w:t xml:space="preserve">电    话：0531-80123150               电    话：13964102565                           </w:t>
      </w:r>
    </w:p>
    <w:p>
      <w:pPr>
        <w:keepNext w:val="0"/>
        <w:keepLines w:val="0"/>
        <w:pageBreakBefore w:val="0"/>
        <w:widowControl/>
        <w:numPr>
          <w:ilvl w:val="0"/>
          <w:numId w:val="0"/>
        </w:numPr>
        <w:tabs>
          <w:tab w:val="left" w:pos="6300"/>
        </w:tabs>
        <w:kinsoku/>
        <w:wordWrap/>
        <w:overflowPunct/>
        <w:topLinePunct w:val="0"/>
        <w:autoSpaceDE/>
        <w:autoSpaceDN/>
        <w:bidi w:val="0"/>
        <w:adjustRightInd w:val="0"/>
        <w:snapToGrid w:val="0"/>
        <w:spacing w:line="360" w:lineRule="auto"/>
        <w:ind w:left="0" w:right="0" w:firstLine="420" w:firstLineChars="200"/>
        <w:jc w:val="left"/>
        <w:rPr>
          <w:rFonts w:hint="eastAsia" w:ascii="宋体" w:hAnsi="宋体" w:eastAsia="宋体" w:cs="宋体"/>
          <w:sz w:val="20"/>
          <w:szCs w:val="20"/>
        </w:rPr>
      </w:pPr>
      <w:r>
        <w:rPr>
          <w:rFonts w:hint="eastAsia" w:ascii="宋体" w:hAnsi="宋体" w:cs="宋体"/>
          <w:sz w:val="21"/>
          <w:szCs w:val="21"/>
          <w:lang w:eastAsia="zh-CN"/>
        </w:rPr>
        <w:t>传    真：0531-80125095               传    真：/</w:t>
      </w:r>
    </w:p>
    <w:p>
      <w:pPr>
        <w:keepNext w:val="0"/>
        <w:keepLines w:val="0"/>
        <w:pageBreakBefore w:val="0"/>
        <w:numPr>
          <w:ilvl w:val="0"/>
          <w:numId w:val="0"/>
        </w:numPr>
        <w:tabs>
          <w:tab w:val="left" w:pos="6300"/>
        </w:tabs>
        <w:kinsoku/>
        <w:wordWrap/>
        <w:overflowPunct/>
        <w:autoSpaceDE/>
        <w:autoSpaceDN/>
        <w:bidi w:val="0"/>
        <w:adjustRightInd w:val="0"/>
        <w:snapToGrid w:val="0"/>
        <w:spacing w:line="360" w:lineRule="auto"/>
        <w:ind w:right="0" w:rightChars="0" w:firstLine="420" w:firstLineChars="200"/>
        <w:textAlignment w:val="auto"/>
        <w:rPr>
          <w:rFonts w:hint="eastAsia" w:ascii="宋体" w:hAnsi="宋体" w:eastAsia="宋体" w:cs="宋体"/>
          <w:color w:val="000000"/>
          <w:sz w:val="21"/>
          <w:szCs w:val="21"/>
        </w:rPr>
      </w:pPr>
      <w:r>
        <w:rPr>
          <w:rFonts w:hint="eastAsia" w:ascii="宋体" w:hAnsi="宋体" w:cs="宋体"/>
          <w:color w:val="000000"/>
          <w:sz w:val="21"/>
          <w:szCs w:val="21"/>
          <w:lang w:val="en-US" w:eastAsia="zh-CN"/>
        </w:rPr>
        <w:t>10</w:t>
      </w:r>
      <w:r>
        <w:rPr>
          <w:rFonts w:hint="eastAsia" w:ascii="宋体" w:hAnsi="宋体" w:eastAsia="宋体" w:cs="宋体"/>
          <w:color w:val="000000"/>
          <w:sz w:val="21"/>
          <w:szCs w:val="21"/>
          <w:lang w:val="en-US" w:eastAsia="zh-CN"/>
        </w:rPr>
        <w:t>.</w:t>
      </w:r>
      <w:r>
        <w:rPr>
          <w:rFonts w:hint="eastAsia" w:ascii="宋体" w:hAnsi="宋体" w:eastAsia="宋体" w:cs="宋体"/>
          <w:color w:val="000000"/>
          <w:sz w:val="21"/>
          <w:szCs w:val="21"/>
        </w:rPr>
        <w:t>其他事项</w:t>
      </w:r>
    </w:p>
    <w:p>
      <w:pPr>
        <w:keepNext w:val="0"/>
        <w:keepLines w:val="0"/>
        <w:pageBreakBefore w:val="0"/>
        <w:numPr>
          <w:ilvl w:val="0"/>
          <w:numId w:val="0"/>
        </w:numPr>
        <w:kinsoku/>
        <w:wordWrap/>
        <w:overflowPunct/>
        <w:bidi w:val="0"/>
        <w:adjustRightInd w:val="0"/>
        <w:snapToGrid w:val="0"/>
        <w:spacing w:line="360" w:lineRule="auto"/>
        <w:ind w:left="0" w:firstLine="415" w:firstLineChars="0"/>
        <w:rPr>
          <w:rFonts w:hint="eastAsia" w:ascii="宋体" w:hAnsi="宋体" w:eastAsia="宋体" w:cs="宋体"/>
          <w:sz w:val="20"/>
          <w:szCs w:val="20"/>
        </w:rPr>
      </w:pPr>
      <w:r>
        <w:rPr>
          <w:rFonts w:hint="eastAsia" w:ascii="宋体" w:hAnsi="宋体" w:cs="宋体"/>
          <w:color w:val="000000"/>
          <w:sz w:val="20"/>
          <w:szCs w:val="20"/>
          <w:lang w:val="en-US" w:eastAsia="zh-CN"/>
        </w:rPr>
        <w:t>10</w:t>
      </w:r>
      <w:r>
        <w:rPr>
          <w:rFonts w:hint="eastAsia" w:ascii="宋体" w:hAnsi="宋体" w:eastAsia="宋体" w:cs="宋体"/>
          <w:color w:val="000000"/>
          <w:sz w:val="20"/>
          <w:szCs w:val="20"/>
          <w:lang w:val="en-US" w:eastAsia="zh-CN"/>
        </w:rPr>
        <w:t>.1</w:t>
      </w:r>
      <w:r>
        <w:rPr>
          <w:rFonts w:hint="eastAsia" w:ascii="宋体" w:hAnsi="宋体" w:eastAsia="宋体" w:cs="宋体"/>
          <w:color w:val="000000"/>
          <w:sz w:val="20"/>
          <w:szCs w:val="20"/>
        </w:rPr>
        <w:t>本次采购招标</w:t>
      </w:r>
      <w:r>
        <w:rPr>
          <w:rFonts w:hint="eastAsia" w:ascii="宋体" w:hAnsi="宋体" w:eastAsia="宋体" w:cs="宋体"/>
          <w:color w:val="000000"/>
          <w:sz w:val="20"/>
          <w:szCs w:val="20"/>
          <w:lang w:eastAsia="zh-CN"/>
        </w:rPr>
        <w:t>项目</w:t>
      </w:r>
      <w:r>
        <w:rPr>
          <w:rFonts w:hint="eastAsia" w:ascii="宋体" w:hAnsi="宋体" w:eastAsia="宋体" w:cs="宋体"/>
          <w:color w:val="000000"/>
          <w:sz w:val="20"/>
          <w:szCs w:val="20"/>
        </w:rPr>
        <w:t>合同概算金额不作为最终结算依据，以实际采购数量作为结算依据。</w:t>
      </w:r>
    </w:p>
    <w:p>
      <w:pPr>
        <w:keepNext w:val="0"/>
        <w:keepLines w:val="0"/>
        <w:pageBreakBefore w:val="0"/>
        <w:numPr>
          <w:ilvl w:val="0"/>
          <w:numId w:val="0"/>
        </w:numPr>
        <w:kinsoku/>
        <w:wordWrap/>
        <w:overflowPunct/>
        <w:bidi w:val="0"/>
        <w:adjustRightInd w:val="0"/>
        <w:snapToGrid w:val="0"/>
        <w:spacing w:line="360" w:lineRule="auto"/>
        <w:ind w:firstLine="415" w:firstLineChars="0"/>
        <w:outlineLvl w:val="9"/>
        <w:rPr>
          <w:rFonts w:hint="default" w:ascii="宋体" w:hAnsi="宋体" w:eastAsia="宋体" w:cs="宋体"/>
          <w:b/>
          <w:bCs/>
          <w:color w:val="000000"/>
          <w:sz w:val="20"/>
          <w:szCs w:val="20"/>
          <w:highlight w:val="none"/>
          <w:lang w:val="en-US" w:eastAsia="zh-CN"/>
        </w:rPr>
      </w:pPr>
      <w:r>
        <w:rPr>
          <w:rFonts w:hint="eastAsia" w:ascii="宋体" w:hAnsi="宋体" w:cs="宋体"/>
          <w:b/>
          <w:bCs/>
          <w:color w:val="000000"/>
          <w:sz w:val="20"/>
          <w:szCs w:val="20"/>
          <w:highlight w:val="none"/>
          <w:lang w:val="en-US" w:eastAsia="zh-CN"/>
        </w:rPr>
        <w:t>10</w:t>
      </w:r>
      <w:r>
        <w:rPr>
          <w:rFonts w:hint="eastAsia" w:ascii="宋体" w:hAnsi="宋体" w:eastAsia="宋体" w:cs="宋体"/>
          <w:b/>
          <w:bCs/>
          <w:color w:val="000000"/>
          <w:sz w:val="20"/>
          <w:szCs w:val="20"/>
          <w:highlight w:val="none"/>
          <w:lang w:val="en-US" w:eastAsia="zh-CN"/>
        </w:rPr>
        <w:t>.2</w:t>
      </w:r>
      <w:r>
        <w:rPr>
          <w:rFonts w:hint="eastAsia" w:ascii="宋体" w:hAnsi="宋体" w:eastAsia="宋体" w:cs="宋体"/>
          <w:b/>
          <w:bCs/>
          <w:sz w:val="20"/>
          <w:szCs w:val="20"/>
        </w:rPr>
        <w:t>请各潜在投标人依据《关于深化增值税改革有关政策的公告》（财政部 税务总局 海关总署公告2019年第39号）填报税率，如法规政策调整，以最新发布的税率为准。</w:t>
      </w:r>
    </w:p>
    <w:p>
      <w:pPr>
        <w:keepNext w:val="0"/>
        <w:keepLines w:val="0"/>
        <w:pageBreakBefore w:val="0"/>
        <w:numPr>
          <w:ilvl w:val="0"/>
          <w:numId w:val="0"/>
        </w:numPr>
        <w:kinsoku/>
        <w:wordWrap/>
        <w:overflowPunct/>
        <w:autoSpaceDE/>
        <w:autoSpaceDN/>
        <w:bidi w:val="0"/>
        <w:adjustRightInd w:val="0"/>
        <w:snapToGrid w:val="0"/>
        <w:spacing w:beforeAutospacing="0" w:afterAutospacing="0" w:line="360" w:lineRule="auto"/>
        <w:ind w:left="0" w:leftChars="0" w:right="0" w:rightChars="0" w:firstLine="415" w:firstLineChars="0"/>
        <w:rPr>
          <w:rFonts w:hint="eastAsia" w:ascii="宋体" w:hAnsi="宋体" w:eastAsia="宋体" w:cs="宋体"/>
          <w:sz w:val="20"/>
          <w:szCs w:val="20"/>
        </w:rPr>
      </w:pPr>
      <w:r>
        <w:rPr>
          <w:rFonts w:hint="eastAsia" w:ascii="宋体" w:hAnsi="宋体" w:cs="宋体"/>
          <w:b/>
          <w:bCs/>
          <w:color w:val="000000"/>
          <w:sz w:val="20"/>
          <w:szCs w:val="20"/>
          <w:highlight w:val="none"/>
          <w:lang w:val="en-US" w:eastAsia="zh-CN"/>
        </w:rPr>
        <w:t>10</w:t>
      </w:r>
      <w:r>
        <w:rPr>
          <w:rFonts w:hint="eastAsia" w:ascii="宋体" w:hAnsi="宋体" w:eastAsia="宋体" w:cs="宋体"/>
          <w:b/>
          <w:bCs/>
          <w:color w:val="000000"/>
          <w:sz w:val="20"/>
          <w:szCs w:val="20"/>
          <w:highlight w:val="none"/>
          <w:lang w:val="en-US" w:eastAsia="zh-CN"/>
        </w:rPr>
        <w:t>.3</w:t>
      </w:r>
      <w:r>
        <w:rPr>
          <w:rFonts w:hint="eastAsia" w:ascii="宋体" w:hAnsi="宋体" w:eastAsia="宋体" w:cs="宋体"/>
          <w:sz w:val="20"/>
          <w:szCs w:val="20"/>
        </w:rPr>
        <w:t>中标人应在收到《中标通知书》后10日内，一次性向招标代理机构交纳招标代理服务费，收费以包为单位，按中标合同金额收取。如果中标人不按照招标文件规定交纳招标代理服务费，招标代理机构有权从其投标保证金中扣减相应金额的招标代理服务费。(招标代理服务费规定与招标文件其它部分规定不一致的，以本公告为准。)</w:t>
      </w:r>
    </w:p>
    <w:p>
      <w:pPr>
        <w:keepNext w:val="0"/>
        <w:keepLines w:val="0"/>
        <w:pageBreakBefore w:val="0"/>
        <w:kinsoku/>
        <w:wordWrap/>
        <w:overflowPunct/>
        <w:bidi w:val="0"/>
        <w:spacing w:line="360" w:lineRule="auto"/>
        <w:ind w:firstLine="422" w:firstLineChars="200"/>
        <w:rPr>
          <w:rFonts w:ascii="宋体" w:hAnsi="宋体" w:eastAsia="宋体"/>
          <w:b/>
        </w:rPr>
      </w:pPr>
      <w:r>
        <w:rPr>
          <w:rFonts w:hint="eastAsia" w:ascii="宋体" w:hAnsi="宋体" w:eastAsia="宋体"/>
          <w:b/>
        </w:rPr>
        <w:t>☆资质业绩、包号等事项应以</w:t>
      </w:r>
      <w:r>
        <w:rPr>
          <w:rFonts w:hint="eastAsia" w:ascii="宋体" w:hAnsi="宋体"/>
          <w:b/>
          <w:lang w:eastAsia="zh-CN"/>
        </w:rPr>
        <w:t>招标</w:t>
      </w:r>
      <w:r>
        <w:rPr>
          <w:rFonts w:hint="eastAsia" w:ascii="宋体" w:hAnsi="宋体" w:eastAsia="宋体"/>
          <w:b/>
        </w:rPr>
        <w:t>需求一览表中载明的要求为准，不得随意改动，敬请注意；</w:t>
      </w:r>
      <w:r>
        <w:rPr>
          <w:rFonts w:hint="eastAsia" w:ascii="宋体" w:hAnsi="宋体" w:eastAsia="宋体"/>
          <w:b/>
          <w:lang w:eastAsia="zh-CN"/>
        </w:rPr>
        <w:t>投标</w:t>
      </w:r>
      <w:r>
        <w:rPr>
          <w:rFonts w:hint="eastAsia" w:ascii="宋体" w:hAnsi="宋体" w:eastAsia="宋体"/>
          <w:b/>
        </w:rPr>
        <w:t>时，如技术规范书提出相关资质、业绩要求且与公告中资质、业绩要求不同，以公告的要求为准。</w:t>
      </w:r>
    </w:p>
    <w:p>
      <w:pPr>
        <w:keepNext w:val="0"/>
        <w:keepLines w:val="0"/>
        <w:pageBreakBefore w:val="0"/>
        <w:kinsoku/>
        <w:wordWrap/>
        <w:overflowPunct/>
        <w:bidi w:val="0"/>
        <w:spacing w:line="360" w:lineRule="auto"/>
        <w:ind w:firstLine="422" w:firstLineChars="200"/>
        <w:rPr>
          <w:rFonts w:ascii="宋体" w:hAnsi="宋体" w:eastAsia="宋体"/>
          <w:b/>
        </w:rPr>
      </w:pPr>
      <w:r>
        <w:rPr>
          <w:rFonts w:hint="eastAsia" w:ascii="宋体" w:hAnsi="宋体" w:eastAsia="宋体"/>
          <w:b/>
        </w:rPr>
        <w:t>☆</w:t>
      </w:r>
      <w:r>
        <w:rPr>
          <w:rFonts w:ascii="宋体" w:hAnsi="宋体" w:eastAsia="宋体"/>
          <w:b/>
        </w:rPr>
        <w:t>本次</w:t>
      </w:r>
      <w:r>
        <w:rPr>
          <w:rFonts w:hint="eastAsia" w:ascii="宋体" w:hAnsi="宋体" w:eastAsia="宋体"/>
          <w:b/>
          <w:lang w:eastAsia="zh-CN"/>
        </w:rPr>
        <w:t>招标</w:t>
      </w:r>
      <w:r>
        <w:rPr>
          <w:rFonts w:hint="eastAsia" w:ascii="宋体" w:hAnsi="宋体" w:eastAsia="宋体"/>
          <w:b/>
        </w:rPr>
        <w:t>中，</w:t>
      </w:r>
      <w:r>
        <w:rPr>
          <w:rFonts w:hint="eastAsia" w:ascii="宋体" w:hAnsi="宋体" w:eastAsia="宋体"/>
          <w:b/>
          <w:lang w:eastAsia="zh-CN"/>
        </w:rPr>
        <w:t>投标</w:t>
      </w:r>
      <w:r>
        <w:rPr>
          <w:rFonts w:hint="eastAsia" w:ascii="宋体" w:hAnsi="宋体" w:eastAsia="宋体"/>
          <w:b/>
        </w:rPr>
        <w:t>人应按照</w:t>
      </w:r>
      <w:r>
        <w:rPr>
          <w:rFonts w:hint="eastAsia" w:ascii="宋体" w:hAnsi="宋体"/>
          <w:b/>
          <w:lang w:eastAsia="zh-CN"/>
        </w:rPr>
        <w:t>招标文件</w:t>
      </w:r>
      <w:r>
        <w:rPr>
          <w:rFonts w:hint="eastAsia" w:ascii="宋体" w:hAnsi="宋体" w:eastAsia="宋体"/>
          <w:b/>
        </w:rPr>
        <w:t>要求递交报价文件、</w:t>
      </w:r>
      <w:r>
        <w:rPr>
          <w:rFonts w:hint="eastAsia" w:ascii="宋体" w:hAnsi="宋体" w:eastAsia="宋体"/>
          <w:b/>
          <w:lang w:val="en-US" w:eastAsia="zh-CN"/>
        </w:rPr>
        <w:t>商务、技术</w:t>
      </w:r>
      <w:r>
        <w:rPr>
          <w:rFonts w:hint="eastAsia" w:ascii="宋体" w:hAnsi="宋体" w:eastAsia="宋体"/>
          <w:b/>
          <w:lang w:eastAsia="zh-CN"/>
        </w:rPr>
        <w:t>投标</w:t>
      </w:r>
      <w:r>
        <w:rPr>
          <w:rFonts w:hint="eastAsia" w:ascii="宋体" w:hAnsi="宋体" w:eastAsia="宋体"/>
          <w:b/>
        </w:rPr>
        <w:t>文件。</w:t>
      </w:r>
    </w:p>
    <w:p>
      <w:pPr>
        <w:keepNext w:val="0"/>
        <w:keepLines w:val="0"/>
        <w:pageBreakBefore w:val="0"/>
        <w:kinsoku/>
        <w:wordWrap/>
        <w:overflowPunct/>
        <w:bidi w:val="0"/>
        <w:spacing w:line="360" w:lineRule="auto"/>
        <w:ind w:firstLine="422" w:firstLineChars="200"/>
        <w:rPr>
          <w:rFonts w:ascii="宋体" w:hAnsi="宋体"/>
          <w:b/>
        </w:rPr>
      </w:pPr>
      <w:r>
        <w:rPr>
          <w:rFonts w:hint="eastAsia" w:ascii="宋体" w:hAnsi="宋体"/>
          <w:b/>
        </w:rPr>
        <w:t>☆山东省税务营改增工作于2016年5月份正式启动，为保证发票开具工作顺利开展，</w:t>
      </w:r>
    </w:p>
    <w:p>
      <w:pPr>
        <w:keepNext w:val="0"/>
        <w:keepLines w:val="0"/>
        <w:pageBreakBefore w:val="0"/>
        <w:numPr>
          <w:ilvl w:val="0"/>
          <w:numId w:val="0"/>
        </w:numPr>
        <w:kinsoku/>
        <w:wordWrap/>
        <w:overflowPunct/>
        <w:bidi w:val="0"/>
        <w:adjustRightInd w:val="0"/>
        <w:snapToGrid w:val="0"/>
        <w:spacing w:line="360" w:lineRule="auto"/>
        <w:ind w:firstLine="422" w:firstLineChars="200"/>
        <w:outlineLvl w:val="1"/>
        <w:rPr>
          <w:rFonts w:hint="eastAsia" w:ascii="宋体" w:hAnsi="宋体" w:eastAsia="宋体" w:cs="宋体"/>
          <w:b/>
          <w:color w:val="000000"/>
          <w:szCs w:val="21"/>
          <w:highlight w:val="none"/>
          <w:lang w:val="en-US" w:eastAsia="zh-CN"/>
        </w:rPr>
      </w:pPr>
      <w:r>
        <w:rPr>
          <w:rFonts w:hint="eastAsia" w:ascii="宋体" w:hAnsi="宋体"/>
          <w:b/>
        </w:rPr>
        <w:t>☆本批次</w:t>
      </w:r>
      <w:r>
        <w:rPr>
          <w:rFonts w:hint="eastAsia" w:ascii="宋体" w:hAnsi="宋体"/>
          <w:b/>
          <w:lang w:eastAsia="zh-CN"/>
        </w:rPr>
        <w:t>招标</w:t>
      </w:r>
      <w:r>
        <w:rPr>
          <w:rFonts w:hint="eastAsia" w:ascii="宋体" w:hAnsi="宋体"/>
          <w:b/>
        </w:rPr>
        <w:t>所有标包业绩须是与项目建设单位直接签订并执行的合同，其它的不予认可。业绩均应出具相关合同的关键部分（包括封面、合同协议书、签署页、关键条款等）以及</w:t>
      </w:r>
      <w:r>
        <w:rPr>
          <w:rFonts w:hint="eastAsia" w:ascii="宋体" w:hAnsi="宋体"/>
          <w:b/>
          <w:lang w:eastAsia="zh-CN"/>
        </w:rPr>
        <w:t>招标</w:t>
      </w:r>
      <w:r>
        <w:rPr>
          <w:rFonts w:hint="eastAsia" w:ascii="宋体" w:hAnsi="宋体"/>
          <w:b/>
        </w:rPr>
        <w:t>公告专用资格部分要求的中标通知书、发票等证明材料复印件。</w:t>
      </w:r>
    </w:p>
    <w:p>
      <w:pPr>
        <w:keepNext w:val="0"/>
        <w:keepLines w:val="0"/>
        <w:pageBreakBefore w:val="0"/>
        <w:kinsoku/>
        <w:wordWrap/>
        <w:overflowPunct/>
        <w:bidi w:val="0"/>
        <w:spacing w:line="360" w:lineRule="auto"/>
        <w:rPr>
          <w:rFonts w:hint="eastAsia" w:asciiTheme="minorEastAsia" w:hAnsiTheme="minorEastAsia" w:eastAsiaTheme="minorEastAsia"/>
          <w:kern w:val="0"/>
          <w:sz w:val="32"/>
        </w:rPr>
        <w:sectPr>
          <w:headerReference r:id="rId3" w:type="default"/>
          <w:footerReference r:id="rId4" w:type="default"/>
          <w:pgSz w:w="11906" w:h="16838"/>
          <w:pgMar w:top="1440" w:right="1800" w:bottom="1440" w:left="1800" w:header="1134" w:footer="1134" w:gutter="0"/>
          <w:pgNumType w:start="1"/>
          <w:cols w:space="0" w:num="1"/>
          <w:rtlGutter w:val="0"/>
          <w:docGrid w:linePitch="312" w:charSpace="0"/>
        </w:sectPr>
      </w:pPr>
    </w:p>
    <w:p>
      <w:pPr>
        <w:keepNext w:val="0"/>
        <w:keepLines w:val="0"/>
        <w:pageBreakBefore w:val="0"/>
        <w:kinsoku/>
        <w:wordWrap/>
        <w:overflowPunct/>
        <w:bidi w:val="0"/>
        <w:spacing w:line="360" w:lineRule="auto"/>
        <w:rPr>
          <w:rFonts w:hint="eastAsia" w:asciiTheme="minorEastAsia" w:hAnsiTheme="minorEastAsia" w:eastAsiaTheme="minorEastAsia"/>
          <w:kern w:val="0"/>
          <w:sz w:val="32"/>
        </w:rPr>
      </w:pPr>
    </w:p>
    <w:p>
      <w:pPr>
        <w:keepNext w:val="0"/>
        <w:keepLines w:val="0"/>
        <w:pageBreakBefore w:val="0"/>
        <w:kinsoku/>
        <w:wordWrap/>
        <w:overflowPunct/>
        <w:bidi w:val="0"/>
        <w:spacing w:line="360" w:lineRule="auto"/>
        <w:rPr>
          <w:rFonts w:hint="eastAsia" w:asciiTheme="minorEastAsia" w:hAnsiTheme="minorEastAsia" w:eastAsiaTheme="minorEastAsia"/>
          <w:kern w:val="0"/>
          <w:sz w:val="32"/>
        </w:rPr>
      </w:pPr>
      <w:r>
        <w:rPr>
          <w:rFonts w:hint="eastAsia" w:asciiTheme="minorEastAsia" w:hAnsiTheme="minorEastAsia" w:eastAsiaTheme="minorEastAsia"/>
          <w:kern w:val="0"/>
          <w:sz w:val="32"/>
        </w:rPr>
        <w:t>《招标公告》附</w:t>
      </w:r>
      <w:r>
        <w:rPr>
          <w:rFonts w:hint="eastAsia" w:asciiTheme="minorEastAsia" w:hAnsiTheme="minorEastAsia" w:eastAsiaTheme="minorEastAsia"/>
          <w:kern w:val="0"/>
          <w:sz w:val="32"/>
          <w:lang w:eastAsia="zh-CN"/>
        </w:rPr>
        <w:t>表</w:t>
      </w:r>
      <w:r>
        <w:rPr>
          <w:rFonts w:hint="eastAsia" w:asciiTheme="minorEastAsia" w:hAnsiTheme="minorEastAsia" w:eastAsiaTheme="minorEastAsia"/>
          <w:kern w:val="0"/>
          <w:sz w:val="32"/>
          <w:lang w:val="en-US" w:eastAsia="zh-CN"/>
        </w:rPr>
        <w:t>1</w:t>
      </w:r>
      <w:r>
        <w:rPr>
          <w:rFonts w:hint="eastAsia" w:asciiTheme="minorEastAsia" w:hAnsiTheme="minorEastAsia" w:eastAsiaTheme="minorEastAsia"/>
          <w:kern w:val="0"/>
          <w:sz w:val="32"/>
        </w:rPr>
        <w:t>：</w:t>
      </w:r>
    </w:p>
    <w:p>
      <w:pPr>
        <w:keepNext w:val="0"/>
        <w:keepLines w:val="0"/>
        <w:pageBreakBefore w:val="0"/>
        <w:kinsoku/>
        <w:wordWrap/>
        <w:overflowPunct/>
        <w:bidi w:val="0"/>
        <w:spacing w:line="360" w:lineRule="auto"/>
        <w:jc w:val="center"/>
        <w:rPr>
          <w:rFonts w:hint="eastAsia" w:asciiTheme="minorEastAsia" w:hAnsiTheme="minorEastAsia" w:eastAsiaTheme="minorEastAsia"/>
          <w:kern w:val="0"/>
          <w:sz w:val="28"/>
          <w:szCs w:val="18"/>
          <w:lang w:val="en-US" w:eastAsia="zh-CN"/>
        </w:rPr>
      </w:pPr>
      <w:r>
        <w:rPr>
          <w:rFonts w:hint="eastAsia" w:asciiTheme="minorEastAsia" w:hAnsiTheme="minorEastAsia" w:eastAsiaTheme="minorEastAsia"/>
          <w:kern w:val="0"/>
          <w:sz w:val="28"/>
          <w:szCs w:val="18"/>
          <w:lang w:val="en-US" w:eastAsia="zh-CN"/>
        </w:rPr>
        <w:t>招标需求一览表</w:t>
      </w:r>
    </w:p>
    <w:p>
      <w:pPr>
        <w:keepNext w:val="0"/>
        <w:keepLines w:val="0"/>
        <w:pageBreakBefore w:val="0"/>
        <w:widowControl/>
        <w:suppressLineNumbers w:val="0"/>
        <w:kinsoku/>
        <w:wordWrap/>
        <w:overflowPunct/>
        <w:bidi w:val="0"/>
        <w:spacing w:line="360" w:lineRule="auto"/>
        <w:jc w:val="left"/>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分标标号：</w:t>
      </w:r>
      <w:r>
        <w:rPr>
          <w:rFonts w:hint="eastAsia" w:ascii="宋体" w:hAnsi="宋体" w:cs="宋体"/>
          <w:i w:val="0"/>
          <w:iCs w:val="0"/>
          <w:color w:val="auto"/>
          <w:kern w:val="0"/>
          <w:sz w:val="21"/>
          <w:szCs w:val="21"/>
          <w:u w:val="none"/>
          <w:lang w:val="en-US" w:eastAsia="zh-CN" w:bidi="ar"/>
        </w:rPr>
        <w:t>SDSJ23-GC-ZB001</w:t>
      </w:r>
      <w:r>
        <w:rPr>
          <w:rFonts w:hint="eastAsia" w:ascii="宋体" w:hAnsi="宋体" w:eastAsia="宋体" w:cs="宋体"/>
          <w:i w:val="0"/>
          <w:iCs w:val="0"/>
          <w:color w:val="auto"/>
          <w:kern w:val="0"/>
          <w:sz w:val="21"/>
          <w:szCs w:val="21"/>
          <w:u w:val="none"/>
          <w:lang w:val="en-US" w:eastAsia="zh-CN" w:bidi="ar"/>
        </w:rPr>
        <w:t>-ZH                分标名称：综合施工</w:t>
      </w:r>
    </w:p>
    <w:tbl>
      <w:tblPr>
        <w:tblStyle w:val="11"/>
        <w:tblW w:w="16605" w:type="dxa"/>
        <w:jc w:val="center"/>
        <w:tblLayout w:type="fixed"/>
        <w:tblCellMar>
          <w:top w:w="0" w:type="dxa"/>
          <w:left w:w="108" w:type="dxa"/>
          <w:bottom w:w="0" w:type="dxa"/>
          <w:right w:w="108" w:type="dxa"/>
        </w:tblCellMar>
      </w:tblPr>
      <w:tblGrid>
        <w:gridCol w:w="754"/>
        <w:gridCol w:w="809"/>
        <w:gridCol w:w="1915"/>
        <w:gridCol w:w="1250"/>
        <w:gridCol w:w="1617"/>
        <w:gridCol w:w="1066"/>
        <w:gridCol w:w="1067"/>
        <w:gridCol w:w="1296"/>
        <w:gridCol w:w="1090"/>
        <w:gridCol w:w="1226"/>
        <w:gridCol w:w="3865"/>
        <w:gridCol w:w="650"/>
      </w:tblGrid>
      <w:tr>
        <w:tblPrEx>
          <w:tblCellMar>
            <w:top w:w="0" w:type="dxa"/>
            <w:left w:w="108" w:type="dxa"/>
            <w:bottom w:w="0" w:type="dxa"/>
            <w:right w:w="108" w:type="dxa"/>
          </w:tblCellMar>
        </w:tblPrEx>
        <w:trPr>
          <w:trHeight w:val="850" w:hRule="exact"/>
          <w:jc w:val="center"/>
        </w:trPr>
        <w:tc>
          <w:tcPr>
            <w:tcW w:w="754"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240" w:lineRule="auto"/>
              <w:jc w:val="center"/>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b/>
                <w:bCs/>
                <w:i w:val="0"/>
                <w:iCs w:val="0"/>
                <w:color w:val="auto"/>
                <w:kern w:val="0"/>
                <w:sz w:val="21"/>
                <w:szCs w:val="21"/>
                <w:u w:val="none"/>
                <w:lang w:val="en-US" w:eastAsia="zh-CN" w:bidi="ar"/>
              </w:rPr>
              <w:t>序号</w:t>
            </w:r>
          </w:p>
        </w:tc>
        <w:tc>
          <w:tcPr>
            <w:tcW w:w="809"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240" w:lineRule="auto"/>
              <w:jc w:val="center"/>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b/>
                <w:bCs/>
                <w:i w:val="0"/>
                <w:iCs w:val="0"/>
                <w:color w:val="auto"/>
                <w:kern w:val="0"/>
                <w:sz w:val="21"/>
                <w:szCs w:val="21"/>
                <w:u w:val="none"/>
                <w:lang w:val="en-US" w:eastAsia="zh-CN" w:bidi="ar"/>
              </w:rPr>
              <w:t>包号</w:t>
            </w:r>
          </w:p>
        </w:tc>
        <w:tc>
          <w:tcPr>
            <w:tcW w:w="1915" w:type="dxa"/>
            <w:tcBorders>
              <w:top w:val="single" w:color="000000" w:sz="4" w:space="0"/>
              <w:left w:val="nil"/>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240" w:lineRule="auto"/>
              <w:jc w:val="center"/>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b/>
                <w:bCs/>
                <w:i w:val="0"/>
                <w:iCs w:val="0"/>
                <w:color w:val="auto"/>
                <w:kern w:val="0"/>
                <w:sz w:val="21"/>
                <w:szCs w:val="21"/>
                <w:u w:val="none"/>
                <w:lang w:val="en-US" w:eastAsia="zh-CN" w:bidi="ar"/>
              </w:rPr>
              <w:t>包名称</w:t>
            </w:r>
          </w:p>
        </w:tc>
        <w:tc>
          <w:tcPr>
            <w:tcW w:w="1250" w:type="dxa"/>
            <w:tcBorders>
              <w:top w:val="single" w:color="000000" w:sz="4" w:space="0"/>
              <w:left w:val="nil"/>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240" w:lineRule="auto"/>
              <w:jc w:val="center"/>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b/>
                <w:bCs/>
                <w:i w:val="0"/>
                <w:iCs w:val="0"/>
                <w:color w:val="auto"/>
                <w:kern w:val="0"/>
                <w:sz w:val="21"/>
                <w:szCs w:val="21"/>
                <w:u w:val="none"/>
                <w:lang w:val="en-US" w:eastAsia="zh-CN" w:bidi="ar"/>
              </w:rPr>
              <w:t>项目概况</w:t>
            </w:r>
          </w:p>
        </w:tc>
        <w:tc>
          <w:tcPr>
            <w:tcW w:w="1617" w:type="dxa"/>
            <w:tcBorders>
              <w:top w:val="single" w:color="000000" w:sz="4" w:space="0"/>
              <w:left w:val="nil"/>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240" w:lineRule="auto"/>
              <w:jc w:val="center"/>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b/>
                <w:bCs/>
                <w:i w:val="0"/>
                <w:iCs w:val="0"/>
                <w:color w:val="auto"/>
                <w:kern w:val="0"/>
                <w:sz w:val="21"/>
                <w:szCs w:val="21"/>
                <w:u w:val="none"/>
                <w:lang w:val="en-US" w:eastAsia="zh-CN" w:bidi="ar"/>
              </w:rPr>
              <w:t>建设单位</w:t>
            </w:r>
          </w:p>
        </w:tc>
        <w:tc>
          <w:tcPr>
            <w:tcW w:w="1066" w:type="dxa"/>
            <w:tcBorders>
              <w:top w:val="single" w:color="000000" w:sz="4" w:space="0"/>
              <w:left w:val="nil"/>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240" w:lineRule="auto"/>
              <w:jc w:val="center"/>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b/>
                <w:bCs/>
                <w:i w:val="0"/>
                <w:iCs w:val="0"/>
                <w:color w:val="auto"/>
                <w:kern w:val="0"/>
                <w:sz w:val="21"/>
                <w:szCs w:val="21"/>
                <w:u w:val="none"/>
                <w:lang w:val="en-US" w:eastAsia="zh-CN" w:bidi="ar"/>
              </w:rPr>
              <w:t>开工日期</w:t>
            </w:r>
          </w:p>
        </w:tc>
        <w:tc>
          <w:tcPr>
            <w:tcW w:w="1067" w:type="dxa"/>
            <w:tcBorders>
              <w:top w:val="single" w:color="000000" w:sz="4" w:space="0"/>
              <w:left w:val="nil"/>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240" w:lineRule="auto"/>
              <w:jc w:val="center"/>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b/>
                <w:bCs/>
                <w:i w:val="0"/>
                <w:iCs w:val="0"/>
                <w:color w:val="auto"/>
                <w:kern w:val="0"/>
                <w:sz w:val="21"/>
                <w:szCs w:val="21"/>
                <w:u w:val="none"/>
                <w:lang w:val="en-US" w:eastAsia="zh-CN" w:bidi="ar"/>
              </w:rPr>
              <w:t>竣工日期</w:t>
            </w:r>
          </w:p>
        </w:tc>
        <w:tc>
          <w:tcPr>
            <w:tcW w:w="1296" w:type="dxa"/>
            <w:tcBorders>
              <w:top w:val="single" w:color="000000"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240" w:lineRule="auto"/>
              <w:jc w:val="center"/>
              <w:textAlignment w:val="center"/>
              <w:rPr>
                <w:rFonts w:hint="default" w:ascii="宋体" w:hAnsi="宋体" w:eastAsia="宋体" w:cs="宋体"/>
                <w:b/>
                <w:bCs/>
                <w:i w:val="0"/>
                <w:iCs w:val="0"/>
                <w:color w:val="auto"/>
                <w:kern w:val="0"/>
                <w:sz w:val="21"/>
                <w:szCs w:val="21"/>
                <w:u w:val="none"/>
                <w:lang w:val="en-US" w:eastAsia="zh-CN" w:bidi="ar"/>
              </w:rPr>
            </w:pPr>
            <w:r>
              <w:rPr>
                <w:rFonts w:hint="eastAsia" w:ascii="宋体" w:hAnsi="宋体" w:eastAsia="宋体" w:cs="宋体"/>
                <w:b/>
                <w:bCs/>
                <w:i w:val="0"/>
                <w:iCs w:val="0"/>
                <w:color w:val="auto"/>
                <w:kern w:val="0"/>
                <w:sz w:val="21"/>
                <w:szCs w:val="21"/>
                <w:u w:val="none"/>
                <w:lang w:val="en-US" w:eastAsia="zh-CN" w:bidi="ar"/>
              </w:rPr>
              <w:t>资金预估总量（万元）</w:t>
            </w:r>
          </w:p>
        </w:tc>
        <w:tc>
          <w:tcPr>
            <w:tcW w:w="1090" w:type="dxa"/>
            <w:tcBorders>
              <w:top w:val="single" w:color="000000"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240" w:lineRule="auto"/>
              <w:jc w:val="center"/>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b/>
                <w:bCs/>
                <w:i w:val="0"/>
                <w:iCs w:val="0"/>
                <w:color w:val="auto"/>
                <w:kern w:val="0"/>
                <w:sz w:val="21"/>
                <w:szCs w:val="21"/>
                <w:u w:val="none"/>
                <w:lang w:val="en-US" w:eastAsia="zh-CN" w:bidi="ar"/>
              </w:rPr>
              <w:t>最高限价</w:t>
            </w:r>
          </w:p>
          <w:p>
            <w:pPr>
              <w:keepNext w:val="0"/>
              <w:keepLines w:val="0"/>
              <w:pageBreakBefore w:val="0"/>
              <w:widowControl/>
              <w:suppressLineNumbers w:val="0"/>
              <w:kinsoku/>
              <w:wordWrap/>
              <w:overflowPunct/>
              <w:topLinePunct/>
              <w:autoSpaceDE/>
              <w:autoSpaceDN/>
              <w:bidi w:val="0"/>
              <w:adjustRightInd/>
              <w:snapToGrid/>
              <w:spacing w:line="240" w:lineRule="auto"/>
              <w:jc w:val="center"/>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b/>
                <w:bCs/>
                <w:i w:val="0"/>
                <w:iCs w:val="0"/>
                <w:color w:val="auto"/>
                <w:kern w:val="0"/>
                <w:sz w:val="21"/>
                <w:szCs w:val="21"/>
                <w:u w:val="none"/>
                <w:lang w:val="en-US" w:eastAsia="zh-CN" w:bidi="ar"/>
              </w:rPr>
              <w:t>（</w:t>
            </w:r>
            <w:r>
              <w:rPr>
                <w:rFonts w:hint="eastAsia" w:ascii="宋体" w:hAnsi="宋体" w:cs="宋体"/>
                <w:b/>
                <w:bCs/>
                <w:i w:val="0"/>
                <w:iCs w:val="0"/>
                <w:color w:val="auto"/>
                <w:kern w:val="0"/>
                <w:sz w:val="21"/>
                <w:szCs w:val="21"/>
                <w:u w:val="none"/>
                <w:lang w:val="en-US" w:eastAsia="zh-CN" w:bidi="ar"/>
              </w:rPr>
              <w:t>折扣率</w:t>
            </w:r>
            <w:r>
              <w:rPr>
                <w:rFonts w:hint="eastAsia" w:ascii="宋体" w:hAnsi="宋体" w:eastAsia="宋体" w:cs="宋体"/>
                <w:b/>
                <w:bCs/>
                <w:i w:val="0"/>
                <w:iCs w:val="0"/>
                <w:color w:val="auto"/>
                <w:kern w:val="0"/>
                <w:sz w:val="21"/>
                <w:szCs w:val="21"/>
                <w:u w:val="none"/>
                <w:lang w:val="en-US" w:eastAsia="zh-CN" w:bidi="ar"/>
              </w:rPr>
              <w:t>）</w:t>
            </w:r>
          </w:p>
        </w:tc>
        <w:tc>
          <w:tcPr>
            <w:tcW w:w="1226" w:type="dxa"/>
            <w:tcBorders>
              <w:top w:val="single" w:color="000000"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240" w:lineRule="auto"/>
              <w:jc w:val="center"/>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b/>
                <w:bCs/>
                <w:i w:val="0"/>
                <w:iCs w:val="0"/>
                <w:color w:val="auto"/>
                <w:kern w:val="0"/>
                <w:sz w:val="21"/>
                <w:szCs w:val="21"/>
                <w:u w:val="none"/>
                <w:lang w:val="en-US" w:eastAsia="zh-CN" w:bidi="ar"/>
              </w:rPr>
              <w:t>投标保证金（万元）</w:t>
            </w:r>
          </w:p>
        </w:tc>
        <w:tc>
          <w:tcPr>
            <w:tcW w:w="38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240" w:lineRule="auto"/>
              <w:jc w:val="center"/>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b/>
                <w:bCs/>
                <w:i w:val="0"/>
                <w:iCs w:val="0"/>
                <w:color w:val="auto"/>
                <w:kern w:val="0"/>
                <w:sz w:val="21"/>
                <w:szCs w:val="21"/>
                <w:u w:val="none"/>
                <w:lang w:val="en-US" w:eastAsia="zh-CN" w:bidi="ar"/>
              </w:rPr>
              <w:t>专用资质要求</w:t>
            </w:r>
          </w:p>
        </w:tc>
        <w:tc>
          <w:tcPr>
            <w:tcW w:w="6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240" w:lineRule="auto"/>
              <w:jc w:val="center"/>
              <w:textAlignment w:val="center"/>
              <w:rPr>
                <w:rFonts w:hint="default" w:ascii="宋体" w:hAnsi="宋体" w:eastAsia="宋体" w:cs="宋体"/>
                <w:b/>
                <w:bCs/>
                <w:i w:val="0"/>
                <w:iCs w:val="0"/>
                <w:color w:val="auto"/>
                <w:kern w:val="0"/>
                <w:sz w:val="21"/>
                <w:szCs w:val="21"/>
                <w:u w:val="none"/>
                <w:lang w:val="en-US" w:eastAsia="zh-CN" w:bidi="ar"/>
              </w:rPr>
            </w:pPr>
            <w:r>
              <w:rPr>
                <w:rFonts w:hint="eastAsia" w:ascii="宋体" w:hAnsi="宋体" w:eastAsia="宋体" w:cs="宋体"/>
                <w:b/>
                <w:bCs/>
                <w:i w:val="0"/>
                <w:iCs w:val="0"/>
                <w:color w:val="auto"/>
                <w:kern w:val="0"/>
                <w:sz w:val="21"/>
                <w:szCs w:val="21"/>
                <w:u w:val="none"/>
                <w:lang w:val="en-US" w:eastAsia="zh-CN" w:bidi="ar"/>
              </w:rPr>
              <w:t>备注</w:t>
            </w:r>
          </w:p>
        </w:tc>
      </w:tr>
      <w:tr>
        <w:tblPrEx>
          <w:tblCellMar>
            <w:top w:w="0" w:type="dxa"/>
            <w:left w:w="108" w:type="dxa"/>
            <w:bottom w:w="0" w:type="dxa"/>
            <w:right w:w="108" w:type="dxa"/>
          </w:tblCellMar>
        </w:tblPrEx>
        <w:trPr>
          <w:trHeight w:val="3170" w:hRule="exact"/>
          <w:jc w:val="center"/>
        </w:trPr>
        <w:tc>
          <w:tcPr>
            <w:tcW w:w="7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autoSpaceDE/>
              <w:autoSpaceDN/>
              <w:bidi w:val="0"/>
              <w:adjustRightInd/>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autoSpaceDE/>
              <w:autoSpaceDN/>
              <w:bidi w:val="0"/>
              <w:adjustRightInd/>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包01</w:t>
            </w:r>
          </w:p>
        </w:tc>
        <w:tc>
          <w:tcPr>
            <w:tcW w:w="191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autoSpaceDE/>
              <w:autoSpaceDN/>
              <w:bidi w:val="0"/>
              <w:adjustRightInd/>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山东思极科技有限公司数字运营中心建设项目</w:t>
            </w:r>
          </w:p>
        </w:tc>
        <w:tc>
          <w:tcPr>
            <w:tcW w:w="125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autoSpaceDE/>
              <w:autoSpaceDN/>
              <w:bidi w:val="0"/>
              <w:adjustRightInd/>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详见技术规范书</w:t>
            </w:r>
          </w:p>
        </w:tc>
        <w:tc>
          <w:tcPr>
            <w:tcW w:w="161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autoSpaceDE/>
              <w:autoSpaceDN/>
              <w:bidi w:val="0"/>
              <w:adjustRightInd/>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山东思极科技有限公司</w:t>
            </w:r>
          </w:p>
        </w:tc>
        <w:tc>
          <w:tcPr>
            <w:tcW w:w="106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autoSpaceDE/>
              <w:autoSpaceDN/>
              <w:bidi w:val="0"/>
              <w:adjustRightInd/>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详见技术规范书</w:t>
            </w:r>
          </w:p>
        </w:tc>
        <w:tc>
          <w:tcPr>
            <w:tcW w:w="10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autoSpaceDE/>
              <w:autoSpaceDN/>
              <w:bidi w:val="0"/>
              <w:adjustRightInd/>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详见技术规范书</w:t>
            </w:r>
          </w:p>
        </w:tc>
        <w:tc>
          <w:tcPr>
            <w:tcW w:w="12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autoSpaceDE/>
              <w:autoSpaceDN/>
              <w:bidi w:val="0"/>
              <w:adjustRightInd/>
              <w:spacing w:line="240" w:lineRule="auto"/>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120</w:t>
            </w:r>
          </w:p>
        </w:tc>
        <w:tc>
          <w:tcPr>
            <w:tcW w:w="10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autoSpaceDE/>
              <w:autoSpaceDN/>
              <w:bidi w:val="0"/>
              <w:adjustRightInd/>
              <w:spacing w:line="240" w:lineRule="auto"/>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100%</w:t>
            </w:r>
          </w:p>
        </w:tc>
        <w:tc>
          <w:tcPr>
            <w:tcW w:w="122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autoSpaceDE/>
              <w:autoSpaceDN/>
              <w:bidi w:val="0"/>
              <w:adjustRightInd/>
              <w:spacing w:line="240" w:lineRule="auto"/>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1.20</w:t>
            </w:r>
          </w:p>
        </w:tc>
        <w:tc>
          <w:tcPr>
            <w:tcW w:w="38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numPr>
                <w:ilvl w:val="0"/>
                <w:numId w:val="3"/>
              </w:numPr>
              <w:suppressLineNumbers w:val="0"/>
              <w:kinsoku/>
              <w:wordWrap/>
              <w:overflowPunct/>
              <w:autoSpaceDE/>
              <w:autoSpaceDN/>
              <w:bidi w:val="0"/>
              <w:adjustRightInd/>
              <w:spacing w:line="240" w:lineRule="auto"/>
              <w:jc w:val="left"/>
              <w:textAlignment w:val="center"/>
              <w:rPr>
                <w:rFonts w:hint="eastAsia" w:ascii="宋体" w:hAnsi="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投标</w:t>
            </w:r>
            <w:r>
              <w:rPr>
                <w:rFonts w:hint="eastAsia" w:ascii="宋体" w:hAnsi="宋体" w:eastAsia="宋体" w:cs="宋体"/>
                <w:i w:val="0"/>
                <w:iCs w:val="0"/>
                <w:color w:val="auto"/>
                <w:kern w:val="0"/>
                <w:sz w:val="21"/>
                <w:szCs w:val="21"/>
                <w:u w:val="none"/>
                <w:lang w:val="en-US" w:eastAsia="zh-CN" w:bidi="ar"/>
              </w:rPr>
              <w:t>人应具备独立法人资格，持有有效的营业执照</w:t>
            </w:r>
            <w:r>
              <w:rPr>
                <w:rFonts w:hint="eastAsia" w:ascii="宋体" w:hAnsi="宋体" w:cs="宋体"/>
                <w:i w:val="0"/>
                <w:iCs w:val="0"/>
                <w:color w:val="auto"/>
                <w:kern w:val="0"/>
                <w:sz w:val="21"/>
                <w:szCs w:val="21"/>
                <w:u w:val="none"/>
                <w:lang w:val="en-US" w:eastAsia="zh-CN" w:bidi="ar"/>
              </w:rPr>
              <w:t>；</w:t>
            </w:r>
          </w:p>
          <w:p>
            <w:pPr>
              <w:keepNext w:val="0"/>
              <w:keepLines w:val="0"/>
              <w:pageBreakBefore w:val="0"/>
              <w:widowControl/>
              <w:numPr>
                <w:ilvl w:val="0"/>
                <w:numId w:val="3"/>
              </w:numPr>
              <w:suppressLineNumbers w:val="0"/>
              <w:kinsoku/>
              <w:wordWrap/>
              <w:overflowPunct/>
              <w:autoSpaceDE/>
              <w:autoSpaceDN/>
              <w:bidi w:val="0"/>
              <w:adjustRightInd/>
              <w:spacing w:line="24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具备广播电视节目制作经营许可证</w:t>
            </w:r>
            <w:r>
              <w:rPr>
                <w:rFonts w:hint="eastAsia" w:ascii="宋体" w:hAnsi="宋体" w:cs="宋体"/>
                <w:i w:val="0"/>
                <w:iCs w:val="0"/>
                <w:color w:val="auto"/>
                <w:kern w:val="0"/>
                <w:sz w:val="21"/>
                <w:szCs w:val="21"/>
                <w:u w:val="none"/>
                <w:lang w:val="en-US" w:eastAsia="zh-CN" w:bidi="ar"/>
              </w:rPr>
              <w:t>；3、</w:t>
            </w:r>
            <w:r>
              <w:rPr>
                <w:rFonts w:hint="eastAsia" w:ascii="宋体" w:hAnsi="宋体" w:eastAsia="宋体" w:cs="宋体"/>
                <w:i w:val="0"/>
                <w:iCs w:val="0"/>
                <w:color w:val="auto"/>
                <w:kern w:val="0"/>
                <w:sz w:val="21"/>
                <w:szCs w:val="21"/>
                <w:u w:val="none"/>
                <w:lang w:val="en-US" w:eastAsia="zh-CN" w:bidi="ar"/>
              </w:rPr>
              <w:t>项目团队中至少1人具有3D动画师证书</w:t>
            </w:r>
            <w:r>
              <w:rPr>
                <w:rFonts w:hint="eastAsia" w:ascii="宋体" w:hAnsi="宋体" w:cs="宋体"/>
                <w:i w:val="0"/>
                <w:iCs w:val="0"/>
                <w:color w:val="auto"/>
                <w:kern w:val="0"/>
                <w:sz w:val="21"/>
                <w:szCs w:val="21"/>
                <w:u w:val="none"/>
                <w:lang w:val="en-US" w:eastAsia="zh-CN" w:bidi="ar"/>
              </w:rPr>
              <w:t>；</w:t>
            </w:r>
          </w:p>
          <w:p>
            <w:pPr>
              <w:keepNext w:val="0"/>
              <w:keepLines w:val="0"/>
              <w:pageBreakBefore w:val="0"/>
              <w:widowControl/>
              <w:suppressLineNumbers w:val="0"/>
              <w:kinsoku/>
              <w:wordWrap/>
              <w:overflowPunct/>
              <w:autoSpaceDE/>
              <w:autoSpaceDN/>
              <w:bidi w:val="0"/>
              <w:adjustRightInd/>
              <w:spacing w:line="240" w:lineRule="auto"/>
              <w:jc w:val="left"/>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4、投标</w:t>
            </w:r>
            <w:r>
              <w:rPr>
                <w:rFonts w:hint="eastAsia" w:ascii="宋体" w:hAnsi="宋体" w:eastAsia="宋体" w:cs="宋体"/>
                <w:i w:val="0"/>
                <w:iCs w:val="0"/>
                <w:color w:val="auto"/>
                <w:kern w:val="0"/>
                <w:sz w:val="21"/>
                <w:szCs w:val="21"/>
                <w:u w:val="none"/>
                <w:lang w:val="en-US" w:eastAsia="zh-CN" w:bidi="ar"/>
              </w:rPr>
              <w:t>人</w:t>
            </w:r>
            <w:r>
              <w:rPr>
                <w:rFonts w:hint="eastAsia" w:ascii="宋体" w:hAnsi="宋体" w:cs="宋体"/>
                <w:i w:val="0"/>
                <w:iCs w:val="0"/>
                <w:color w:val="auto"/>
                <w:kern w:val="0"/>
                <w:sz w:val="21"/>
                <w:szCs w:val="21"/>
                <w:u w:val="none"/>
                <w:lang w:val="en-US" w:eastAsia="zh-CN" w:bidi="ar"/>
              </w:rPr>
              <w:t>自</w:t>
            </w:r>
            <w:r>
              <w:rPr>
                <w:rFonts w:hint="eastAsia" w:ascii="宋体" w:hAnsi="宋体" w:eastAsia="宋体" w:cs="宋体"/>
                <w:i w:val="0"/>
                <w:iCs w:val="0"/>
                <w:color w:val="auto"/>
                <w:kern w:val="0"/>
                <w:sz w:val="21"/>
                <w:szCs w:val="21"/>
                <w:u w:val="none"/>
                <w:lang w:val="en-US" w:eastAsia="zh-CN" w:bidi="ar"/>
              </w:rPr>
              <w:t>2019年1月1日至报价截止日，至少具有3个宣传品制作业绩，并提供相应的合同和对应的增值税发票。</w:t>
            </w:r>
          </w:p>
        </w:tc>
        <w:tc>
          <w:tcPr>
            <w:tcW w:w="6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numPr>
                <w:ilvl w:val="0"/>
                <w:numId w:val="0"/>
              </w:numPr>
              <w:kinsoku/>
              <w:wordWrap/>
              <w:overflowPunct/>
              <w:topLinePunct w:val="0"/>
              <w:autoSpaceDE/>
              <w:autoSpaceDN/>
              <w:bidi w:val="0"/>
              <w:adjustRightInd/>
              <w:snapToGrid w:val="0"/>
              <w:spacing w:line="240" w:lineRule="auto"/>
              <w:ind w:left="0" w:leftChars="0" w:right="0" w:rightChars="0" w:firstLine="0" w:firstLineChars="0"/>
              <w:jc w:val="center"/>
              <w:rPr>
                <w:rFonts w:hint="default" w:ascii="方正黑体_GBK" w:hAnsi="方正黑体_GBK" w:eastAsia="方正黑体_GBK" w:cs="方正黑体_GBK"/>
                <w:kern w:val="0"/>
                <w:sz w:val="18"/>
                <w:szCs w:val="18"/>
                <w:lang w:val="en-US" w:eastAsia="zh-CN"/>
              </w:rPr>
            </w:pPr>
            <w:r>
              <w:rPr>
                <w:rFonts w:hint="eastAsia" w:ascii="方正黑体_GBK" w:hAnsi="方正黑体_GBK" w:eastAsia="方正黑体_GBK" w:cs="方正黑体_GBK"/>
                <w:kern w:val="0"/>
                <w:sz w:val="18"/>
                <w:szCs w:val="18"/>
                <w:lang w:val="en-US" w:eastAsia="zh-CN"/>
              </w:rPr>
              <w:t>/</w:t>
            </w:r>
          </w:p>
        </w:tc>
      </w:tr>
    </w:tbl>
    <w:p>
      <w:pPr>
        <w:pStyle w:val="5"/>
        <w:keepNext w:val="0"/>
        <w:keepLines w:val="0"/>
        <w:pageBreakBefore w:val="0"/>
        <w:kinsoku/>
        <w:wordWrap/>
        <w:overflowPunct/>
        <w:bidi w:val="0"/>
        <w:spacing w:line="360" w:lineRule="auto"/>
        <w:rPr>
          <w:rFonts w:hAnsi="宋体" w:cs="宋体"/>
          <w:b/>
          <w:bCs/>
          <w:color w:val="auto"/>
          <w:sz w:val="21"/>
          <w:szCs w:val="21"/>
          <w:highlight w:val="none"/>
        </w:rPr>
      </w:pPr>
      <w:r>
        <w:rPr>
          <w:rFonts w:hint="eastAsia" w:hAnsi="宋体" w:cs="宋体"/>
          <w:b/>
          <w:bCs/>
          <w:color w:val="auto"/>
          <w:sz w:val="21"/>
          <w:szCs w:val="21"/>
          <w:highlight w:val="none"/>
        </w:rPr>
        <w:t>电子邮件方式递交的投标文件按照附件1：投标文件双层pdf格式制作操作手册，进行制作。</w:t>
      </w:r>
    </w:p>
    <w:p>
      <w:pPr>
        <w:keepNext w:val="0"/>
        <w:keepLines w:val="0"/>
        <w:pageBreakBefore w:val="0"/>
        <w:kinsoku/>
        <w:wordWrap/>
        <w:overflowPunct/>
        <w:bidi w:val="0"/>
        <w:spacing w:line="360" w:lineRule="auto"/>
        <w:rPr>
          <w:rFonts w:hint="eastAsia" w:ascii="黑体" w:eastAsia="黑体"/>
          <w:b/>
          <w:color w:val="000000"/>
          <w:sz w:val="20"/>
          <w:szCs w:val="20"/>
          <w:lang w:val="en-US" w:eastAsia="zh-CN"/>
        </w:rPr>
      </w:pPr>
      <w:r>
        <w:rPr>
          <w:rFonts w:hint="eastAsia" w:hAnsi="宋体" w:cs="宋体"/>
          <w:b/>
          <w:bCs/>
          <w:color w:val="auto"/>
          <w:sz w:val="21"/>
          <w:szCs w:val="21"/>
          <w:highlight w:val="none"/>
          <w:lang w:eastAsia="zh-CN"/>
        </w:rPr>
        <w:t>附件1：投标文件双层pdf格式制作操作手册</w:t>
      </w:r>
    </w:p>
    <w:sectPr>
      <w:headerReference r:id="rId5" w:type="default"/>
      <w:footerReference r:id="rId6" w:type="default"/>
      <w:pgSz w:w="16838" w:h="11906" w:orient="landscape"/>
      <w:pgMar w:top="567" w:right="567" w:bottom="567" w:left="567" w:header="1134" w:footer="1134" w:gutter="0"/>
      <w:pgNumType w:start="1"/>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rPr>
        <w:rStyle w:val="115"/>
      </w:rPr>
    </w:pPr>
    <w:r>
      <w:fldChar w:fldCharType="begin"/>
    </w:r>
    <w:r>
      <w:rPr>
        <w:rStyle w:val="115"/>
      </w:rPr>
      <w:instrText xml:space="preserve">PAGE  </w:instrText>
    </w:r>
    <w:r>
      <w:fldChar w:fldCharType="separate"/>
    </w:r>
    <w:r>
      <w:rPr>
        <w:rStyle w:val="115"/>
      </w:rPr>
      <w:t>8</w:t>
    </w:r>
    <w:r>
      <w:fldChar w:fldCharType="end"/>
    </w:r>
  </w:p>
  <w:p>
    <w:pPr>
      <w:pStyle w:val="1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rPr>
        <w:rStyle w:val="115"/>
      </w:rPr>
    </w:pPr>
    <w:r>
      <w:fldChar w:fldCharType="begin"/>
    </w:r>
    <w:r>
      <w:rPr>
        <w:rStyle w:val="115"/>
      </w:rPr>
      <w:instrText xml:space="preserve">PAGE  </w:instrText>
    </w:r>
    <w:r>
      <w:fldChar w:fldCharType="separate"/>
    </w:r>
    <w:r>
      <w:rPr>
        <w:rStyle w:val="115"/>
      </w:rPr>
      <w:t>18</w:t>
    </w:r>
    <w:r>
      <w:fldChar w:fldCharType="end"/>
    </w:r>
  </w:p>
  <w:p>
    <w:pPr>
      <w:pStyle w:val="11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9"/>
    <w:multiLevelType w:val="multilevel"/>
    <w:tmpl w:val="00000009"/>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
    <w:nsid w:val="0838F022"/>
    <w:multiLevelType w:val="singleLevel"/>
    <w:tmpl w:val="0838F022"/>
    <w:lvl w:ilvl="0" w:tentative="0">
      <w:start w:val="1"/>
      <w:numFmt w:val="decimal"/>
      <w:suff w:val="nothing"/>
      <w:lvlText w:val="%1、"/>
      <w:lvlJc w:val="left"/>
    </w:lvl>
  </w:abstractNum>
  <w:abstractNum w:abstractNumId="2">
    <w:nsid w:val="25166BDB"/>
    <w:multiLevelType w:val="multilevel"/>
    <w:tmpl w:val="25166BDB"/>
    <w:lvl w:ilvl="0" w:tentative="0">
      <w:start w:val="1"/>
      <w:numFmt w:val="decimal"/>
      <w:lvlText w:val="（%1）"/>
      <w:lvlJc w:val="left"/>
      <w:pPr>
        <w:ind w:left="1190" w:hanging="720"/>
      </w:pPr>
      <w:rPr>
        <w:rFonts w:hint="default"/>
      </w:rPr>
    </w:lvl>
    <w:lvl w:ilvl="1" w:tentative="0">
      <w:start w:val="1"/>
      <w:numFmt w:val="lowerLetter"/>
      <w:lvlText w:val="%2)"/>
      <w:lvlJc w:val="left"/>
      <w:pPr>
        <w:ind w:left="1310" w:hanging="420"/>
      </w:pPr>
    </w:lvl>
    <w:lvl w:ilvl="2" w:tentative="0">
      <w:start w:val="1"/>
      <w:numFmt w:val="lowerRoman"/>
      <w:lvlText w:val="%3."/>
      <w:lvlJc w:val="right"/>
      <w:pPr>
        <w:ind w:left="1730" w:hanging="420"/>
      </w:pPr>
    </w:lvl>
    <w:lvl w:ilvl="3" w:tentative="0">
      <w:start w:val="1"/>
      <w:numFmt w:val="decimal"/>
      <w:lvlText w:val="%4."/>
      <w:lvlJc w:val="left"/>
      <w:pPr>
        <w:ind w:left="2150" w:hanging="420"/>
      </w:pPr>
    </w:lvl>
    <w:lvl w:ilvl="4" w:tentative="0">
      <w:start w:val="1"/>
      <w:numFmt w:val="lowerLetter"/>
      <w:lvlText w:val="%5)"/>
      <w:lvlJc w:val="left"/>
      <w:pPr>
        <w:ind w:left="2570" w:hanging="420"/>
      </w:pPr>
    </w:lvl>
    <w:lvl w:ilvl="5" w:tentative="0">
      <w:start w:val="1"/>
      <w:numFmt w:val="lowerRoman"/>
      <w:lvlText w:val="%6."/>
      <w:lvlJc w:val="right"/>
      <w:pPr>
        <w:ind w:left="2990" w:hanging="420"/>
      </w:pPr>
    </w:lvl>
    <w:lvl w:ilvl="6" w:tentative="0">
      <w:start w:val="1"/>
      <w:numFmt w:val="decimal"/>
      <w:lvlText w:val="%7."/>
      <w:lvlJc w:val="left"/>
      <w:pPr>
        <w:ind w:left="3410" w:hanging="420"/>
      </w:pPr>
    </w:lvl>
    <w:lvl w:ilvl="7" w:tentative="0">
      <w:start w:val="1"/>
      <w:numFmt w:val="lowerLetter"/>
      <w:lvlText w:val="%8)"/>
      <w:lvlJc w:val="left"/>
      <w:pPr>
        <w:ind w:left="3830" w:hanging="420"/>
      </w:pPr>
    </w:lvl>
    <w:lvl w:ilvl="8" w:tentative="0">
      <w:start w:val="1"/>
      <w:numFmt w:val="lowerRoman"/>
      <w:lvlText w:val="%9."/>
      <w:lvlJc w:val="right"/>
      <w:pPr>
        <w:ind w:left="425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hideSpellingErrors/>
  <w:hideGrammatical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JmN2M2NDI0YThhYjA1ZTU1MDFkMjI1MWMzZThjMTYifQ=="/>
  </w:docVars>
  <w:rsids>
    <w:rsidRoot w:val="00F73B5E"/>
    <w:rsid w:val="000008CE"/>
    <w:rsid w:val="00001A68"/>
    <w:rsid w:val="0000532F"/>
    <w:rsid w:val="000072C9"/>
    <w:rsid w:val="00014A9F"/>
    <w:rsid w:val="0002119E"/>
    <w:rsid w:val="00025DE3"/>
    <w:rsid w:val="00030C3C"/>
    <w:rsid w:val="0003161A"/>
    <w:rsid w:val="00033453"/>
    <w:rsid w:val="00037FB1"/>
    <w:rsid w:val="0004296D"/>
    <w:rsid w:val="000607B1"/>
    <w:rsid w:val="00063140"/>
    <w:rsid w:val="00064608"/>
    <w:rsid w:val="00065767"/>
    <w:rsid w:val="0007152C"/>
    <w:rsid w:val="00072058"/>
    <w:rsid w:val="00076A4C"/>
    <w:rsid w:val="00076C92"/>
    <w:rsid w:val="00084F61"/>
    <w:rsid w:val="000873C4"/>
    <w:rsid w:val="00092C8A"/>
    <w:rsid w:val="000950DB"/>
    <w:rsid w:val="000A64F0"/>
    <w:rsid w:val="000A7A1F"/>
    <w:rsid w:val="000B7150"/>
    <w:rsid w:val="000C3DAA"/>
    <w:rsid w:val="000E1C2F"/>
    <w:rsid w:val="000E327F"/>
    <w:rsid w:val="000E514F"/>
    <w:rsid w:val="000E5334"/>
    <w:rsid w:val="001026C4"/>
    <w:rsid w:val="00106187"/>
    <w:rsid w:val="00106481"/>
    <w:rsid w:val="00106D0B"/>
    <w:rsid w:val="0011452B"/>
    <w:rsid w:val="00114A33"/>
    <w:rsid w:val="00114F69"/>
    <w:rsid w:val="0013748B"/>
    <w:rsid w:val="00140CA7"/>
    <w:rsid w:val="00141382"/>
    <w:rsid w:val="00142BCC"/>
    <w:rsid w:val="001446C5"/>
    <w:rsid w:val="001460D9"/>
    <w:rsid w:val="001518E5"/>
    <w:rsid w:val="00157B8D"/>
    <w:rsid w:val="00161B81"/>
    <w:rsid w:val="00181EBB"/>
    <w:rsid w:val="001A26CA"/>
    <w:rsid w:val="001A654A"/>
    <w:rsid w:val="001A78FC"/>
    <w:rsid w:val="001C3178"/>
    <w:rsid w:val="001C4D2A"/>
    <w:rsid w:val="001C5D6F"/>
    <w:rsid w:val="001D1B58"/>
    <w:rsid w:val="001D644D"/>
    <w:rsid w:val="001D7653"/>
    <w:rsid w:val="001D7F7E"/>
    <w:rsid w:val="001E0B44"/>
    <w:rsid w:val="001E1022"/>
    <w:rsid w:val="001E2BB0"/>
    <w:rsid w:val="001E3FB2"/>
    <w:rsid w:val="001E58BD"/>
    <w:rsid w:val="002073A7"/>
    <w:rsid w:val="002138A2"/>
    <w:rsid w:val="002161CB"/>
    <w:rsid w:val="002239D9"/>
    <w:rsid w:val="00227A83"/>
    <w:rsid w:val="002325CB"/>
    <w:rsid w:val="002333CF"/>
    <w:rsid w:val="00236428"/>
    <w:rsid w:val="00237E12"/>
    <w:rsid w:val="002426F1"/>
    <w:rsid w:val="00247BF4"/>
    <w:rsid w:val="00250CE0"/>
    <w:rsid w:val="00254614"/>
    <w:rsid w:val="00254C32"/>
    <w:rsid w:val="002610B3"/>
    <w:rsid w:val="002622A8"/>
    <w:rsid w:val="00280052"/>
    <w:rsid w:val="00287991"/>
    <w:rsid w:val="00290394"/>
    <w:rsid w:val="00292BB4"/>
    <w:rsid w:val="00297568"/>
    <w:rsid w:val="002A02A1"/>
    <w:rsid w:val="002A0CA3"/>
    <w:rsid w:val="002A111A"/>
    <w:rsid w:val="002A63B8"/>
    <w:rsid w:val="002A67C8"/>
    <w:rsid w:val="002B05D0"/>
    <w:rsid w:val="002B6320"/>
    <w:rsid w:val="002B6875"/>
    <w:rsid w:val="002C3254"/>
    <w:rsid w:val="002C4C8A"/>
    <w:rsid w:val="002C5211"/>
    <w:rsid w:val="002C73B3"/>
    <w:rsid w:val="002E199D"/>
    <w:rsid w:val="002E2670"/>
    <w:rsid w:val="002E55EE"/>
    <w:rsid w:val="002E6F20"/>
    <w:rsid w:val="002E777C"/>
    <w:rsid w:val="002F053E"/>
    <w:rsid w:val="002F1427"/>
    <w:rsid w:val="002F6E6F"/>
    <w:rsid w:val="00302E70"/>
    <w:rsid w:val="00315315"/>
    <w:rsid w:val="003178C1"/>
    <w:rsid w:val="00325A68"/>
    <w:rsid w:val="00336292"/>
    <w:rsid w:val="00336F29"/>
    <w:rsid w:val="0035066A"/>
    <w:rsid w:val="0036529D"/>
    <w:rsid w:val="0036701B"/>
    <w:rsid w:val="00367563"/>
    <w:rsid w:val="00386A34"/>
    <w:rsid w:val="00392322"/>
    <w:rsid w:val="00394762"/>
    <w:rsid w:val="003A1A9D"/>
    <w:rsid w:val="003A6825"/>
    <w:rsid w:val="003B0F3E"/>
    <w:rsid w:val="003B5611"/>
    <w:rsid w:val="003B64EA"/>
    <w:rsid w:val="003B69B8"/>
    <w:rsid w:val="003B7F2D"/>
    <w:rsid w:val="003C2494"/>
    <w:rsid w:val="003C431C"/>
    <w:rsid w:val="003C5633"/>
    <w:rsid w:val="003D0AC2"/>
    <w:rsid w:val="003D160D"/>
    <w:rsid w:val="003D36A4"/>
    <w:rsid w:val="003D3DA9"/>
    <w:rsid w:val="003D4DD6"/>
    <w:rsid w:val="003D6336"/>
    <w:rsid w:val="003D76F4"/>
    <w:rsid w:val="003E4B6A"/>
    <w:rsid w:val="003F58CF"/>
    <w:rsid w:val="004118BB"/>
    <w:rsid w:val="00411E92"/>
    <w:rsid w:val="0041353D"/>
    <w:rsid w:val="0041724F"/>
    <w:rsid w:val="00422F4D"/>
    <w:rsid w:val="00423035"/>
    <w:rsid w:val="00427B8E"/>
    <w:rsid w:val="004324A5"/>
    <w:rsid w:val="00444864"/>
    <w:rsid w:val="00447277"/>
    <w:rsid w:val="0044740C"/>
    <w:rsid w:val="00447586"/>
    <w:rsid w:val="004536BB"/>
    <w:rsid w:val="004550CA"/>
    <w:rsid w:val="00462D02"/>
    <w:rsid w:val="004635A8"/>
    <w:rsid w:val="00465177"/>
    <w:rsid w:val="004714ED"/>
    <w:rsid w:val="00471BEB"/>
    <w:rsid w:val="00472815"/>
    <w:rsid w:val="00481F7C"/>
    <w:rsid w:val="004904EE"/>
    <w:rsid w:val="00493391"/>
    <w:rsid w:val="004968B0"/>
    <w:rsid w:val="00497909"/>
    <w:rsid w:val="004A05C8"/>
    <w:rsid w:val="004A1315"/>
    <w:rsid w:val="004A2307"/>
    <w:rsid w:val="004A2461"/>
    <w:rsid w:val="004A516F"/>
    <w:rsid w:val="004A630A"/>
    <w:rsid w:val="004A7F51"/>
    <w:rsid w:val="004B3656"/>
    <w:rsid w:val="004C0ED0"/>
    <w:rsid w:val="004C0F81"/>
    <w:rsid w:val="004C5F6A"/>
    <w:rsid w:val="004D1DE7"/>
    <w:rsid w:val="004D34F3"/>
    <w:rsid w:val="004D7FE4"/>
    <w:rsid w:val="004E3843"/>
    <w:rsid w:val="004E4CFC"/>
    <w:rsid w:val="004E6698"/>
    <w:rsid w:val="004F3D39"/>
    <w:rsid w:val="005017BB"/>
    <w:rsid w:val="005023F1"/>
    <w:rsid w:val="00506CC8"/>
    <w:rsid w:val="00514CE6"/>
    <w:rsid w:val="0052189F"/>
    <w:rsid w:val="00531DE2"/>
    <w:rsid w:val="005350ED"/>
    <w:rsid w:val="00537CE2"/>
    <w:rsid w:val="0055273D"/>
    <w:rsid w:val="00560E9F"/>
    <w:rsid w:val="00565B9A"/>
    <w:rsid w:val="0057246B"/>
    <w:rsid w:val="0057542F"/>
    <w:rsid w:val="00585A5B"/>
    <w:rsid w:val="0058743B"/>
    <w:rsid w:val="00591740"/>
    <w:rsid w:val="0059500D"/>
    <w:rsid w:val="00597EEC"/>
    <w:rsid w:val="005C0FE5"/>
    <w:rsid w:val="005C4A64"/>
    <w:rsid w:val="005C4FD8"/>
    <w:rsid w:val="005C5F35"/>
    <w:rsid w:val="005C7FA9"/>
    <w:rsid w:val="005D1146"/>
    <w:rsid w:val="005E6DBF"/>
    <w:rsid w:val="005E7E60"/>
    <w:rsid w:val="005F1632"/>
    <w:rsid w:val="005F2474"/>
    <w:rsid w:val="005F4450"/>
    <w:rsid w:val="005F5961"/>
    <w:rsid w:val="005F59E2"/>
    <w:rsid w:val="00601236"/>
    <w:rsid w:val="006025BE"/>
    <w:rsid w:val="00602AEA"/>
    <w:rsid w:val="006100BD"/>
    <w:rsid w:val="00626F9A"/>
    <w:rsid w:val="00627C3B"/>
    <w:rsid w:val="006329D2"/>
    <w:rsid w:val="00633F46"/>
    <w:rsid w:val="006349D4"/>
    <w:rsid w:val="006467DA"/>
    <w:rsid w:val="006554BA"/>
    <w:rsid w:val="00656B1F"/>
    <w:rsid w:val="006606A7"/>
    <w:rsid w:val="00664410"/>
    <w:rsid w:val="00674865"/>
    <w:rsid w:val="006777B1"/>
    <w:rsid w:val="00680365"/>
    <w:rsid w:val="00680CE3"/>
    <w:rsid w:val="00681097"/>
    <w:rsid w:val="00683DAD"/>
    <w:rsid w:val="00693C63"/>
    <w:rsid w:val="00696E88"/>
    <w:rsid w:val="006A168A"/>
    <w:rsid w:val="006A269D"/>
    <w:rsid w:val="006A2874"/>
    <w:rsid w:val="006A54CC"/>
    <w:rsid w:val="006B04A1"/>
    <w:rsid w:val="006B543C"/>
    <w:rsid w:val="006B7B96"/>
    <w:rsid w:val="006C1C18"/>
    <w:rsid w:val="006C3135"/>
    <w:rsid w:val="006C5F03"/>
    <w:rsid w:val="0070608F"/>
    <w:rsid w:val="007202FB"/>
    <w:rsid w:val="0072496C"/>
    <w:rsid w:val="007335BE"/>
    <w:rsid w:val="0073573A"/>
    <w:rsid w:val="007474A2"/>
    <w:rsid w:val="00751282"/>
    <w:rsid w:val="00752528"/>
    <w:rsid w:val="00756B29"/>
    <w:rsid w:val="00757D9C"/>
    <w:rsid w:val="00764C45"/>
    <w:rsid w:val="00770BB6"/>
    <w:rsid w:val="00773C24"/>
    <w:rsid w:val="00775498"/>
    <w:rsid w:val="0078294F"/>
    <w:rsid w:val="00786421"/>
    <w:rsid w:val="00790309"/>
    <w:rsid w:val="00790716"/>
    <w:rsid w:val="00791059"/>
    <w:rsid w:val="00792C2A"/>
    <w:rsid w:val="007A077C"/>
    <w:rsid w:val="007A4DE9"/>
    <w:rsid w:val="007B0DB3"/>
    <w:rsid w:val="007B27A4"/>
    <w:rsid w:val="007B6263"/>
    <w:rsid w:val="007C0F7B"/>
    <w:rsid w:val="007C730D"/>
    <w:rsid w:val="007C7B03"/>
    <w:rsid w:val="007D1962"/>
    <w:rsid w:val="007D6673"/>
    <w:rsid w:val="007E09A0"/>
    <w:rsid w:val="007F19F4"/>
    <w:rsid w:val="008003E6"/>
    <w:rsid w:val="00804999"/>
    <w:rsid w:val="008141F8"/>
    <w:rsid w:val="00816E5D"/>
    <w:rsid w:val="00820182"/>
    <w:rsid w:val="008250F7"/>
    <w:rsid w:val="00826303"/>
    <w:rsid w:val="00826ACD"/>
    <w:rsid w:val="008367E7"/>
    <w:rsid w:val="00840D25"/>
    <w:rsid w:val="00860088"/>
    <w:rsid w:val="00864837"/>
    <w:rsid w:val="0088060F"/>
    <w:rsid w:val="00882810"/>
    <w:rsid w:val="0088698E"/>
    <w:rsid w:val="00891D8F"/>
    <w:rsid w:val="0089244B"/>
    <w:rsid w:val="00894825"/>
    <w:rsid w:val="008B0808"/>
    <w:rsid w:val="008B5C13"/>
    <w:rsid w:val="008C284C"/>
    <w:rsid w:val="008C68E0"/>
    <w:rsid w:val="008C6AEA"/>
    <w:rsid w:val="008D7B8E"/>
    <w:rsid w:val="008E095B"/>
    <w:rsid w:val="008E0D3B"/>
    <w:rsid w:val="008E6143"/>
    <w:rsid w:val="008E79FF"/>
    <w:rsid w:val="008F254B"/>
    <w:rsid w:val="008F46B5"/>
    <w:rsid w:val="008F69F0"/>
    <w:rsid w:val="00901529"/>
    <w:rsid w:val="00901EA4"/>
    <w:rsid w:val="009041D7"/>
    <w:rsid w:val="00911C25"/>
    <w:rsid w:val="00914E33"/>
    <w:rsid w:val="0092131E"/>
    <w:rsid w:val="00922073"/>
    <w:rsid w:val="009337D3"/>
    <w:rsid w:val="00934FE8"/>
    <w:rsid w:val="009558E1"/>
    <w:rsid w:val="009567EB"/>
    <w:rsid w:val="00971420"/>
    <w:rsid w:val="00971EA1"/>
    <w:rsid w:val="00995889"/>
    <w:rsid w:val="00997004"/>
    <w:rsid w:val="009A356E"/>
    <w:rsid w:val="009A4A68"/>
    <w:rsid w:val="009B0866"/>
    <w:rsid w:val="009B586A"/>
    <w:rsid w:val="009B5D98"/>
    <w:rsid w:val="009B6706"/>
    <w:rsid w:val="009C5227"/>
    <w:rsid w:val="009D14DD"/>
    <w:rsid w:val="009D1F1F"/>
    <w:rsid w:val="009D4C17"/>
    <w:rsid w:val="009D6102"/>
    <w:rsid w:val="009D62EB"/>
    <w:rsid w:val="009E0EC8"/>
    <w:rsid w:val="009E2B47"/>
    <w:rsid w:val="009E3F49"/>
    <w:rsid w:val="009E52BE"/>
    <w:rsid w:val="009E7247"/>
    <w:rsid w:val="009E75C3"/>
    <w:rsid w:val="009E7C59"/>
    <w:rsid w:val="009F394A"/>
    <w:rsid w:val="00A01D91"/>
    <w:rsid w:val="00A05123"/>
    <w:rsid w:val="00A11DF8"/>
    <w:rsid w:val="00A22BE9"/>
    <w:rsid w:val="00A25329"/>
    <w:rsid w:val="00A325D1"/>
    <w:rsid w:val="00A34447"/>
    <w:rsid w:val="00A440AD"/>
    <w:rsid w:val="00A572D8"/>
    <w:rsid w:val="00A60439"/>
    <w:rsid w:val="00A63FFE"/>
    <w:rsid w:val="00A6519E"/>
    <w:rsid w:val="00A7128B"/>
    <w:rsid w:val="00A75C6B"/>
    <w:rsid w:val="00A7613D"/>
    <w:rsid w:val="00A76EEF"/>
    <w:rsid w:val="00A900B5"/>
    <w:rsid w:val="00A94374"/>
    <w:rsid w:val="00AB32A2"/>
    <w:rsid w:val="00AB4850"/>
    <w:rsid w:val="00AB5474"/>
    <w:rsid w:val="00AC0292"/>
    <w:rsid w:val="00AC0C65"/>
    <w:rsid w:val="00AC1608"/>
    <w:rsid w:val="00AC1EF1"/>
    <w:rsid w:val="00AC4909"/>
    <w:rsid w:val="00AD23E0"/>
    <w:rsid w:val="00AD39C8"/>
    <w:rsid w:val="00AD3D1B"/>
    <w:rsid w:val="00AE07A1"/>
    <w:rsid w:val="00AE1E0C"/>
    <w:rsid w:val="00AE2AC8"/>
    <w:rsid w:val="00AE42A4"/>
    <w:rsid w:val="00AE5571"/>
    <w:rsid w:val="00AE5C00"/>
    <w:rsid w:val="00AF7568"/>
    <w:rsid w:val="00B129AF"/>
    <w:rsid w:val="00B12FDA"/>
    <w:rsid w:val="00B2124C"/>
    <w:rsid w:val="00B21265"/>
    <w:rsid w:val="00B2317B"/>
    <w:rsid w:val="00B25A80"/>
    <w:rsid w:val="00B27B5A"/>
    <w:rsid w:val="00B27D88"/>
    <w:rsid w:val="00B307AF"/>
    <w:rsid w:val="00B3304D"/>
    <w:rsid w:val="00B45BA0"/>
    <w:rsid w:val="00B4687E"/>
    <w:rsid w:val="00B47BA5"/>
    <w:rsid w:val="00B54DBB"/>
    <w:rsid w:val="00B556E8"/>
    <w:rsid w:val="00B67C54"/>
    <w:rsid w:val="00B706F8"/>
    <w:rsid w:val="00B7658A"/>
    <w:rsid w:val="00B836EB"/>
    <w:rsid w:val="00B83809"/>
    <w:rsid w:val="00B851B9"/>
    <w:rsid w:val="00B932ED"/>
    <w:rsid w:val="00BC52E2"/>
    <w:rsid w:val="00BC5E3A"/>
    <w:rsid w:val="00BD58CE"/>
    <w:rsid w:val="00BD7D97"/>
    <w:rsid w:val="00BE0FF3"/>
    <w:rsid w:val="00BE2422"/>
    <w:rsid w:val="00BE7C1C"/>
    <w:rsid w:val="00BF44EA"/>
    <w:rsid w:val="00BF6EE5"/>
    <w:rsid w:val="00C023F5"/>
    <w:rsid w:val="00C07AB5"/>
    <w:rsid w:val="00C15B0C"/>
    <w:rsid w:val="00C23572"/>
    <w:rsid w:val="00C258F8"/>
    <w:rsid w:val="00C335AB"/>
    <w:rsid w:val="00C34D41"/>
    <w:rsid w:val="00C376C3"/>
    <w:rsid w:val="00C40D70"/>
    <w:rsid w:val="00C42BD9"/>
    <w:rsid w:val="00C45808"/>
    <w:rsid w:val="00C45B59"/>
    <w:rsid w:val="00C61F22"/>
    <w:rsid w:val="00C626D3"/>
    <w:rsid w:val="00C62F4B"/>
    <w:rsid w:val="00C734BD"/>
    <w:rsid w:val="00C748FE"/>
    <w:rsid w:val="00C8308C"/>
    <w:rsid w:val="00C838D6"/>
    <w:rsid w:val="00C86C09"/>
    <w:rsid w:val="00C90727"/>
    <w:rsid w:val="00C9250A"/>
    <w:rsid w:val="00C92C87"/>
    <w:rsid w:val="00CA5B0F"/>
    <w:rsid w:val="00CA5BB5"/>
    <w:rsid w:val="00CA7672"/>
    <w:rsid w:val="00CC5ACA"/>
    <w:rsid w:val="00CC5F0E"/>
    <w:rsid w:val="00CC6F04"/>
    <w:rsid w:val="00CC70F9"/>
    <w:rsid w:val="00CC7B90"/>
    <w:rsid w:val="00CD02CB"/>
    <w:rsid w:val="00CD69EB"/>
    <w:rsid w:val="00CE0941"/>
    <w:rsid w:val="00CE3D63"/>
    <w:rsid w:val="00CE5AA5"/>
    <w:rsid w:val="00CE795F"/>
    <w:rsid w:val="00CF17F1"/>
    <w:rsid w:val="00CF3818"/>
    <w:rsid w:val="00D00F08"/>
    <w:rsid w:val="00D04515"/>
    <w:rsid w:val="00D13126"/>
    <w:rsid w:val="00D15E22"/>
    <w:rsid w:val="00D24C4B"/>
    <w:rsid w:val="00D25CE9"/>
    <w:rsid w:val="00D26742"/>
    <w:rsid w:val="00D319D6"/>
    <w:rsid w:val="00D41AD0"/>
    <w:rsid w:val="00D45D57"/>
    <w:rsid w:val="00D6495A"/>
    <w:rsid w:val="00D77B34"/>
    <w:rsid w:val="00D80E93"/>
    <w:rsid w:val="00D822AA"/>
    <w:rsid w:val="00D857EE"/>
    <w:rsid w:val="00D87FB7"/>
    <w:rsid w:val="00D93B80"/>
    <w:rsid w:val="00D94657"/>
    <w:rsid w:val="00DA167C"/>
    <w:rsid w:val="00DE133B"/>
    <w:rsid w:val="00DE3BCF"/>
    <w:rsid w:val="00DE5AAB"/>
    <w:rsid w:val="00DF15EA"/>
    <w:rsid w:val="00DF2A76"/>
    <w:rsid w:val="00DF63EE"/>
    <w:rsid w:val="00DF690B"/>
    <w:rsid w:val="00DF73DB"/>
    <w:rsid w:val="00DF73DF"/>
    <w:rsid w:val="00DF7A5F"/>
    <w:rsid w:val="00E0139A"/>
    <w:rsid w:val="00E03374"/>
    <w:rsid w:val="00E07331"/>
    <w:rsid w:val="00E148B3"/>
    <w:rsid w:val="00E219B7"/>
    <w:rsid w:val="00E268AE"/>
    <w:rsid w:val="00E3358B"/>
    <w:rsid w:val="00E37569"/>
    <w:rsid w:val="00E575E8"/>
    <w:rsid w:val="00E60E86"/>
    <w:rsid w:val="00E66C8E"/>
    <w:rsid w:val="00E71BE5"/>
    <w:rsid w:val="00E747CE"/>
    <w:rsid w:val="00E753AE"/>
    <w:rsid w:val="00E7713D"/>
    <w:rsid w:val="00E81DB1"/>
    <w:rsid w:val="00E9149D"/>
    <w:rsid w:val="00E96F4B"/>
    <w:rsid w:val="00E97596"/>
    <w:rsid w:val="00E97C00"/>
    <w:rsid w:val="00E97CF4"/>
    <w:rsid w:val="00EA1C9C"/>
    <w:rsid w:val="00EA3A3E"/>
    <w:rsid w:val="00EA5F30"/>
    <w:rsid w:val="00EA73EB"/>
    <w:rsid w:val="00EB125B"/>
    <w:rsid w:val="00EB1318"/>
    <w:rsid w:val="00EB70E3"/>
    <w:rsid w:val="00EC6738"/>
    <w:rsid w:val="00ED128F"/>
    <w:rsid w:val="00ED3D66"/>
    <w:rsid w:val="00EE2778"/>
    <w:rsid w:val="00EF08C5"/>
    <w:rsid w:val="00EF0959"/>
    <w:rsid w:val="00F1042F"/>
    <w:rsid w:val="00F10E57"/>
    <w:rsid w:val="00F13526"/>
    <w:rsid w:val="00F176D2"/>
    <w:rsid w:val="00F22449"/>
    <w:rsid w:val="00F34EC4"/>
    <w:rsid w:val="00F37FC6"/>
    <w:rsid w:val="00F73B5E"/>
    <w:rsid w:val="00F75BB3"/>
    <w:rsid w:val="00F825C3"/>
    <w:rsid w:val="00F832E0"/>
    <w:rsid w:val="00F84742"/>
    <w:rsid w:val="00F902F5"/>
    <w:rsid w:val="00F9049F"/>
    <w:rsid w:val="00F92862"/>
    <w:rsid w:val="00F9314D"/>
    <w:rsid w:val="00FA55FC"/>
    <w:rsid w:val="00FA5F79"/>
    <w:rsid w:val="00FB24DE"/>
    <w:rsid w:val="00FB789A"/>
    <w:rsid w:val="00FB7D89"/>
    <w:rsid w:val="00FC19FB"/>
    <w:rsid w:val="00FC2227"/>
    <w:rsid w:val="00FC2D54"/>
    <w:rsid w:val="00FD5F72"/>
    <w:rsid w:val="00FE3E86"/>
    <w:rsid w:val="00FF4A0F"/>
    <w:rsid w:val="00FF5F5E"/>
    <w:rsid w:val="0130627B"/>
    <w:rsid w:val="01651736"/>
    <w:rsid w:val="01D737B0"/>
    <w:rsid w:val="01E16D22"/>
    <w:rsid w:val="02B968F4"/>
    <w:rsid w:val="02C651BC"/>
    <w:rsid w:val="030049C8"/>
    <w:rsid w:val="03425454"/>
    <w:rsid w:val="038D6EE7"/>
    <w:rsid w:val="042D5638"/>
    <w:rsid w:val="04BB0C95"/>
    <w:rsid w:val="058A7506"/>
    <w:rsid w:val="058B3CB1"/>
    <w:rsid w:val="05C8376D"/>
    <w:rsid w:val="0601699B"/>
    <w:rsid w:val="07A9058D"/>
    <w:rsid w:val="082F187C"/>
    <w:rsid w:val="08C36344"/>
    <w:rsid w:val="0A6330A9"/>
    <w:rsid w:val="0AEF6190"/>
    <w:rsid w:val="0B3927FD"/>
    <w:rsid w:val="0CD86FC1"/>
    <w:rsid w:val="0DAA0FE8"/>
    <w:rsid w:val="0DC7102B"/>
    <w:rsid w:val="0E1F0594"/>
    <w:rsid w:val="0E371A56"/>
    <w:rsid w:val="0F753F93"/>
    <w:rsid w:val="0FB4550E"/>
    <w:rsid w:val="0FBC1CF4"/>
    <w:rsid w:val="0FDC23F8"/>
    <w:rsid w:val="102204C5"/>
    <w:rsid w:val="10542E94"/>
    <w:rsid w:val="10F108AB"/>
    <w:rsid w:val="11295F03"/>
    <w:rsid w:val="11AF4698"/>
    <w:rsid w:val="11D3090C"/>
    <w:rsid w:val="121673D3"/>
    <w:rsid w:val="1217250B"/>
    <w:rsid w:val="12A005B2"/>
    <w:rsid w:val="12BA30C6"/>
    <w:rsid w:val="12DD13B2"/>
    <w:rsid w:val="137F5153"/>
    <w:rsid w:val="1555188D"/>
    <w:rsid w:val="163060C4"/>
    <w:rsid w:val="172F78AF"/>
    <w:rsid w:val="17C44278"/>
    <w:rsid w:val="1821037C"/>
    <w:rsid w:val="186421DE"/>
    <w:rsid w:val="18762884"/>
    <w:rsid w:val="187C2561"/>
    <w:rsid w:val="189145A5"/>
    <w:rsid w:val="18D379C0"/>
    <w:rsid w:val="19934B8D"/>
    <w:rsid w:val="1A7B553B"/>
    <w:rsid w:val="1A864D56"/>
    <w:rsid w:val="1AAD28A2"/>
    <w:rsid w:val="1AB67D17"/>
    <w:rsid w:val="1AFA61B1"/>
    <w:rsid w:val="1B4911E5"/>
    <w:rsid w:val="1BCF50CC"/>
    <w:rsid w:val="1BFC1D88"/>
    <w:rsid w:val="1CFD18A7"/>
    <w:rsid w:val="1D5F1386"/>
    <w:rsid w:val="1E5813B5"/>
    <w:rsid w:val="1E9D632F"/>
    <w:rsid w:val="1FAB2AB5"/>
    <w:rsid w:val="20033DE9"/>
    <w:rsid w:val="213D5E8A"/>
    <w:rsid w:val="218A2ABD"/>
    <w:rsid w:val="21BC2D2D"/>
    <w:rsid w:val="21F13CDE"/>
    <w:rsid w:val="22716B22"/>
    <w:rsid w:val="230853F5"/>
    <w:rsid w:val="2395621D"/>
    <w:rsid w:val="23B13D78"/>
    <w:rsid w:val="24307B11"/>
    <w:rsid w:val="243A2B0A"/>
    <w:rsid w:val="24654C76"/>
    <w:rsid w:val="264605D1"/>
    <w:rsid w:val="26537822"/>
    <w:rsid w:val="26977B31"/>
    <w:rsid w:val="273C2652"/>
    <w:rsid w:val="27CE7DBE"/>
    <w:rsid w:val="28CA3E6E"/>
    <w:rsid w:val="2AAF4BDA"/>
    <w:rsid w:val="2BCD624F"/>
    <w:rsid w:val="2DCB5F75"/>
    <w:rsid w:val="2E4B7D0D"/>
    <w:rsid w:val="2EE82145"/>
    <w:rsid w:val="2EEA47D7"/>
    <w:rsid w:val="2F226506"/>
    <w:rsid w:val="30BB295F"/>
    <w:rsid w:val="30D54A79"/>
    <w:rsid w:val="311F2ADF"/>
    <w:rsid w:val="31222588"/>
    <w:rsid w:val="317A1544"/>
    <w:rsid w:val="31A078A3"/>
    <w:rsid w:val="31C42E78"/>
    <w:rsid w:val="31DC6ADB"/>
    <w:rsid w:val="320E52A0"/>
    <w:rsid w:val="32BB6F67"/>
    <w:rsid w:val="33BA0253"/>
    <w:rsid w:val="34826BCF"/>
    <w:rsid w:val="34FF33BE"/>
    <w:rsid w:val="358D0C05"/>
    <w:rsid w:val="35AC65AE"/>
    <w:rsid w:val="368D1209"/>
    <w:rsid w:val="36A61684"/>
    <w:rsid w:val="36E365A5"/>
    <w:rsid w:val="379441A9"/>
    <w:rsid w:val="383A5B22"/>
    <w:rsid w:val="387552DF"/>
    <w:rsid w:val="389343ED"/>
    <w:rsid w:val="38F3368A"/>
    <w:rsid w:val="394B7A77"/>
    <w:rsid w:val="397C1044"/>
    <w:rsid w:val="39F87062"/>
    <w:rsid w:val="3B682DF6"/>
    <w:rsid w:val="3BB35886"/>
    <w:rsid w:val="3BD11A5A"/>
    <w:rsid w:val="3BE75104"/>
    <w:rsid w:val="3C707A17"/>
    <w:rsid w:val="3C8F7862"/>
    <w:rsid w:val="3D6E3D7B"/>
    <w:rsid w:val="3D8D7ADF"/>
    <w:rsid w:val="3F7B7574"/>
    <w:rsid w:val="3F81327D"/>
    <w:rsid w:val="416724E5"/>
    <w:rsid w:val="41F9147E"/>
    <w:rsid w:val="421D4508"/>
    <w:rsid w:val="42A620E0"/>
    <w:rsid w:val="42F42FCF"/>
    <w:rsid w:val="43035BCB"/>
    <w:rsid w:val="440C3482"/>
    <w:rsid w:val="45194AC7"/>
    <w:rsid w:val="46341A42"/>
    <w:rsid w:val="46A5786D"/>
    <w:rsid w:val="47514883"/>
    <w:rsid w:val="482B7C07"/>
    <w:rsid w:val="4917647F"/>
    <w:rsid w:val="491D5E76"/>
    <w:rsid w:val="4A006B6A"/>
    <w:rsid w:val="4A447E82"/>
    <w:rsid w:val="4AEB0F08"/>
    <w:rsid w:val="4B0B2BCB"/>
    <w:rsid w:val="4B293842"/>
    <w:rsid w:val="4B5E1FB6"/>
    <w:rsid w:val="4B7D77EE"/>
    <w:rsid w:val="4CA5289E"/>
    <w:rsid w:val="4CEB22D8"/>
    <w:rsid w:val="4D096B25"/>
    <w:rsid w:val="4E2D2ED7"/>
    <w:rsid w:val="4E943949"/>
    <w:rsid w:val="4F4B40A7"/>
    <w:rsid w:val="4F864D6A"/>
    <w:rsid w:val="4FE63818"/>
    <w:rsid w:val="501A5811"/>
    <w:rsid w:val="504E542C"/>
    <w:rsid w:val="50562A05"/>
    <w:rsid w:val="5070581A"/>
    <w:rsid w:val="50AB21D1"/>
    <w:rsid w:val="50D13F4A"/>
    <w:rsid w:val="513A0430"/>
    <w:rsid w:val="520B2737"/>
    <w:rsid w:val="52E14BBA"/>
    <w:rsid w:val="536F4EA7"/>
    <w:rsid w:val="544530B9"/>
    <w:rsid w:val="54F81E4B"/>
    <w:rsid w:val="56613700"/>
    <w:rsid w:val="56A477F5"/>
    <w:rsid w:val="57294446"/>
    <w:rsid w:val="57837F35"/>
    <w:rsid w:val="578D5646"/>
    <w:rsid w:val="57B4679B"/>
    <w:rsid w:val="583B22B7"/>
    <w:rsid w:val="597F171B"/>
    <w:rsid w:val="599D62DC"/>
    <w:rsid w:val="59BC30DC"/>
    <w:rsid w:val="5A224BD7"/>
    <w:rsid w:val="5B770B0B"/>
    <w:rsid w:val="5BDB0EBC"/>
    <w:rsid w:val="5BFD2C65"/>
    <w:rsid w:val="5CE57646"/>
    <w:rsid w:val="5D454A20"/>
    <w:rsid w:val="5D5B429A"/>
    <w:rsid w:val="5DD61702"/>
    <w:rsid w:val="5E447DF8"/>
    <w:rsid w:val="5E821380"/>
    <w:rsid w:val="5EA167A0"/>
    <w:rsid w:val="5F5C5980"/>
    <w:rsid w:val="5FF00DE0"/>
    <w:rsid w:val="5FF66A96"/>
    <w:rsid w:val="60207A0A"/>
    <w:rsid w:val="60566D86"/>
    <w:rsid w:val="60B4533D"/>
    <w:rsid w:val="61BA50A4"/>
    <w:rsid w:val="61CC152D"/>
    <w:rsid w:val="63A612E3"/>
    <w:rsid w:val="6413739A"/>
    <w:rsid w:val="643A240B"/>
    <w:rsid w:val="64C96C1B"/>
    <w:rsid w:val="64E47A3B"/>
    <w:rsid w:val="66AB1A07"/>
    <w:rsid w:val="66FE581E"/>
    <w:rsid w:val="67DF178F"/>
    <w:rsid w:val="68394EF1"/>
    <w:rsid w:val="684B0440"/>
    <w:rsid w:val="68E96425"/>
    <w:rsid w:val="69EA200D"/>
    <w:rsid w:val="6A0320DD"/>
    <w:rsid w:val="6A297B2C"/>
    <w:rsid w:val="6B7E4D28"/>
    <w:rsid w:val="6B9F1E44"/>
    <w:rsid w:val="6BDB10CE"/>
    <w:rsid w:val="6C596EF1"/>
    <w:rsid w:val="6C6946A4"/>
    <w:rsid w:val="6C7C5D50"/>
    <w:rsid w:val="6D0F4D92"/>
    <w:rsid w:val="6D277868"/>
    <w:rsid w:val="6D280F75"/>
    <w:rsid w:val="6D6A71D6"/>
    <w:rsid w:val="6DDE486B"/>
    <w:rsid w:val="6E0236B1"/>
    <w:rsid w:val="6EB46F95"/>
    <w:rsid w:val="700072B2"/>
    <w:rsid w:val="70053E2A"/>
    <w:rsid w:val="705043C4"/>
    <w:rsid w:val="706057C9"/>
    <w:rsid w:val="7065293A"/>
    <w:rsid w:val="70A83593"/>
    <w:rsid w:val="7176792E"/>
    <w:rsid w:val="718E4F81"/>
    <w:rsid w:val="72796AA7"/>
    <w:rsid w:val="72BD51D9"/>
    <w:rsid w:val="74CB02EE"/>
    <w:rsid w:val="74E07590"/>
    <w:rsid w:val="75782BAE"/>
    <w:rsid w:val="75C41204"/>
    <w:rsid w:val="76517E6C"/>
    <w:rsid w:val="766176B5"/>
    <w:rsid w:val="77F70409"/>
    <w:rsid w:val="77FF5969"/>
    <w:rsid w:val="78B7399D"/>
    <w:rsid w:val="797A190C"/>
    <w:rsid w:val="79D669EC"/>
    <w:rsid w:val="7A036B71"/>
    <w:rsid w:val="7AF03B46"/>
    <w:rsid w:val="7B044EAA"/>
    <w:rsid w:val="7B724F5B"/>
    <w:rsid w:val="7BB2388D"/>
    <w:rsid w:val="7C0D33E4"/>
    <w:rsid w:val="7C931EDF"/>
    <w:rsid w:val="7D5A0AD9"/>
    <w:rsid w:val="7D771A33"/>
    <w:rsid w:val="7D7A3A1D"/>
    <w:rsid w:val="7E11064D"/>
    <w:rsid w:val="7F2F688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topLinePunct/>
      <w:jc w:val="both"/>
    </w:pPr>
    <w:rPr>
      <w:rFonts w:ascii="Times New Roman" w:hAnsi="Times New Roman" w:eastAsia="宋体" w:cs="Times New Roman"/>
      <w:kern w:val="2"/>
      <w:sz w:val="21"/>
      <w:szCs w:val="20"/>
      <w:lang w:val="en-US" w:eastAsia="zh-CN" w:bidi="ar-SA"/>
    </w:rPr>
  </w:style>
  <w:style w:type="paragraph" w:styleId="3">
    <w:name w:val="heading 1"/>
    <w:basedOn w:val="1"/>
    <w:next w:val="1"/>
    <w:qFormat/>
    <w:uiPriority w:val="0"/>
    <w:pPr>
      <w:keepNext/>
      <w:keepLines/>
      <w:tabs>
        <w:tab w:val="left" w:pos="360"/>
      </w:tabs>
      <w:spacing w:before="340" w:after="330" w:line="576" w:lineRule="auto"/>
      <w:outlineLvl w:val="0"/>
    </w:pPr>
    <w:rPr>
      <w:rFonts w:eastAsia="宋体"/>
      <w:b/>
      <w:bCs/>
      <w:kern w:val="44"/>
      <w:sz w:val="44"/>
      <w:szCs w:val="44"/>
    </w:rPr>
  </w:style>
  <w:style w:type="paragraph" w:styleId="4">
    <w:name w:val="heading 2"/>
    <w:basedOn w:val="1"/>
    <w:next w:val="1"/>
    <w:link w:val="16"/>
    <w:qFormat/>
    <w:uiPriority w:val="9"/>
    <w:pPr>
      <w:keepNext/>
      <w:keepLines/>
      <w:snapToGrid w:val="0"/>
      <w:spacing w:beforeLines="80" w:afterLines="80"/>
      <w:jc w:val="left"/>
      <w:outlineLvl w:val="1"/>
    </w:pPr>
    <w:rPr>
      <w:rFonts w:ascii="Arial" w:hAnsi="Arial" w:eastAsia="黑体"/>
    </w:rPr>
  </w:style>
  <w:style w:type="character" w:default="1" w:styleId="13">
    <w:name w:val="Default Paragraph Font"/>
    <w:unhideWhenUsed/>
    <w:qFormat/>
    <w:uiPriority w:val="1"/>
  </w:style>
  <w:style w:type="table" w:default="1" w:styleId="11">
    <w:name w:val="Normal Table"/>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5">
    <w:name w:val="Document Map"/>
    <w:basedOn w:val="1"/>
    <w:qFormat/>
    <w:uiPriority w:val="0"/>
    <w:rPr>
      <w:rFonts w:ascii="Tahoma" w:hAnsi="Tahoma"/>
      <w:sz w:val="16"/>
      <w:szCs w:val="16"/>
    </w:rPr>
  </w:style>
  <w:style w:type="paragraph" w:styleId="6">
    <w:name w:val="Date"/>
    <w:basedOn w:val="1"/>
    <w:next w:val="1"/>
    <w:link w:val="56"/>
    <w:unhideWhenUsed/>
    <w:qFormat/>
    <w:uiPriority w:val="99"/>
    <w:pPr>
      <w:topLinePunct w:val="0"/>
      <w:ind w:left="100" w:leftChars="2500"/>
    </w:pPr>
    <w:rPr>
      <w:rFonts w:ascii="方正仿宋_GBK" w:hAnsi="方正仿宋_GBK" w:eastAsia="方正仿宋_GBK" w:cstheme="minorBidi"/>
      <w:szCs w:val="32"/>
    </w:rPr>
  </w:style>
  <w:style w:type="paragraph" w:styleId="7">
    <w:name w:val="Balloon Text"/>
    <w:basedOn w:val="1"/>
    <w:link w:val="58"/>
    <w:unhideWhenUsed/>
    <w:qFormat/>
    <w:uiPriority w:val="99"/>
    <w:pPr>
      <w:topLinePunct w:val="0"/>
    </w:pPr>
    <w:rPr>
      <w:rFonts w:ascii="方正仿宋_GBK" w:hAnsi="方正仿宋_GBK" w:eastAsia="方正仿宋_GBK" w:cstheme="minorBidi"/>
      <w:sz w:val="18"/>
      <w:szCs w:val="18"/>
    </w:rPr>
  </w:style>
  <w:style w:type="paragraph" w:styleId="8">
    <w:name w:val="footer"/>
    <w:basedOn w:val="1"/>
    <w:link w:val="18"/>
    <w:unhideWhenUsed/>
    <w:qFormat/>
    <w:uiPriority w:val="99"/>
    <w:pPr>
      <w:tabs>
        <w:tab w:val="center" w:pos="4153"/>
        <w:tab w:val="right" w:pos="8306"/>
      </w:tabs>
      <w:snapToGrid w:val="0"/>
      <w:jc w:val="left"/>
    </w:pPr>
    <w:rPr>
      <w:sz w:val="18"/>
      <w:szCs w:val="18"/>
    </w:rPr>
  </w:style>
  <w:style w:type="paragraph" w:styleId="9">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99"/>
    <w:pPr>
      <w:widowControl/>
      <w:topLinePunct w:val="0"/>
      <w:spacing w:before="100" w:beforeAutospacing="1" w:after="100" w:afterAutospacing="1"/>
      <w:jc w:val="left"/>
    </w:pPr>
    <w:rPr>
      <w:rFonts w:ascii="宋体" w:hAnsi="宋体" w:cs="宋体"/>
      <w:kern w:val="0"/>
      <w:sz w:val="24"/>
      <w:szCs w:val="24"/>
    </w:rPr>
  </w:style>
  <w:style w:type="table" w:styleId="12">
    <w:name w:val="Table Grid"/>
    <w:basedOn w:val="11"/>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FollowedHyperlink"/>
    <w:unhideWhenUsed/>
    <w:qFormat/>
    <w:uiPriority w:val="99"/>
    <w:rPr>
      <w:color w:val="800080"/>
      <w:u w:val="single"/>
    </w:rPr>
  </w:style>
  <w:style w:type="character" w:styleId="15">
    <w:name w:val="Hyperlink"/>
    <w:basedOn w:val="13"/>
    <w:unhideWhenUsed/>
    <w:qFormat/>
    <w:uiPriority w:val="99"/>
    <w:rPr>
      <w:color w:val="0000FF"/>
      <w:u w:val="single"/>
    </w:rPr>
  </w:style>
  <w:style w:type="character" w:customStyle="1" w:styleId="16">
    <w:name w:val="标题 2 Char"/>
    <w:basedOn w:val="13"/>
    <w:link w:val="4"/>
    <w:qFormat/>
    <w:uiPriority w:val="9"/>
    <w:rPr>
      <w:rFonts w:ascii="Arial" w:hAnsi="Arial" w:eastAsia="黑体" w:cs="Times New Roman"/>
      <w:szCs w:val="20"/>
    </w:rPr>
  </w:style>
  <w:style w:type="character" w:customStyle="1" w:styleId="17">
    <w:name w:val="页眉 Char"/>
    <w:basedOn w:val="13"/>
    <w:link w:val="9"/>
    <w:qFormat/>
    <w:uiPriority w:val="99"/>
    <w:rPr>
      <w:sz w:val="18"/>
      <w:szCs w:val="18"/>
    </w:rPr>
  </w:style>
  <w:style w:type="character" w:customStyle="1" w:styleId="18">
    <w:name w:val="页脚 Char"/>
    <w:basedOn w:val="13"/>
    <w:link w:val="8"/>
    <w:qFormat/>
    <w:uiPriority w:val="99"/>
    <w:rPr>
      <w:sz w:val="18"/>
      <w:szCs w:val="18"/>
    </w:rPr>
  </w:style>
  <w:style w:type="character" w:customStyle="1" w:styleId="19">
    <w:name w:val="无间隔 Char"/>
    <w:link w:val="20"/>
    <w:qFormat/>
    <w:uiPriority w:val="0"/>
    <w:rPr>
      <w:rFonts w:ascii="Calibri" w:hAnsi="Calibri"/>
      <w:sz w:val="22"/>
    </w:rPr>
  </w:style>
  <w:style w:type="paragraph" w:customStyle="1" w:styleId="20">
    <w:name w:val="No Spacing"/>
    <w:link w:val="19"/>
    <w:qFormat/>
    <w:uiPriority w:val="0"/>
    <w:rPr>
      <w:rFonts w:ascii="Calibri" w:hAnsi="Calibri" w:eastAsiaTheme="minorEastAsia" w:cstheme="minorBidi"/>
      <w:kern w:val="2"/>
      <w:sz w:val="22"/>
      <w:szCs w:val="22"/>
      <w:lang w:val="en-US" w:eastAsia="zh-CN" w:bidi="ar-SA"/>
    </w:rPr>
  </w:style>
  <w:style w:type="paragraph" w:customStyle="1" w:styleId="21">
    <w:name w:val="p0"/>
    <w:basedOn w:val="1"/>
    <w:qFormat/>
    <w:uiPriority w:val="0"/>
    <w:pPr>
      <w:widowControl/>
      <w:topLinePunct w:val="0"/>
    </w:pPr>
    <w:rPr>
      <w:rFonts w:ascii="Calibri" w:hAnsi="Calibri" w:eastAsia="方正仿宋_GBK"/>
      <w:kern w:val="0"/>
      <w:szCs w:val="32"/>
    </w:rPr>
  </w:style>
  <w:style w:type="paragraph" w:customStyle="1" w:styleId="22">
    <w:name w:val="font5"/>
    <w:basedOn w:val="1"/>
    <w:qFormat/>
    <w:uiPriority w:val="0"/>
    <w:pPr>
      <w:widowControl/>
      <w:topLinePunct w:val="0"/>
      <w:spacing w:before="100" w:beforeAutospacing="1" w:after="100" w:afterAutospacing="1"/>
      <w:jc w:val="left"/>
    </w:pPr>
    <w:rPr>
      <w:rFonts w:ascii="宋体" w:hAnsi="宋体" w:cs="宋体"/>
      <w:kern w:val="0"/>
      <w:sz w:val="18"/>
      <w:szCs w:val="18"/>
    </w:rPr>
  </w:style>
  <w:style w:type="paragraph" w:customStyle="1" w:styleId="23">
    <w:name w:val="font6"/>
    <w:basedOn w:val="1"/>
    <w:qFormat/>
    <w:uiPriority w:val="0"/>
    <w:pPr>
      <w:widowControl/>
      <w:topLinePunct w:val="0"/>
      <w:spacing w:before="100" w:beforeAutospacing="1" w:after="100" w:afterAutospacing="1"/>
      <w:jc w:val="left"/>
    </w:pPr>
    <w:rPr>
      <w:rFonts w:ascii="宋体" w:hAnsi="宋体" w:cs="宋体"/>
      <w:kern w:val="0"/>
      <w:sz w:val="18"/>
      <w:szCs w:val="18"/>
    </w:rPr>
  </w:style>
  <w:style w:type="paragraph" w:customStyle="1" w:styleId="24">
    <w:name w:val="font7"/>
    <w:basedOn w:val="1"/>
    <w:qFormat/>
    <w:uiPriority w:val="0"/>
    <w:pPr>
      <w:widowControl/>
      <w:topLinePunct w:val="0"/>
      <w:spacing w:before="100" w:beforeAutospacing="1" w:after="100" w:afterAutospacing="1"/>
      <w:jc w:val="left"/>
    </w:pPr>
    <w:rPr>
      <w:rFonts w:ascii="Arial" w:hAnsi="Arial" w:cs="Arial"/>
      <w:kern w:val="0"/>
      <w:sz w:val="20"/>
    </w:rPr>
  </w:style>
  <w:style w:type="paragraph" w:customStyle="1" w:styleId="25">
    <w:name w:val="font8"/>
    <w:basedOn w:val="1"/>
    <w:qFormat/>
    <w:uiPriority w:val="0"/>
    <w:pPr>
      <w:widowControl/>
      <w:topLinePunct w:val="0"/>
      <w:spacing w:before="100" w:beforeAutospacing="1" w:after="100" w:afterAutospacing="1"/>
      <w:jc w:val="left"/>
    </w:pPr>
    <w:rPr>
      <w:rFonts w:ascii="方正仿宋_GBK" w:hAnsi="宋体" w:eastAsia="方正仿宋_GBK" w:cs="宋体"/>
      <w:b/>
      <w:bCs/>
      <w:kern w:val="0"/>
      <w:sz w:val="20"/>
    </w:rPr>
  </w:style>
  <w:style w:type="paragraph" w:customStyle="1" w:styleId="26">
    <w:name w:val="font9"/>
    <w:basedOn w:val="1"/>
    <w:qFormat/>
    <w:uiPriority w:val="0"/>
    <w:pPr>
      <w:widowControl/>
      <w:topLinePunct w:val="0"/>
      <w:spacing w:before="100" w:beforeAutospacing="1" w:after="100" w:afterAutospacing="1"/>
      <w:jc w:val="left"/>
    </w:pPr>
    <w:rPr>
      <w:rFonts w:ascii="方正仿宋_GBK" w:hAnsi="宋体" w:eastAsia="方正仿宋_GBK" w:cs="宋体"/>
      <w:b/>
      <w:bCs/>
      <w:kern w:val="0"/>
      <w:sz w:val="20"/>
      <w:u w:val="single"/>
    </w:rPr>
  </w:style>
  <w:style w:type="paragraph" w:customStyle="1" w:styleId="27">
    <w:name w:val="font10"/>
    <w:basedOn w:val="1"/>
    <w:qFormat/>
    <w:uiPriority w:val="0"/>
    <w:pPr>
      <w:widowControl/>
      <w:topLinePunct w:val="0"/>
      <w:spacing w:before="100" w:beforeAutospacing="1" w:after="100" w:afterAutospacing="1"/>
      <w:jc w:val="left"/>
    </w:pPr>
    <w:rPr>
      <w:rFonts w:ascii="方正仿宋_GBK" w:hAnsi="宋体" w:eastAsia="方正仿宋_GBK" w:cs="宋体"/>
      <w:kern w:val="0"/>
      <w:sz w:val="20"/>
    </w:rPr>
  </w:style>
  <w:style w:type="paragraph" w:customStyle="1" w:styleId="28">
    <w:name w:val="font11"/>
    <w:basedOn w:val="1"/>
    <w:qFormat/>
    <w:uiPriority w:val="0"/>
    <w:pPr>
      <w:widowControl/>
      <w:topLinePunct w:val="0"/>
      <w:spacing w:before="100" w:beforeAutospacing="1" w:after="100" w:afterAutospacing="1"/>
      <w:jc w:val="left"/>
    </w:pPr>
    <w:rPr>
      <w:rFonts w:ascii="方正仿宋_GBK" w:hAnsi="宋体" w:eastAsia="方正仿宋_GBK" w:cs="宋体"/>
      <w:b/>
      <w:bCs/>
      <w:color w:val="000000"/>
      <w:kern w:val="0"/>
      <w:sz w:val="20"/>
    </w:rPr>
  </w:style>
  <w:style w:type="paragraph" w:customStyle="1" w:styleId="29">
    <w:name w:val="font12"/>
    <w:basedOn w:val="1"/>
    <w:qFormat/>
    <w:uiPriority w:val="0"/>
    <w:pPr>
      <w:widowControl/>
      <w:topLinePunct w:val="0"/>
      <w:spacing w:before="100" w:beforeAutospacing="1" w:after="100" w:afterAutospacing="1"/>
      <w:jc w:val="left"/>
    </w:pPr>
    <w:rPr>
      <w:rFonts w:ascii="方正仿宋_GBK" w:hAnsi="宋体" w:eastAsia="方正仿宋_GBK" w:cs="宋体"/>
      <w:kern w:val="0"/>
      <w:sz w:val="20"/>
      <w:u w:val="single"/>
    </w:rPr>
  </w:style>
  <w:style w:type="paragraph" w:customStyle="1" w:styleId="30">
    <w:name w:val="font13"/>
    <w:basedOn w:val="1"/>
    <w:qFormat/>
    <w:uiPriority w:val="0"/>
    <w:pPr>
      <w:widowControl/>
      <w:topLinePunct w:val="0"/>
      <w:spacing w:before="100" w:beforeAutospacing="1" w:after="100" w:afterAutospacing="1"/>
      <w:jc w:val="left"/>
    </w:pPr>
    <w:rPr>
      <w:rFonts w:ascii="方正仿宋_GBK" w:hAnsi="宋体" w:eastAsia="方正仿宋_GBK" w:cs="宋体"/>
      <w:color w:val="FF0000"/>
      <w:kern w:val="0"/>
      <w:sz w:val="20"/>
    </w:rPr>
  </w:style>
  <w:style w:type="paragraph" w:customStyle="1" w:styleId="31">
    <w:name w:val="font14"/>
    <w:basedOn w:val="1"/>
    <w:qFormat/>
    <w:uiPriority w:val="0"/>
    <w:pPr>
      <w:widowControl/>
      <w:topLinePunct w:val="0"/>
      <w:spacing w:before="100" w:beforeAutospacing="1" w:after="100" w:afterAutospacing="1"/>
      <w:jc w:val="left"/>
    </w:pPr>
    <w:rPr>
      <w:rFonts w:ascii="Arial" w:hAnsi="Arial" w:cs="Arial"/>
      <w:b/>
      <w:bCs/>
      <w:kern w:val="0"/>
      <w:sz w:val="20"/>
    </w:rPr>
  </w:style>
  <w:style w:type="paragraph" w:customStyle="1" w:styleId="32">
    <w:name w:val="font15"/>
    <w:basedOn w:val="1"/>
    <w:qFormat/>
    <w:uiPriority w:val="0"/>
    <w:pPr>
      <w:widowControl/>
      <w:topLinePunct w:val="0"/>
      <w:spacing w:before="100" w:beforeAutospacing="1" w:after="100" w:afterAutospacing="1"/>
      <w:jc w:val="left"/>
    </w:pPr>
    <w:rPr>
      <w:rFonts w:ascii="Arial" w:hAnsi="Arial" w:cs="Arial"/>
      <w:kern w:val="0"/>
      <w:sz w:val="20"/>
      <w:u w:val="single"/>
    </w:rPr>
  </w:style>
  <w:style w:type="paragraph" w:customStyle="1" w:styleId="33">
    <w:name w:val="font16"/>
    <w:basedOn w:val="1"/>
    <w:qFormat/>
    <w:uiPriority w:val="0"/>
    <w:pPr>
      <w:widowControl/>
      <w:topLinePunct w:val="0"/>
      <w:spacing w:before="100" w:beforeAutospacing="1" w:after="100" w:afterAutospacing="1"/>
      <w:jc w:val="left"/>
    </w:pPr>
    <w:rPr>
      <w:rFonts w:ascii="Arial" w:hAnsi="Arial" w:cs="Arial"/>
      <w:b/>
      <w:bCs/>
      <w:kern w:val="0"/>
      <w:sz w:val="20"/>
      <w:u w:val="single"/>
    </w:rPr>
  </w:style>
  <w:style w:type="paragraph" w:customStyle="1" w:styleId="34">
    <w:name w:val="font17"/>
    <w:basedOn w:val="1"/>
    <w:qFormat/>
    <w:uiPriority w:val="0"/>
    <w:pPr>
      <w:widowControl/>
      <w:topLinePunct w:val="0"/>
      <w:spacing w:before="100" w:beforeAutospacing="1" w:after="100" w:afterAutospacing="1"/>
      <w:jc w:val="left"/>
    </w:pPr>
    <w:rPr>
      <w:rFonts w:ascii="Arial" w:hAnsi="Arial" w:cs="Arial"/>
      <w:color w:val="FF0000"/>
      <w:kern w:val="0"/>
      <w:sz w:val="20"/>
    </w:rPr>
  </w:style>
  <w:style w:type="paragraph" w:customStyle="1" w:styleId="35">
    <w:name w:val="xl88"/>
    <w:basedOn w:val="1"/>
    <w:qFormat/>
    <w:uiPriority w:val="0"/>
    <w:pPr>
      <w:widowControl/>
      <w:pBdr>
        <w:top w:val="single" w:color="auto" w:sz="4" w:space="0"/>
        <w:left w:val="single" w:color="auto" w:sz="4" w:space="0"/>
        <w:bottom w:val="single" w:color="auto" w:sz="4" w:space="0"/>
        <w:right w:val="single" w:color="auto" w:sz="4" w:space="0"/>
      </w:pBdr>
      <w:topLinePunct w:val="0"/>
      <w:spacing w:before="100" w:beforeAutospacing="1" w:after="100" w:afterAutospacing="1"/>
      <w:jc w:val="center"/>
      <w:textAlignment w:val="center"/>
    </w:pPr>
    <w:rPr>
      <w:rFonts w:ascii="Arial" w:hAnsi="Arial" w:cs="Arial"/>
      <w:kern w:val="0"/>
      <w:sz w:val="20"/>
    </w:rPr>
  </w:style>
  <w:style w:type="paragraph" w:customStyle="1" w:styleId="36">
    <w:name w:val="xl89"/>
    <w:basedOn w:val="1"/>
    <w:qFormat/>
    <w:uiPriority w:val="0"/>
    <w:pPr>
      <w:widowControl/>
      <w:pBdr>
        <w:top w:val="single" w:color="auto" w:sz="4" w:space="0"/>
        <w:left w:val="single" w:color="auto" w:sz="4" w:space="0"/>
        <w:bottom w:val="single" w:color="auto" w:sz="4" w:space="0"/>
        <w:right w:val="single" w:color="auto" w:sz="4" w:space="0"/>
      </w:pBdr>
      <w:topLinePunct w:val="0"/>
      <w:spacing w:before="100" w:beforeAutospacing="1" w:after="100" w:afterAutospacing="1"/>
      <w:jc w:val="center"/>
      <w:textAlignment w:val="center"/>
    </w:pPr>
    <w:rPr>
      <w:rFonts w:ascii="Arial" w:hAnsi="Arial" w:cs="Arial"/>
      <w:kern w:val="0"/>
      <w:sz w:val="20"/>
    </w:rPr>
  </w:style>
  <w:style w:type="paragraph" w:customStyle="1" w:styleId="37">
    <w:name w:val="xl90"/>
    <w:basedOn w:val="1"/>
    <w:qFormat/>
    <w:uiPriority w:val="0"/>
    <w:pPr>
      <w:widowControl/>
      <w:pBdr>
        <w:top w:val="single" w:color="auto" w:sz="4" w:space="0"/>
        <w:left w:val="single" w:color="auto" w:sz="4" w:space="0"/>
        <w:bottom w:val="single" w:color="auto" w:sz="4" w:space="0"/>
        <w:right w:val="single" w:color="auto" w:sz="4" w:space="0"/>
      </w:pBdr>
      <w:topLinePunct w:val="0"/>
      <w:spacing w:before="100" w:beforeAutospacing="1" w:after="100" w:afterAutospacing="1"/>
      <w:jc w:val="center"/>
      <w:textAlignment w:val="center"/>
    </w:pPr>
    <w:rPr>
      <w:rFonts w:ascii="Arial" w:hAnsi="Arial" w:cs="Arial"/>
      <w:kern w:val="0"/>
      <w:sz w:val="20"/>
    </w:rPr>
  </w:style>
  <w:style w:type="paragraph" w:customStyle="1" w:styleId="38">
    <w:name w:val="xl91"/>
    <w:basedOn w:val="1"/>
    <w:qFormat/>
    <w:uiPriority w:val="0"/>
    <w:pPr>
      <w:widowControl/>
      <w:pBdr>
        <w:top w:val="single" w:color="auto" w:sz="4" w:space="0"/>
        <w:left w:val="single" w:color="auto" w:sz="4" w:space="0"/>
        <w:bottom w:val="single" w:color="auto" w:sz="4" w:space="0"/>
        <w:right w:val="single" w:color="auto" w:sz="4" w:space="0"/>
      </w:pBdr>
      <w:topLinePunct w:val="0"/>
      <w:spacing w:before="100" w:beforeAutospacing="1" w:after="100" w:afterAutospacing="1"/>
      <w:jc w:val="center"/>
      <w:textAlignment w:val="center"/>
    </w:pPr>
    <w:rPr>
      <w:rFonts w:ascii="Arial" w:hAnsi="Arial" w:cs="Arial"/>
      <w:b/>
      <w:bCs/>
      <w:kern w:val="0"/>
      <w:sz w:val="20"/>
    </w:rPr>
  </w:style>
  <w:style w:type="paragraph" w:customStyle="1" w:styleId="39">
    <w:name w:val="xl92"/>
    <w:basedOn w:val="1"/>
    <w:qFormat/>
    <w:uiPriority w:val="0"/>
    <w:pPr>
      <w:widowControl/>
      <w:pBdr>
        <w:top w:val="single" w:color="auto" w:sz="4" w:space="0"/>
        <w:left w:val="single" w:color="auto" w:sz="4" w:space="0"/>
        <w:bottom w:val="single" w:color="auto" w:sz="4" w:space="0"/>
        <w:right w:val="single" w:color="auto" w:sz="4" w:space="0"/>
      </w:pBdr>
      <w:topLinePunct w:val="0"/>
      <w:spacing w:before="100" w:beforeAutospacing="1" w:after="100" w:afterAutospacing="1"/>
      <w:jc w:val="center"/>
      <w:textAlignment w:val="center"/>
    </w:pPr>
    <w:rPr>
      <w:rFonts w:ascii="Arial" w:hAnsi="Arial" w:cs="Arial"/>
      <w:b/>
      <w:bCs/>
      <w:kern w:val="0"/>
      <w:sz w:val="20"/>
    </w:rPr>
  </w:style>
  <w:style w:type="paragraph" w:customStyle="1" w:styleId="40">
    <w:name w:val="xl93"/>
    <w:basedOn w:val="1"/>
    <w:qFormat/>
    <w:uiPriority w:val="0"/>
    <w:pPr>
      <w:widowControl/>
      <w:pBdr>
        <w:top w:val="single" w:color="auto" w:sz="4" w:space="0"/>
        <w:left w:val="single" w:color="auto" w:sz="4" w:space="0"/>
        <w:bottom w:val="single" w:color="auto" w:sz="4" w:space="0"/>
        <w:right w:val="single" w:color="auto" w:sz="4" w:space="0"/>
      </w:pBdr>
      <w:topLinePunct w:val="0"/>
      <w:spacing w:before="100" w:beforeAutospacing="1" w:after="100" w:afterAutospacing="1"/>
      <w:jc w:val="center"/>
      <w:textAlignment w:val="center"/>
    </w:pPr>
    <w:rPr>
      <w:rFonts w:ascii="Arial" w:hAnsi="Arial" w:cs="Arial"/>
      <w:b/>
      <w:bCs/>
      <w:kern w:val="0"/>
      <w:sz w:val="20"/>
    </w:rPr>
  </w:style>
  <w:style w:type="paragraph" w:customStyle="1" w:styleId="41">
    <w:name w:val="xl94"/>
    <w:basedOn w:val="1"/>
    <w:qFormat/>
    <w:uiPriority w:val="0"/>
    <w:pPr>
      <w:widowControl/>
      <w:pBdr>
        <w:top w:val="single" w:color="auto" w:sz="4" w:space="0"/>
        <w:left w:val="single" w:color="auto" w:sz="4" w:space="0"/>
        <w:bottom w:val="single" w:color="auto" w:sz="4" w:space="0"/>
        <w:right w:val="single" w:color="auto" w:sz="4" w:space="0"/>
      </w:pBdr>
      <w:topLinePunct w:val="0"/>
      <w:spacing w:before="100" w:beforeAutospacing="1" w:after="100" w:afterAutospacing="1"/>
      <w:jc w:val="center"/>
      <w:textAlignment w:val="center"/>
    </w:pPr>
    <w:rPr>
      <w:rFonts w:ascii="Arial" w:hAnsi="Arial" w:cs="Arial"/>
      <w:kern w:val="0"/>
      <w:sz w:val="20"/>
    </w:rPr>
  </w:style>
  <w:style w:type="paragraph" w:customStyle="1" w:styleId="42">
    <w:name w:val="xl95"/>
    <w:basedOn w:val="1"/>
    <w:qFormat/>
    <w:uiPriority w:val="0"/>
    <w:pPr>
      <w:widowControl/>
      <w:pBdr>
        <w:top w:val="single" w:color="auto" w:sz="4" w:space="0"/>
        <w:left w:val="single" w:color="auto" w:sz="4" w:space="0"/>
        <w:bottom w:val="single" w:color="auto" w:sz="4" w:space="0"/>
        <w:right w:val="single" w:color="auto" w:sz="4" w:space="0"/>
      </w:pBdr>
      <w:topLinePunct w:val="0"/>
      <w:spacing w:before="100" w:beforeAutospacing="1" w:after="100" w:afterAutospacing="1"/>
      <w:jc w:val="center"/>
      <w:textAlignment w:val="center"/>
    </w:pPr>
    <w:rPr>
      <w:rFonts w:ascii="Arial" w:hAnsi="Arial" w:cs="Arial"/>
      <w:b/>
      <w:bCs/>
      <w:kern w:val="0"/>
      <w:sz w:val="20"/>
    </w:rPr>
  </w:style>
  <w:style w:type="paragraph" w:customStyle="1" w:styleId="43">
    <w:name w:val="xl96"/>
    <w:basedOn w:val="1"/>
    <w:qFormat/>
    <w:uiPriority w:val="0"/>
    <w:pPr>
      <w:widowControl/>
      <w:pBdr>
        <w:top w:val="single" w:color="auto" w:sz="4" w:space="0"/>
        <w:left w:val="single" w:color="auto" w:sz="4" w:space="0"/>
        <w:bottom w:val="single" w:color="auto" w:sz="4" w:space="0"/>
        <w:right w:val="single" w:color="auto" w:sz="4" w:space="0"/>
      </w:pBdr>
      <w:topLinePunct w:val="0"/>
      <w:spacing w:before="100" w:beforeAutospacing="1" w:after="100" w:afterAutospacing="1"/>
      <w:jc w:val="center"/>
      <w:textAlignment w:val="center"/>
    </w:pPr>
    <w:rPr>
      <w:rFonts w:ascii="Arial" w:hAnsi="Arial" w:cs="Arial"/>
      <w:kern w:val="0"/>
      <w:sz w:val="20"/>
    </w:rPr>
  </w:style>
  <w:style w:type="paragraph" w:customStyle="1" w:styleId="44">
    <w:name w:val="xl97"/>
    <w:basedOn w:val="1"/>
    <w:qFormat/>
    <w:uiPriority w:val="0"/>
    <w:pPr>
      <w:widowControl/>
      <w:pBdr>
        <w:top w:val="single" w:color="auto" w:sz="4" w:space="0"/>
        <w:left w:val="single" w:color="auto" w:sz="4" w:space="0"/>
        <w:bottom w:val="single" w:color="auto" w:sz="4" w:space="0"/>
        <w:right w:val="single" w:color="auto" w:sz="4" w:space="0"/>
      </w:pBdr>
      <w:topLinePunct w:val="0"/>
      <w:spacing w:before="100" w:beforeAutospacing="1" w:after="100" w:afterAutospacing="1"/>
      <w:jc w:val="center"/>
      <w:textAlignment w:val="center"/>
    </w:pPr>
    <w:rPr>
      <w:rFonts w:ascii="Arial" w:hAnsi="Arial" w:cs="Arial"/>
      <w:color w:val="FF0000"/>
      <w:kern w:val="0"/>
      <w:sz w:val="20"/>
    </w:rPr>
  </w:style>
  <w:style w:type="paragraph" w:customStyle="1" w:styleId="45">
    <w:name w:val="xl98"/>
    <w:basedOn w:val="1"/>
    <w:qFormat/>
    <w:uiPriority w:val="0"/>
    <w:pPr>
      <w:widowControl/>
      <w:pBdr>
        <w:top w:val="single" w:color="auto" w:sz="4" w:space="0"/>
        <w:left w:val="single" w:color="auto" w:sz="4" w:space="0"/>
        <w:right w:val="single" w:color="auto" w:sz="4" w:space="0"/>
      </w:pBdr>
      <w:topLinePunct w:val="0"/>
      <w:spacing w:before="100" w:beforeAutospacing="1" w:after="100" w:afterAutospacing="1"/>
      <w:jc w:val="center"/>
      <w:textAlignment w:val="center"/>
    </w:pPr>
    <w:rPr>
      <w:rFonts w:ascii="Arial" w:hAnsi="Arial" w:cs="Arial"/>
      <w:kern w:val="0"/>
      <w:sz w:val="20"/>
    </w:rPr>
  </w:style>
  <w:style w:type="paragraph" w:customStyle="1" w:styleId="46">
    <w:name w:val="xl99"/>
    <w:basedOn w:val="1"/>
    <w:qFormat/>
    <w:uiPriority w:val="0"/>
    <w:pPr>
      <w:widowControl/>
      <w:pBdr>
        <w:left w:val="single" w:color="auto" w:sz="4" w:space="0"/>
        <w:bottom w:val="single" w:color="auto" w:sz="4" w:space="0"/>
        <w:right w:val="single" w:color="auto" w:sz="4" w:space="0"/>
      </w:pBdr>
      <w:topLinePunct w:val="0"/>
      <w:spacing w:before="100" w:beforeAutospacing="1" w:after="100" w:afterAutospacing="1"/>
      <w:jc w:val="center"/>
      <w:textAlignment w:val="center"/>
    </w:pPr>
    <w:rPr>
      <w:rFonts w:ascii="Arial" w:hAnsi="Arial" w:cs="Arial"/>
      <w:kern w:val="0"/>
      <w:sz w:val="20"/>
    </w:rPr>
  </w:style>
  <w:style w:type="paragraph" w:customStyle="1" w:styleId="47">
    <w:name w:val="xl100"/>
    <w:basedOn w:val="1"/>
    <w:qFormat/>
    <w:uiPriority w:val="0"/>
    <w:pPr>
      <w:widowControl/>
      <w:pBdr>
        <w:left w:val="single" w:color="auto" w:sz="4" w:space="0"/>
        <w:right w:val="single" w:color="auto" w:sz="4" w:space="0"/>
      </w:pBdr>
      <w:topLinePunct w:val="0"/>
      <w:spacing w:before="100" w:beforeAutospacing="1" w:after="100" w:afterAutospacing="1"/>
      <w:jc w:val="center"/>
      <w:textAlignment w:val="center"/>
    </w:pPr>
    <w:rPr>
      <w:rFonts w:ascii="Arial" w:hAnsi="Arial" w:cs="Arial"/>
      <w:kern w:val="0"/>
      <w:sz w:val="20"/>
    </w:rPr>
  </w:style>
  <w:style w:type="paragraph" w:customStyle="1" w:styleId="48">
    <w:name w:val="xl101"/>
    <w:basedOn w:val="1"/>
    <w:qFormat/>
    <w:uiPriority w:val="0"/>
    <w:pPr>
      <w:widowControl/>
      <w:pBdr>
        <w:top w:val="single" w:color="auto" w:sz="4" w:space="0"/>
        <w:left w:val="single" w:color="auto" w:sz="4" w:space="0"/>
        <w:right w:val="single" w:color="auto" w:sz="4" w:space="0"/>
      </w:pBdr>
      <w:topLinePunct w:val="0"/>
      <w:spacing w:before="100" w:beforeAutospacing="1" w:after="100" w:afterAutospacing="1"/>
      <w:jc w:val="center"/>
      <w:textAlignment w:val="center"/>
    </w:pPr>
    <w:rPr>
      <w:rFonts w:ascii="Arial" w:hAnsi="Arial" w:cs="Arial"/>
      <w:b/>
      <w:bCs/>
      <w:kern w:val="0"/>
      <w:sz w:val="20"/>
    </w:rPr>
  </w:style>
  <w:style w:type="paragraph" w:customStyle="1" w:styleId="49">
    <w:name w:val="xl102"/>
    <w:basedOn w:val="1"/>
    <w:qFormat/>
    <w:uiPriority w:val="0"/>
    <w:pPr>
      <w:widowControl/>
      <w:pBdr>
        <w:left w:val="single" w:color="auto" w:sz="4" w:space="0"/>
        <w:bottom w:val="single" w:color="auto" w:sz="4" w:space="0"/>
        <w:right w:val="single" w:color="auto" w:sz="4" w:space="0"/>
      </w:pBdr>
      <w:topLinePunct w:val="0"/>
      <w:spacing w:before="100" w:beforeAutospacing="1" w:after="100" w:afterAutospacing="1"/>
      <w:jc w:val="center"/>
      <w:textAlignment w:val="center"/>
    </w:pPr>
    <w:rPr>
      <w:rFonts w:ascii="Arial" w:hAnsi="Arial" w:cs="Arial"/>
      <w:b/>
      <w:bCs/>
      <w:kern w:val="0"/>
      <w:sz w:val="20"/>
    </w:rPr>
  </w:style>
  <w:style w:type="paragraph" w:customStyle="1" w:styleId="50">
    <w:name w:val="xl103"/>
    <w:basedOn w:val="1"/>
    <w:qFormat/>
    <w:uiPriority w:val="0"/>
    <w:pPr>
      <w:widowControl/>
      <w:pBdr>
        <w:left w:val="single" w:color="auto" w:sz="4" w:space="0"/>
        <w:right w:val="single" w:color="auto" w:sz="4" w:space="0"/>
      </w:pBdr>
      <w:topLinePunct w:val="0"/>
      <w:spacing w:before="100" w:beforeAutospacing="1" w:after="100" w:afterAutospacing="1"/>
      <w:jc w:val="center"/>
      <w:textAlignment w:val="center"/>
    </w:pPr>
    <w:rPr>
      <w:rFonts w:ascii="Arial" w:hAnsi="Arial" w:cs="Arial"/>
      <w:b/>
      <w:bCs/>
      <w:kern w:val="0"/>
      <w:sz w:val="20"/>
    </w:rPr>
  </w:style>
  <w:style w:type="paragraph" w:customStyle="1" w:styleId="51">
    <w:name w:val="xl104"/>
    <w:basedOn w:val="1"/>
    <w:qFormat/>
    <w:uiPriority w:val="0"/>
    <w:pPr>
      <w:widowControl/>
      <w:pBdr>
        <w:top w:val="single" w:color="auto" w:sz="4" w:space="0"/>
        <w:left w:val="single" w:color="auto" w:sz="4" w:space="0"/>
        <w:right w:val="single" w:color="auto" w:sz="4" w:space="0"/>
      </w:pBdr>
      <w:topLinePunct w:val="0"/>
      <w:spacing w:before="100" w:beforeAutospacing="1" w:after="100" w:afterAutospacing="1"/>
      <w:jc w:val="center"/>
      <w:textAlignment w:val="center"/>
    </w:pPr>
    <w:rPr>
      <w:rFonts w:ascii="Arial" w:hAnsi="Arial" w:cs="Arial"/>
      <w:b/>
      <w:bCs/>
      <w:kern w:val="0"/>
      <w:sz w:val="20"/>
    </w:rPr>
  </w:style>
  <w:style w:type="paragraph" w:customStyle="1" w:styleId="52">
    <w:name w:val="xl105"/>
    <w:basedOn w:val="1"/>
    <w:qFormat/>
    <w:uiPriority w:val="0"/>
    <w:pPr>
      <w:widowControl/>
      <w:pBdr>
        <w:left w:val="single" w:color="auto" w:sz="4" w:space="0"/>
        <w:bottom w:val="single" w:color="auto" w:sz="4" w:space="0"/>
        <w:right w:val="single" w:color="auto" w:sz="4" w:space="0"/>
      </w:pBdr>
      <w:topLinePunct w:val="0"/>
      <w:spacing w:before="100" w:beforeAutospacing="1" w:after="100" w:afterAutospacing="1"/>
      <w:jc w:val="center"/>
      <w:textAlignment w:val="center"/>
    </w:pPr>
    <w:rPr>
      <w:rFonts w:ascii="Arial" w:hAnsi="Arial" w:cs="Arial"/>
      <w:b/>
      <w:bCs/>
      <w:kern w:val="0"/>
      <w:sz w:val="20"/>
    </w:rPr>
  </w:style>
  <w:style w:type="paragraph" w:customStyle="1" w:styleId="53">
    <w:name w:val="xl106"/>
    <w:basedOn w:val="1"/>
    <w:qFormat/>
    <w:uiPriority w:val="0"/>
    <w:pPr>
      <w:widowControl/>
      <w:pBdr>
        <w:top w:val="single" w:color="auto" w:sz="4" w:space="0"/>
        <w:left w:val="single" w:color="auto" w:sz="4" w:space="0"/>
        <w:right w:val="single" w:color="auto" w:sz="4" w:space="0"/>
      </w:pBdr>
      <w:topLinePunct w:val="0"/>
      <w:spacing w:before="100" w:beforeAutospacing="1" w:after="100" w:afterAutospacing="1"/>
      <w:jc w:val="center"/>
      <w:textAlignment w:val="center"/>
    </w:pPr>
    <w:rPr>
      <w:rFonts w:ascii="Arial" w:hAnsi="Arial" w:cs="Arial"/>
      <w:color w:val="FF0000"/>
      <w:kern w:val="0"/>
      <w:sz w:val="20"/>
    </w:rPr>
  </w:style>
  <w:style w:type="paragraph" w:customStyle="1" w:styleId="54">
    <w:name w:val="xl107"/>
    <w:basedOn w:val="1"/>
    <w:qFormat/>
    <w:uiPriority w:val="0"/>
    <w:pPr>
      <w:widowControl/>
      <w:pBdr>
        <w:left w:val="single" w:color="auto" w:sz="4" w:space="0"/>
        <w:right w:val="single" w:color="auto" w:sz="4" w:space="0"/>
      </w:pBdr>
      <w:topLinePunct w:val="0"/>
      <w:spacing w:before="100" w:beforeAutospacing="1" w:after="100" w:afterAutospacing="1"/>
      <w:jc w:val="center"/>
      <w:textAlignment w:val="center"/>
    </w:pPr>
    <w:rPr>
      <w:rFonts w:ascii="Arial" w:hAnsi="Arial" w:cs="Arial"/>
      <w:color w:val="FF0000"/>
      <w:kern w:val="0"/>
      <w:sz w:val="20"/>
    </w:rPr>
  </w:style>
  <w:style w:type="paragraph" w:customStyle="1" w:styleId="55">
    <w:name w:val="xl108"/>
    <w:basedOn w:val="1"/>
    <w:qFormat/>
    <w:uiPriority w:val="0"/>
    <w:pPr>
      <w:widowControl/>
      <w:pBdr>
        <w:left w:val="single" w:color="auto" w:sz="4" w:space="0"/>
        <w:bottom w:val="single" w:color="auto" w:sz="4" w:space="0"/>
        <w:right w:val="single" w:color="auto" w:sz="4" w:space="0"/>
      </w:pBdr>
      <w:topLinePunct w:val="0"/>
      <w:spacing w:before="100" w:beforeAutospacing="1" w:after="100" w:afterAutospacing="1"/>
      <w:jc w:val="center"/>
      <w:textAlignment w:val="center"/>
    </w:pPr>
    <w:rPr>
      <w:rFonts w:ascii="Arial" w:hAnsi="Arial" w:cs="Arial"/>
      <w:color w:val="FF0000"/>
      <w:kern w:val="0"/>
      <w:sz w:val="20"/>
    </w:rPr>
  </w:style>
  <w:style w:type="character" w:customStyle="1" w:styleId="56">
    <w:name w:val="日期 Char"/>
    <w:basedOn w:val="13"/>
    <w:link w:val="6"/>
    <w:semiHidden/>
    <w:qFormat/>
    <w:uiPriority w:val="99"/>
    <w:rPr>
      <w:rFonts w:ascii="方正仿宋_GBK" w:hAnsi="方正仿宋_GBK" w:eastAsia="方正仿宋_GBK"/>
      <w:szCs w:val="32"/>
    </w:rPr>
  </w:style>
  <w:style w:type="character" w:customStyle="1" w:styleId="57">
    <w:name w:val="日期 Char1"/>
    <w:basedOn w:val="13"/>
    <w:semiHidden/>
    <w:qFormat/>
    <w:uiPriority w:val="99"/>
    <w:rPr>
      <w:rFonts w:ascii="Times New Roman" w:hAnsi="Times New Roman" w:eastAsia="宋体" w:cs="Times New Roman"/>
      <w:szCs w:val="20"/>
    </w:rPr>
  </w:style>
  <w:style w:type="character" w:customStyle="1" w:styleId="58">
    <w:name w:val="批注框文本 Char"/>
    <w:basedOn w:val="13"/>
    <w:link w:val="7"/>
    <w:semiHidden/>
    <w:qFormat/>
    <w:uiPriority w:val="99"/>
    <w:rPr>
      <w:rFonts w:ascii="方正仿宋_GBK" w:hAnsi="方正仿宋_GBK" w:eastAsia="方正仿宋_GBK"/>
      <w:sz w:val="18"/>
      <w:szCs w:val="18"/>
    </w:rPr>
  </w:style>
  <w:style w:type="character" w:customStyle="1" w:styleId="59">
    <w:name w:val="批注框文本 Char1"/>
    <w:basedOn w:val="13"/>
    <w:semiHidden/>
    <w:qFormat/>
    <w:uiPriority w:val="99"/>
    <w:rPr>
      <w:rFonts w:ascii="Times New Roman" w:hAnsi="Times New Roman" w:eastAsia="宋体" w:cs="Times New Roman"/>
      <w:sz w:val="18"/>
      <w:szCs w:val="18"/>
    </w:rPr>
  </w:style>
  <w:style w:type="paragraph" w:customStyle="1" w:styleId="60">
    <w:name w:val="xl75"/>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topLinePunct w:val="0"/>
      <w:spacing w:before="100" w:beforeAutospacing="1" w:after="100" w:afterAutospacing="1"/>
      <w:jc w:val="center"/>
    </w:pPr>
    <w:rPr>
      <w:rFonts w:ascii="宋体" w:hAnsi="宋体" w:cs="宋体"/>
      <w:b/>
      <w:bCs/>
      <w:kern w:val="0"/>
      <w:sz w:val="20"/>
    </w:rPr>
  </w:style>
  <w:style w:type="paragraph" w:customStyle="1" w:styleId="61">
    <w:name w:val="xl76"/>
    <w:basedOn w:val="1"/>
    <w:qFormat/>
    <w:uiPriority w:val="0"/>
    <w:pPr>
      <w:widowControl/>
      <w:pBdr>
        <w:top w:val="single" w:color="auto" w:sz="4" w:space="0"/>
        <w:left w:val="single" w:color="auto" w:sz="4" w:space="0"/>
        <w:bottom w:val="single" w:color="auto" w:sz="4" w:space="0"/>
        <w:right w:val="single" w:color="auto" w:sz="4" w:space="0"/>
      </w:pBdr>
      <w:topLinePunct w:val="0"/>
      <w:spacing w:before="100" w:beforeAutospacing="1" w:after="100" w:afterAutospacing="1"/>
      <w:jc w:val="center"/>
    </w:pPr>
    <w:rPr>
      <w:rFonts w:ascii="宋体" w:hAnsi="宋体" w:cs="宋体"/>
      <w:kern w:val="0"/>
      <w:sz w:val="20"/>
    </w:rPr>
  </w:style>
  <w:style w:type="paragraph" w:customStyle="1" w:styleId="62">
    <w:name w:val="xl77"/>
    <w:basedOn w:val="1"/>
    <w:qFormat/>
    <w:uiPriority w:val="0"/>
    <w:pPr>
      <w:widowControl/>
      <w:pBdr>
        <w:top w:val="single" w:color="auto" w:sz="4" w:space="0"/>
        <w:left w:val="single" w:color="auto" w:sz="4" w:space="0"/>
        <w:bottom w:val="single" w:color="auto" w:sz="4" w:space="0"/>
        <w:right w:val="single" w:color="auto" w:sz="4" w:space="0"/>
      </w:pBdr>
      <w:topLinePunct w:val="0"/>
      <w:spacing w:before="100" w:beforeAutospacing="1" w:after="100" w:afterAutospacing="1"/>
      <w:jc w:val="center"/>
    </w:pPr>
    <w:rPr>
      <w:rFonts w:ascii="宋体" w:hAnsi="宋体" w:cs="宋体"/>
      <w:kern w:val="0"/>
      <w:sz w:val="20"/>
    </w:rPr>
  </w:style>
  <w:style w:type="paragraph" w:customStyle="1" w:styleId="63">
    <w:name w:val="xl78"/>
    <w:basedOn w:val="1"/>
    <w:qFormat/>
    <w:uiPriority w:val="0"/>
    <w:pPr>
      <w:widowControl/>
      <w:pBdr>
        <w:top w:val="single" w:color="auto" w:sz="4" w:space="0"/>
        <w:left w:val="single" w:color="auto" w:sz="4" w:space="0"/>
        <w:bottom w:val="single" w:color="auto" w:sz="4" w:space="0"/>
        <w:right w:val="single" w:color="auto" w:sz="4" w:space="0"/>
      </w:pBdr>
      <w:topLinePunct w:val="0"/>
      <w:spacing w:before="100" w:beforeAutospacing="1" w:after="100" w:afterAutospacing="1"/>
      <w:jc w:val="center"/>
    </w:pPr>
    <w:rPr>
      <w:rFonts w:ascii="宋体" w:hAnsi="宋体" w:cs="宋体"/>
      <w:kern w:val="0"/>
      <w:sz w:val="20"/>
    </w:rPr>
  </w:style>
  <w:style w:type="paragraph" w:customStyle="1" w:styleId="64">
    <w:name w:val="xl79"/>
    <w:basedOn w:val="1"/>
    <w:qFormat/>
    <w:uiPriority w:val="0"/>
    <w:pPr>
      <w:widowControl/>
      <w:pBdr>
        <w:top w:val="single" w:color="auto" w:sz="4" w:space="0"/>
        <w:left w:val="single" w:color="auto" w:sz="4" w:space="0"/>
        <w:bottom w:val="single" w:color="auto" w:sz="4" w:space="0"/>
        <w:right w:val="single" w:color="auto" w:sz="4" w:space="0"/>
      </w:pBdr>
      <w:topLinePunct w:val="0"/>
      <w:spacing w:before="100" w:beforeAutospacing="1" w:after="100" w:afterAutospacing="1"/>
      <w:jc w:val="center"/>
    </w:pPr>
    <w:rPr>
      <w:rFonts w:ascii="宋体" w:hAnsi="宋体" w:cs="宋体"/>
      <w:kern w:val="0"/>
      <w:sz w:val="20"/>
    </w:rPr>
  </w:style>
  <w:style w:type="paragraph" w:customStyle="1" w:styleId="65">
    <w:name w:val="xl80"/>
    <w:basedOn w:val="1"/>
    <w:qFormat/>
    <w:uiPriority w:val="0"/>
    <w:pPr>
      <w:widowControl/>
      <w:pBdr>
        <w:top w:val="single" w:color="auto" w:sz="4" w:space="0"/>
        <w:left w:val="single" w:color="auto" w:sz="4" w:space="0"/>
        <w:bottom w:val="single" w:color="auto" w:sz="4" w:space="0"/>
        <w:right w:val="single" w:color="auto" w:sz="4" w:space="0"/>
      </w:pBdr>
      <w:topLinePunct w:val="0"/>
      <w:spacing w:before="100" w:beforeAutospacing="1" w:after="100" w:afterAutospacing="1"/>
      <w:jc w:val="center"/>
    </w:pPr>
    <w:rPr>
      <w:rFonts w:ascii="宋体" w:hAnsi="宋体" w:cs="宋体"/>
      <w:kern w:val="0"/>
      <w:sz w:val="20"/>
    </w:rPr>
  </w:style>
  <w:style w:type="paragraph" w:customStyle="1" w:styleId="66">
    <w:name w:val="xl81"/>
    <w:basedOn w:val="1"/>
    <w:qFormat/>
    <w:uiPriority w:val="0"/>
    <w:pPr>
      <w:widowControl/>
      <w:pBdr>
        <w:top w:val="single" w:color="auto" w:sz="4" w:space="0"/>
        <w:left w:val="single" w:color="auto" w:sz="4" w:space="0"/>
        <w:bottom w:val="single" w:color="auto" w:sz="4" w:space="0"/>
        <w:right w:val="single" w:color="auto" w:sz="4" w:space="0"/>
      </w:pBdr>
      <w:topLinePunct w:val="0"/>
      <w:spacing w:before="100" w:beforeAutospacing="1" w:after="100" w:afterAutospacing="1"/>
      <w:jc w:val="center"/>
    </w:pPr>
    <w:rPr>
      <w:rFonts w:ascii="宋体" w:hAnsi="宋体" w:cs="宋体"/>
      <w:kern w:val="0"/>
      <w:sz w:val="20"/>
    </w:rPr>
  </w:style>
  <w:style w:type="paragraph" w:customStyle="1" w:styleId="67">
    <w:name w:val="xl82"/>
    <w:basedOn w:val="1"/>
    <w:qFormat/>
    <w:uiPriority w:val="0"/>
    <w:pPr>
      <w:widowControl/>
      <w:pBdr>
        <w:top w:val="single" w:color="auto" w:sz="4" w:space="0"/>
        <w:left w:val="single" w:color="auto" w:sz="4" w:space="0"/>
        <w:bottom w:val="single" w:color="auto" w:sz="4" w:space="0"/>
        <w:right w:val="single" w:color="auto" w:sz="4" w:space="0"/>
      </w:pBdr>
      <w:topLinePunct w:val="0"/>
      <w:spacing w:before="100" w:beforeAutospacing="1" w:after="100" w:afterAutospacing="1"/>
      <w:jc w:val="center"/>
    </w:pPr>
    <w:rPr>
      <w:rFonts w:ascii="宋体" w:hAnsi="宋体" w:cs="宋体"/>
      <w:kern w:val="0"/>
      <w:sz w:val="20"/>
    </w:rPr>
  </w:style>
  <w:style w:type="paragraph" w:customStyle="1" w:styleId="68">
    <w:name w:val="xl83"/>
    <w:basedOn w:val="1"/>
    <w:qFormat/>
    <w:uiPriority w:val="0"/>
    <w:pPr>
      <w:widowControl/>
      <w:pBdr>
        <w:top w:val="single" w:color="auto" w:sz="4" w:space="0"/>
        <w:left w:val="single" w:color="auto" w:sz="4" w:space="0"/>
        <w:bottom w:val="single" w:color="auto" w:sz="4" w:space="0"/>
        <w:right w:val="single" w:color="auto" w:sz="4" w:space="0"/>
      </w:pBdr>
      <w:topLinePunct w:val="0"/>
      <w:spacing w:before="100" w:beforeAutospacing="1" w:after="100" w:afterAutospacing="1"/>
      <w:jc w:val="center"/>
    </w:pPr>
    <w:rPr>
      <w:rFonts w:ascii="宋体" w:hAnsi="宋体" w:cs="宋体"/>
      <w:kern w:val="0"/>
      <w:sz w:val="20"/>
    </w:rPr>
  </w:style>
  <w:style w:type="paragraph" w:customStyle="1" w:styleId="69">
    <w:name w:val="xl84"/>
    <w:basedOn w:val="1"/>
    <w:qFormat/>
    <w:uiPriority w:val="0"/>
    <w:pPr>
      <w:widowControl/>
      <w:pBdr>
        <w:top w:val="single" w:color="auto" w:sz="4" w:space="0"/>
        <w:left w:val="single" w:color="auto" w:sz="4" w:space="0"/>
        <w:bottom w:val="single" w:color="auto" w:sz="4" w:space="0"/>
        <w:right w:val="single" w:color="auto" w:sz="4" w:space="0"/>
      </w:pBdr>
      <w:topLinePunct w:val="0"/>
      <w:spacing w:before="100" w:beforeAutospacing="1" w:after="100" w:afterAutospacing="1"/>
      <w:jc w:val="center"/>
    </w:pPr>
    <w:rPr>
      <w:rFonts w:ascii="宋体" w:hAnsi="宋体" w:cs="宋体"/>
      <w:kern w:val="0"/>
      <w:sz w:val="20"/>
    </w:rPr>
  </w:style>
  <w:style w:type="paragraph" w:customStyle="1" w:styleId="70">
    <w:name w:val="xl85"/>
    <w:basedOn w:val="1"/>
    <w:qFormat/>
    <w:uiPriority w:val="0"/>
    <w:pPr>
      <w:widowControl/>
      <w:pBdr>
        <w:top w:val="single" w:color="auto" w:sz="4" w:space="0"/>
        <w:left w:val="single" w:color="auto" w:sz="4" w:space="0"/>
        <w:bottom w:val="single" w:color="auto" w:sz="4" w:space="0"/>
        <w:right w:val="single" w:color="auto" w:sz="4" w:space="0"/>
      </w:pBdr>
      <w:topLinePunct w:val="0"/>
      <w:spacing w:before="100" w:beforeAutospacing="1" w:after="100" w:afterAutospacing="1"/>
      <w:jc w:val="center"/>
    </w:pPr>
    <w:rPr>
      <w:rFonts w:ascii="宋体" w:hAnsi="宋体" w:cs="宋体"/>
      <w:kern w:val="0"/>
      <w:sz w:val="20"/>
    </w:rPr>
  </w:style>
  <w:style w:type="paragraph" w:customStyle="1" w:styleId="71">
    <w:name w:val="xl86"/>
    <w:basedOn w:val="1"/>
    <w:qFormat/>
    <w:uiPriority w:val="0"/>
    <w:pPr>
      <w:widowControl/>
      <w:pBdr>
        <w:top w:val="single" w:color="auto" w:sz="4" w:space="0"/>
        <w:left w:val="single" w:color="auto" w:sz="4" w:space="0"/>
        <w:bottom w:val="single" w:color="auto" w:sz="4" w:space="0"/>
        <w:right w:val="single" w:color="auto" w:sz="4" w:space="0"/>
      </w:pBdr>
      <w:topLinePunct w:val="0"/>
      <w:spacing w:before="100" w:beforeAutospacing="1" w:after="100" w:afterAutospacing="1"/>
      <w:jc w:val="center"/>
    </w:pPr>
    <w:rPr>
      <w:rFonts w:ascii="宋体" w:hAnsi="宋体" w:cs="宋体"/>
      <w:kern w:val="0"/>
      <w:sz w:val="20"/>
    </w:rPr>
  </w:style>
  <w:style w:type="paragraph" w:customStyle="1" w:styleId="72">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topLinePunct w:val="0"/>
      <w:spacing w:before="100" w:beforeAutospacing="1" w:after="100" w:afterAutospacing="1"/>
      <w:jc w:val="center"/>
    </w:pPr>
    <w:rPr>
      <w:rFonts w:ascii="宋体" w:hAnsi="宋体" w:cs="宋体"/>
      <w:kern w:val="0"/>
      <w:sz w:val="20"/>
    </w:rPr>
  </w:style>
  <w:style w:type="paragraph" w:customStyle="1" w:styleId="73">
    <w:name w:val="xl109"/>
    <w:basedOn w:val="1"/>
    <w:qFormat/>
    <w:uiPriority w:val="0"/>
    <w:pPr>
      <w:widowControl/>
      <w:pBdr>
        <w:top w:val="single" w:color="auto" w:sz="4" w:space="0"/>
        <w:left w:val="single" w:color="auto" w:sz="4" w:space="0"/>
        <w:bottom w:val="single" w:color="auto" w:sz="4" w:space="0"/>
        <w:right w:val="single" w:color="auto" w:sz="4" w:space="0"/>
      </w:pBdr>
      <w:topLinePunct w:val="0"/>
      <w:spacing w:before="100" w:beforeAutospacing="1" w:after="100" w:afterAutospacing="1"/>
      <w:jc w:val="center"/>
    </w:pPr>
    <w:rPr>
      <w:rFonts w:ascii="宋体" w:hAnsi="宋体" w:cs="宋体"/>
      <w:kern w:val="0"/>
      <w:sz w:val="20"/>
    </w:rPr>
  </w:style>
  <w:style w:type="paragraph" w:customStyle="1" w:styleId="74">
    <w:name w:val="xl110"/>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topLinePunct w:val="0"/>
      <w:spacing w:before="100" w:beforeAutospacing="1" w:after="100" w:afterAutospacing="1"/>
      <w:jc w:val="center"/>
    </w:pPr>
    <w:rPr>
      <w:rFonts w:ascii="宋体" w:hAnsi="宋体" w:cs="宋体"/>
      <w:kern w:val="0"/>
      <w:sz w:val="20"/>
    </w:rPr>
  </w:style>
  <w:style w:type="paragraph" w:customStyle="1" w:styleId="75">
    <w:name w:val="xl111"/>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topLinePunct w:val="0"/>
      <w:spacing w:before="100" w:beforeAutospacing="1" w:after="100" w:afterAutospacing="1"/>
      <w:jc w:val="center"/>
    </w:pPr>
    <w:rPr>
      <w:rFonts w:ascii="宋体" w:hAnsi="宋体" w:cs="宋体"/>
      <w:kern w:val="0"/>
      <w:sz w:val="20"/>
    </w:rPr>
  </w:style>
  <w:style w:type="paragraph" w:customStyle="1" w:styleId="76">
    <w:name w:val="xl112"/>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topLinePunct w:val="0"/>
      <w:spacing w:before="100" w:beforeAutospacing="1" w:after="100" w:afterAutospacing="1"/>
      <w:jc w:val="center"/>
    </w:pPr>
    <w:rPr>
      <w:rFonts w:ascii="宋体" w:hAnsi="宋体" w:cs="宋体"/>
      <w:kern w:val="0"/>
      <w:sz w:val="20"/>
    </w:rPr>
  </w:style>
  <w:style w:type="paragraph" w:customStyle="1" w:styleId="77">
    <w:name w:val="xl113"/>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topLinePunct w:val="0"/>
      <w:spacing w:before="100" w:beforeAutospacing="1" w:after="100" w:afterAutospacing="1"/>
      <w:jc w:val="center"/>
    </w:pPr>
    <w:rPr>
      <w:rFonts w:ascii="宋体" w:hAnsi="宋体" w:cs="宋体"/>
      <w:kern w:val="0"/>
      <w:sz w:val="20"/>
    </w:rPr>
  </w:style>
  <w:style w:type="paragraph" w:customStyle="1" w:styleId="78">
    <w:name w:val="xl114"/>
    <w:basedOn w:val="1"/>
    <w:qFormat/>
    <w:uiPriority w:val="0"/>
    <w:pPr>
      <w:widowControl/>
      <w:pBdr>
        <w:top w:val="single" w:color="auto" w:sz="4" w:space="0"/>
        <w:left w:val="single" w:color="auto" w:sz="4" w:space="0"/>
        <w:bottom w:val="single" w:color="auto" w:sz="4" w:space="0"/>
        <w:right w:val="single" w:color="auto" w:sz="4" w:space="0"/>
      </w:pBdr>
      <w:topLinePunct w:val="0"/>
      <w:spacing w:before="100" w:beforeAutospacing="1" w:after="100" w:afterAutospacing="1"/>
      <w:jc w:val="center"/>
    </w:pPr>
    <w:rPr>
      <w:rFonts w:ascii="宋体" w:hAnsi="宋体" w:cs="宋体"/>
      <w:kern w:val="0"/>
      <w:sz w:val="20"/>
    </w:rPr>
  </w:style>
  <w:style w:type="paragraph" w:customStyle="1" w:styleId="79">
    <w:name w:val="xl115"/>
    <w:basedOn w:val="1"/>
    <w:qFormat/>
    <w:uiPriority w:val="0"/>
    <w:pPr>
      <w:widowControl/>
      <w:pBdr>
        <w:top w:val="single" w:color="auto" w:sz="4" w:space="0"/>
        <w:left w:val="single" w:color="auto" w:sz="4" w:space="0"/>
        <w:bottom w:val="single" w:color="auto" w:sz="4" w:space="0"/>
        <w:right w:val="single" w:color="auto" w:sz="4" w:space="0"/>
      </w:pBdr>
      <w:topLinePunct w:val="0"/>
      <w:spacing w:before="100" w:beforeAutospacing="1" w:after="100" w:afterAutospacing="1"/>
      <w:jc w:val="center"/>
    </w:pPr>
    <w:rPr>
      <w:rFonts w:ascii="宋体" w:hAnsi="宋体" w:cs="宋体"/>
      <w:kern w:val="0"/>
      <w:sz w:val="20"/>
    </w:rPr>
  </w:style>
  <w:style w:type="paragraph" w:customStyle="1" w:styleId="80">
    <w:name w:val="xl116"/>
    <w:basedOn w:val="1"/>
    <w:qFormat/>
    <w:uiPriority w:val="0"/>
    <w:pPr>
      <w:widowControl/>
      <w:pBdr>
        <w:top w:val="single" w:color="auto" w:sz="4" w:space="0"/>
        <w:left w:val="single" w:color="auto" w:sz="4" w:space="0"/>
        <w:bottom w:val="single" w:color="auto" w:sz="4" w:space="0"/>
        <w:right w:val="single" w:color="auto" w:sz="4" w:space="0"/>
      </w:pBdr>
      <w:topLinePunct w:val="0"/>
      <w:spacing w:before="100" w:beforeAutospacing="1" w:after="100" w:afterAutospacing="1"/>
      <w:jc w:val="center"/>
    </w:pPr>
    <w:rPr>
      <w:rFonts w:ascii="宋体" w:hAnsi="宋体" w:cs="宋体"/>
      <w:kern w:val="0"/>
      <w:sz w:val="20"/>
    </w:rPr>
  </w:style>
  <w:style w:type="paragraph" w:customStyle="1" w:styleId="81">
    <w:name w:val="xl117"/>
    <w:basedOn w:val="1"/>
    <w:qFormat/>
    <w:uiPriority w:val="0"/>
    <w:pPr>
      <w:widowControl/>
      <w:pBdr>
        <w:top w:val="single" w:color="auto" w:sz="4" w:space="0"/>
        <w:left w:val="single" w:color="auto" w:sz="4" w:space="0"/>
        <w:bottom w:val="single" w:color="auto" w:sz="4" w:space="0"/>
        <w:right w:val="single" w:color="auto" w:sz="4" w:space="0"/>
      </w:pBdr>
      <w:topLinePunct w:val="0"/>
      <w:spacing w:before="100" w:beforeAutospacing="1" w:after="100" w:afterAutospacing="1"/>
      <w:jc w:val="center"/>
    </w:pPr>
    <w:rPr>
      <w:rFonts w:ascii="宋体" w:hAnsi="宋体" w:cs="宋体"/>
      <w:kern w:val="0"/>
      <w:sz w:val="20"/>
    </w:rPr>
  </w:style>
  <w:style w:type="paragraph" w:customStyle="1" w:styleId="82">
    <w:name w:val="xl118"/>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topLinePunct w:val="0"/>
      <w:spacing w:before="100" w:beforeAutospacing="1" w:after="100" w:afterAutospacing="1"/>
      <w:jc w:val="center"/>
    </w:pPr>
    <w:rPr>
      <w:rFonts w:ascii="宋体" w:hAnsi="宋体" w:cs="宋体"/>
      <w:kern w:val="0"/>
      <w:sz w:val="20"/>
    </w:rPr>
  </w:style>
  <w:style w:type="paragraph" w:customStyle="1" w:styleId="83">
    <w:name w:val="xl119"/>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topLinePunct w:val="0"/>
      <w:spacing w:before="100" w:beforeAutospacing="1" w:after="100" w:afterAutospacing="1"/>
      <w:jc w:val="center"/>
    </w:pPr>
    <w:rPr>
      <w:rFonts w:ascii="宋体" w:hAnsi="宋体" w:cs="宋体"/>
      <w:kern w:val="0"/>
      <w:sz w:val="20"/>
    </w:rPr>
  </w:style>
  <w:style w:type="paragraph" w:customStyle="1" w:styleId="84">
    <w:name w:val="xl120"/>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topLinePunct w:val="0"/>
      <w:spacing w:before="100" w:beforeAutospacing="1" w:after="100" w:afterAutospacing="1"/>
      <w:jc w:val="center"/>
    </w:pPr>
    <w:rPr>
      <w:rFonts w:ascii="宋体" w:hAnsi="宋体" w:cs="宋体"/>
      <w:kern w:val="0"/>
      <w:sz w:val="20"/>
    </w:rPr>
  </w:style>
  <w:style w:type="paragraph" w:customStyle="1" w:styleId="85">
    <w:name w:val="xl121"/>
    <w:basedOn w:val="1"/>
    <w:qFormat/>
    <w:uiPriority w:val="0"/>
    <w:pPr>
      <w:widowControl/>
      <w:pBdr>
        <w:top w:val="single" w:color="auto" w:sz="4" w:space="0"/>
        <w:left w:val="single" w:color="auto" w:sz="4" w:space="0"/>
        <w:bottom w:val="single" w:color="auto" w:sz="4" w:space="0"/>
        <w:right w:val="single" w:color="auto" w:sz="4" w:space="0"/>
      </w:pBdr>
      <w:topLinePunct w:val="0"/>
      <w:spacing w:before="100" w:beforeAutospacing="1" w:after="100" w:afterAutospacing="1"/>
      <w:jc w:val="center"/>
    </w:pPr>
    <w:rPr>
      <w:rFonts w:ascii="宋体" w:hAnsi="宋体" w:cs="宋体"/>
      <w:kern w:val="0"/>
      <w:sz w:val="20"/>
    </w:rPr>
  </w:style>
  <w:style w:type="paragraph" w:customStyle="1" w:styleId="86">
    <w:name w:val="xl122"/>
    <w:basedOn w:val="1"/>
    <w:qFormat/>
    <w:uiPriority w:val="0"/>
    <w:pPr>
      <w:widowControl/>
      <w:pBdr>
        <w:top w:val="single" w:color="auto" w:sz="4" w:space="0"/>
        <w:left w:val="single" w:color="auto" w:sz="4" w:space="0"/>
        <w:bottom w:val="single" w:color="auto" w:sz="4" w:space="0"/>
        <w:right w:val="single" w:color="auto" w:sz="4" w:space="0"/>
      </w:pBdr>
      <w:topLinePunct w:val="0"/>
      <w:spacing w:before="100" w:beforeAutospacing="1" w:after="100" w:afterAutospacing="1"/>
      <w:jc w:val="center"/>
    </w:pPr>
    <w:rPr>
      <w:rFonts w:ascii="宋体" w:hAnsi="宋体" w:cs="宋体"/>
      <w:kern w:val="0"/>
      <w:sz w:val="20"/>
    </w:rPr>
  </w:style>
  <w:style w:type="paragraph" w:customStyle="1" w:styleId="87">
    <w:name w:val="xl123"/>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topLinePunct w:val="0"/>
      <w:spacing w:before="100" w:beforeAutospacing="1" w:after="100" w:afterAutospacing="1"/>
      <w:jc w:val="center"/>
    </w:pPr>
    <w:rPr>
      <w:rFonts w:ascii="宋体" w:hAnsi="宋体" w:cs="宋体"/>
      <w:kern w:val="0"/>
      <w:sz w:val="20"/>
    </w:rPr>
  </w:style>
  <w:style w:type="paragraph" w:customStyle="1" w:styleId="88">
    <w:name w:val="xl124"/>
    <w:basedOn w:val="1"/>
    <w:qFormat/>
    <w:uiPriority w:val="0"/>
    <w:pPr>
      <w:widowControl/>
      <w:topLinePunct w:val="0"/>
      <w:spacing w:before="100" w:beforeAutospacing="1" w:after="100" w:afterAutospacing="1"/>
      <w:jc w:val="center"/>
    </w:pPr>
    <w:rPr>
      <w:rFonts w:ascii="宋体" w:hAnsi="宋体" w:cs="宋体"/>
      <w:kern w:val="0"/>
      <w:sz w:val="24"/>
      <w:szCs w:val="24"/>
    </w:rPr>
  </w:style>
  <w:style w:type="paragraph" w:customStyle="1" w:styleId="89">
    <w:name w:val="xl125"/>
    <w:basedOn w:val="1"/>
    <w:qFormat/>
    <w:uiPriority w:val="0"/>
    <w:pPr>
      <w:widowControl/>
      <w:pBdr>
        <w:top w:val="single" w:color="auto" w:sz="4" w:space="0"/>
        <w:left w:val="single" w:color="auto" w:sz="4" w:space="0"/>
        <w:right w:val="single" w:color="auto" w:sz="4" w:space="0"/>
      </w:pBdr>
      <w:topLinePunct w:val="0"/>
      <w:spacing w:before="100" w:beforeAutospacing="1" w:after="100" w:afterAutospacing="1"/>
      <w:jc w:val="center"/>
    </w:pPr>
    <w:rPr>
      <w:rFonts w:ascii="宋体" w:hAnsi="宋体" w:cs="宋体"/>
      <w:kern w:val="0"/>
      <w:sz w:val="20"/>
    </w:rPr>
  </w:style>
  <w:style w:type="paragraph" w:customStyle="1" w:styleId="90">
    <w:name w:val="xl126"/>
    <w:basedOn w:val="1"/>
    <w:qFormat/>
    <w:uiPriority w:val="0"/>
    <w:pPr>
      <w:widowControl/>
      <w:pBdr>
        <w:left w:val="single" w:color="auto" w:sz="4" w:space="0"/>
        <w:right w:val="single" w:color="auto" w:sz="4" w:space="0"/>
      </w:pBdr>
      <w:topLinePunct w:val="0"/>
      <w:spacing w:before="100" w:beforeAutospacing="1" w:after="100" w:afterAutospacing="1"/>
      <w:jc w:val="center"/>
    </w:pPr>
    <w:rPr>
      <w:rFonts w:ascii="宋体" w:hAnsi="宋体" w:cs="宋体"/>
      <w:kern w:val="0"/>
      <w:sz w:val="20"/>
    </w:rPr>
  </w:style>
  <w:style w:type="paragraph" w:customStyle="1" w:styleId="91">
    <w:name w:val="xl127"/>
    <w:basedOn w:val="1"/>
    <w:qFormat/>
    <w:uiPriority w:val="0"/>
    <w:pPr>
      <w:widowControl/>
      <w:pBdr>
        <w:left w:val="single" w:color="auto" w:sz="4" w:space="0"/>
        <w:bottom w:val="single" w:color="auto" w:sz="4" w:space="0"/>
        <w:right w:val="single" w:color="auto" w:sz="4" w:space="0"/>
      </w:pBdr>
      <w:topLinePunct w:val="0"/>
      <w:spacing w:before="100" w:beforeAutospacing="1" w:after="100" w:afterAutospacing="1"/>
      <w:jc w:val="center"/>
    </w:pPr>
    <w:rPr>
      <w:rFonts w:ascii="宋体" w:hAnsi="宋体" w:cs="宋体"/>
      <w:kern w:val="0"/>
      <w:sz w:val="20"/>
    </w:rPr>
  </w:style>
  <w:style w:type="paragraph" w:customStyle="1" w:styleId="92">
    <w:name w:val="xl128"/>
    <w:basedOn w:val="1"/>
    <w:qFormat/>
    <w:uiPriority w:val="0"/>
    <w:pPr>
      <w:widowControl/>
      <w:pBdr>
        <w:top w:val="single" w:color="auto" w:sz="4" w:space="0"/>
        <w:left w:val="single" w:color="auto" w:sz="4" w:space="0"/>
        <w:right w:val="single" w:color="auto" w:sz="4" w:space="0"/>
      </w:pBdr>
      <w:shd w:val="clear" w:color="000000" w:fill="FFFF00"/>
      <w:topLinePunct w:val="0"/>
      <w:spacing w:before="100" w:beforeAutospacing="1" w:after="100" w:afterAutospacing="1"/>
      <w:jc w:val="center"/>
    </w:pPr>
    <w:rPr>
      <w:rFonts w:ascii="宋体" w:hAnsi="宋体" w:cs="宋体"/>
      <w:kern w:val="0"/>
      <w:sz w:val="20"/>
    </w:rPr>
  </w:style>
  <w:style w:type="paragraph" w:customStyle="1" w:styleId="93">
    <w:name w:val="xl129"/>
    <w:basedOn w:val="1"/>
    <w:qFormat/>
    <w:uiPriority w:val="0"/>
    <w:pPr>
      <w:widowControl/>
      <w:pBdr>
        <w:left w:val="single" w:color="auto" w:sz="4" w:space="0"/>
        <w:right w:val="single" w:color="auto" w:sz="4" w:space="0"/>
      </w:pBdr>
      <w:shd w:val="clear" w:color="000000" w:fill="FFFF00"/>
      <w:topLinePunct w:val="0"/>
      <w:spacing w:before="100" w:beforeAutospacing="1" w:after="100" w:afterAutospacing="1"/>
      <w:jc w:val="center"/>
    </w:pPr>
    <w:rPr>
      <w:rFonts w:ascii="宋体" w:hAnsi="宋体" w:cs="宋体"/>
      <w:kern w:val="0"/>
      <w:sz w:val="20"/>
    </w:rPr>
  </w:style>
  <w:style w:type="paragraph" w:customStyle="1" w:styleId="94">
    <w:name w:val="xl130"/>
    <w:basedOn w:val="1"/>
    <w:qFormat/>
    <w:uiPriority w:val="0"/>
    <w:pPr>
      <w:widowControl/>
      <w:pBdr>
        <w:left w:val="single" w:color="auto" w:sz="4" w:space="0"/>
        <w:bottom w:val="single" w:color="auto" w:sz="4" w:space="0"/>
        <w:right w:val="single" w:color="auto" w:sz="4" w:space="0"/>
      </w:pBdr>
      <w:shd w:val="clear" w:color="000000" w:fill="FFFF00"/>
      <w:topLinePunct w:val="0"/>
      <w:spacing w:before="100" w:beforeAutospacing="1" w:after="100" w:afterAutospacing="1"/>
      <w:jc w:val="center"/>
    </w:pPr>
    <w:rPr>
      <w:rFonts w:ascii="宋体" w:hAnsi="宋体" w:cs="宋体"/>
      <w:kern w:val="0"/>
      <w:sz w:val="20"/>
    </w:rPr>
  </w:style>
  <w:style w:type="paragraph" w:customStyle="1" w:styleId="95">
    <w:name w:val="xl131"/>
    <w:basedOn w:val="1"/>
    <w:qFormat/>
    <w:uiPriority w:val="0"/>
    <w:pPr>
      <w:widowControl/>
      <w:pBdr>
        <w:top w:val="single" w:color="auto" w:sz="4" w:space="0"/>
        <w:left w:val="single" w:color="auto" w:sz="4" w:space="0"/>
        <w:right w:val="single" w:color="auto" w:sz="4" w:space="0"/>
      </w:pBdr>
      <w:topLinePunct w:val="0"/>
      <w:spacing w:before="100" w:beforeAutospacing="1" w:after="100" w:afterAutospacing="1"/>
      <w:jc w:val="center"/>
    </w:pPr>
    <w:rPr>
      <w:rFonts w:ascii="宋体" w:hAnsi="宋体" w:cs="宋体"/>
      <w:kern w:val="0"/>
      <w:sz w:val="20"/>
    </w:rPr>
  </w:style>
  <w:style w:type="paragraph" w:customStyle="1" w:styleId="96">
    <w:name w:val="xl132"/>
    <w:basedOn w:val="1"/>
    <w:qFormat/>
    <w:uiPriority w:val="0"/>
    <w:pPr>
      <w:widowControl/>
      <w:pBdr>
        <w:left w:val="single" w:color="auto" w:sz="4" w:space="0"/>
        <w:right w:val="single" w:color="auto" w:sz="4" w:space="0"/>
      </w:pBdr>
      <w:topLinePunct w:val="0"/>
      <w:spacing w:before="100" w:beforeAutospacing="1" w:after="100" w:afterAutospacing="1"/>
      <w:jc w:val="center"/>
    </w:pPr>
    <w:rPr>
      <w:rFonts w:ascii="宋体" w:hAnsi="宋体" w:cs="宋体"/>
      <w:kern w:val="0"/>
      <w:sz w:val="20"/>
    </w:rPr>
  </w:style>
  <w:style w:type="paragraph" w:customStyle="1" w:styleId="97">
    <w:name w:val="xl133"/>
    <w:basedOn w:val="1"/>
    <w:qFormat/>
    <w:uiPriority w:val="0"/>
    <w:pPr>
      <w:widowControl/>
      <w:pBdr>
        <w:left w:val="single" w:color="auto" w:sz="4" w:space="0"/>
        <w:bottom w:val="single" w:color="auto" w:sz="4" w:space="0"/>
        <w:right w:val="single" w:color="auto" w:sz="4" w:space="0"/>
      </w:pBdr>
      <w:topLinePunct w:val="0"/>
      <w:spacing w:before="100" w:beforeAutospacing="1" w:after="100" w:afterAutospacing="1"/>
      <w:jc w:val="center"/>
    </w:pPr>
    <w:rPr>
      <w:rFonts w:ascii="宋体" w:hAnsi="宋体" w:cs="宋体"/>
      <w:kern w:val="0"/>
      <w:sz w:val="20"/>
    </w:rPr>
  </w:style>
  <w:style w:type="paragraph" w:customStyle="1" w:styleId="98">
    <w:name w:val="xl134"/>
    <w:basedOn w:val="1"/>
    <w:qFormat/>
    <w:uiPriority w:val="0"/>
    <w:pPr>
      <w:widowControl/>
      <w:pBdr>
        <w:top w:val="single" w:color="auto" w:sz="4" w:space="0"/>
        <w:left w:val="single" w:color="auto" w:sz="4" w:space="0"/>
        <w:bottom w:val="single" w:color="auto" w:sz="4" w:space="0"/>
        <w:right w:val="single" w:color="auto" w:sz="4" w:space="0"/>
      </w:pBdr>
      <w:topLinePunct w:val="0"/>
      <w:spacing w:before="100" w:beforeAutospacing="1" w:after="100" w:afterAutospacing="1"/>
      <w:jc w:val="center"/>
    </w:pPr>
    <w:rPr>
      <w:rFonts w:ascii="宋体" w:hAnsi="宋体" w:cs="宋体"/>
      <w:kern w:val="0"/>
      <w:sz w:val="20"/>
    </w:rPr>
  </w:style>
  <w:style w:type="paragraph" w:customStyle="1" w:styleId="99">
    <w:name w:val="xl135"/>
    <w:basedOn w:val="1"/>
    <w:qFormat/>
    <w:uiPriority w:val="0"/>
    <w:pPr>
      <w:widowControl/>
      <w:pBdr>
        <w:left w:val="single" w:color="auto" w:sz="4" w:space="0"/>
        <w:bottom w:val="single" w:color="auto" w:sz="4" w:space="0"/>
        <w:right w:val="single" w:color="auto" w:sz="4" w:space="0"/>
      </w:pBdr>
      <w:topLinePunct w:val="0"/>
      <w:spacing w:before="100" w:beforeAutospacing="1" w:after="100" w:afterAutospacing="1"/>
      <w:jc w:val="center"/>
    </w:pPr>
    <w:rPr>
      <w:rFonts w:ascii="宋体" w:hAnsi="宋体" w:cs="宋体"/>
      <w:kern w:val="0"/>
      <w:sz w:val="20"/>
    </w:rPr>
  </w:style>
  <w:style w:type="paragraph" w:customStyle="1" w:styleId="100">
    <w:name w:val="xl136"/>
    <w:basedOn w:val="1"/>
    <w:qFormat/>
    <w:uiPriority w:val="0"/>
    <w:pPr>
      <w:widowControl/>
      <w:pBdr>
        <w:top w:val="single" w:color="auto" w:sz="4" w:space="0"/>
        <w:left w:val="single" w:color="auto" w:sz="4" w:space="0"/>
        <w:bottom w:val="single" w:color="auto" w:sz="4" w:space="0"/>
        <w:right w:val="single" w:color="auto" w:sz="4" w:space="0"/>
      </w:pBdr>
      <w:topLinePunct w:val="0"/>
      <w:spacing w:before="100" w:beforeAutospacing="1" w:after="100" w:afterAutospacing="1"/>
      <w:jc w:val="center"/>
    </w:pPr>
    <w:rPr>
      <w:rFonts w:ascii="宋体" w:hAnsi="宋体" w:cs="宋体"/>
      <w:kern w:val="0"/>
      <w:sz w:val="20"/>
    </w:rPr>
  </w:style>
  <w:style w:type="paragraph" w:customStyle="1" w:styleId="101">
    <w:name w:val="xl65"/>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topLinePunct w:val="0"/>
      <w:spacing w:before="100" w:beforeAutospacing="1" w:after="100" w:afterAutospacing="1"/>
      <w:jc w:val="center"/>
    </w:pPr>
    <w:rPr>
      <w:rFonts w:ascii="宋体" w:hAnsi="宋体" w:cs="宋体"/>
      <w:b/>
      <w:bCs/>
      <w:kern w:val="0"/>
      <w:sz w:val="20"/>
    </w:rPr>
  </w:style>
  <w:style w:type="paragraph" w:customStyle="1" w:styleId="102">
    <w:name w:val="xl66"/>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topLinePunct w:val="0"/>
      <w:spacing w:before="100" w:beforeAutospacing="1" w:after="100" w:afterAutospacing="1"/>
      <w:jc w:val="left"/>
    </w:pPr>
    <w:rPr>
      <w:rFonts w:ascii="宋体" w:hAnsi="宋体" w:cs="宋体"/>
      <w:b/>
      <w:bCs/>
      <w:kern w:val="0"/>
      <w:sz w:val="24"/>
      <w:szCs w:val="24"/>
    </w:rPr>
  </w:style>
  <w:style w:type="paragraph" w:customStyle="1" w:styleId="103">
    <w:name w:val="xl67"/>
    <w:basedOn w:val="1"/>
    <w:qFormat/>
    <w:uiPriority w:val="0"/>
    <w:pPr>
      <w:widowControl/>
      <w:pBdr>
        <w:top w:val="single" w:color="auto" w:sz="4" w:space="0"/>
        <w:left w:val="single" w:color="auto" w:sz="4" w:space="0"/>
        <w:bottom w:val="single" w:color="auto" w:sz="4" w:space="0"/>
        <w:right w:val="single" w:color="auto" w:sz="4" w:space="0"/>
      </w:pBdr>
      <w:topLinePunct w:val="0"/>
      <w:spacing w:before="100" w:beforeAutospacing="1" w:after="100" w:afterAutospacing="1"/>
      <w:jc w:val="center"/>
    </w:pPr>
    <w:rPr>
      <w:rFonts w:ascii="宋体" w:hAnsi="宋体" w:cs="宋体"/>
      <w:kern w:val="0"/>
      <w:sz w:val="20"/>
    </w:rPr>
  </w:style>
  <w:style w:type="paragraph" w:customStyle="1" w:styleId="104">
    <w:name w:val="xl68"/>
    <w:basedOn w:val="1"/>
    <w:qFormat/>
    <w:uiPriority w:val="0"/>
    <w:pPr>
      <w:widowControl/>
      <w:pBdr>
        <w:top w:val="single" w:color="auto" w:sz="4" w:space="0"/>
        <w:left w:val="single" w:color="auto" w:sz="4" w:space="0"/>
        <w:bottom w:val="single" w:color="auto" w:sz="4" w:space="0"/>
        <w:right w:val="single" w:color="auto" w:sz="4" w:space="0"/>
      </w:pBdr>
      <w:topLinePunct w:val="0"/>
      <w:spacing w:before="100" w:beforeAutospacing="1" w:after="100" w:afterAutospacing="1"/>
      <w:jc w:val="left"/>
    </w:pPr>
    <w:rPr>
      <w:rFonts w:ascii="宋体" w:hAnsi="宋体" w:cs="宋体"/>
      <w:kern w:val="0"/>
      <w:sz w:val="16"/>
      <w:szCs w:val="16"/>
    </w:rPr>
  </w:style>
  <w:style w:type="paragraph" w:customStyle="1" w:styleId="105">
    <w:name w:val="xl69"/>
    <w:basedOn w:val="1"/>
    <w:qFormat/>
    <w:uiPriority w:val="0"/>
    <w:pPr>
      <w:widowControl/>
      <w:pBdr>
        <w:top w:val="single" w:color="auto" w:sz="4" w:space="0"/>
        <w:left w:val="single" w:color="auto" w:sz="4" w:space="0"/>
        <w:bottom w:val="single" w:color="auto" w:sz="4" w:space="0"/>
        <w:right w:val="single" w:color="auto" w:sz="4" w:space="0"/>
      </w:pBdr>
      <w:topLinePunct w:val="0"/>
      <w:spacing w:before="100" w:beforeAutospacing="1" w:after="100" w:afterAutospacing="1"/>
      <w:jc w:val="left"/>
    </w:pPr>
    <w:rPr>
      <w:rFonts w:ascii="宋体" w:hAnsi="宋体" w:cs="宋体"/>
      <w:kern w:val="0"/>
      <w:sz w:val="24"/>
      <w:szCs w:val="24"/>
    </w:rPr>
  </w:style>
  <w:style w:type="paragraph" w:customStyle="1" w:styleId="106">
    <w:name w:val="xl70"/>
    <w:basedOn w:val="1"/>
    <w:qFormat/>
    <w:uiPriority w:val="0"/>
    <w:pPr>
      <w:widowControl/>
      <w:pBdr>
        <w:top w:val="single" w:color="auto" w:sz="4" w:space="0"/>
        <w:left w:val="single" w:color="auto" w:sz="4" w:space="0"/>
        <w:bottom w:val="single" w:color="auto" w:sz="4" w:space="0"/>
        <w:right w:val="single" w:color="auto" w:sz="4" w:space="0"/>
      </w:pBdr>
      <w:topLinePunct w:val="0"/>
      <w:spacing w:before="100" w:beforeAutospacing="1" w:after="100" w:afterAutospacing="1"/>
      <w:jc w:val="left"/>
      <w:textAlignment w:val="bottom"/>
    </w:pPr>
    <w:rPr>
      <w:rFonts w:ascii="宋体" w:hAnsi="宋体" w:cs="宋体"/>
      <w:kern w:val="0"/>
      <w:sz w:val="20"/>
    </w:rPr>
  </w:style>
  <w:style w:type="paragraph" w:customStyle="1" w:styleId="107">
    <w:name w:val="xl71"/>
    <w:basedOn w:val="1"/>
    <w:qFormat/>
    <w:uiPriority w:val="0"/>
    <w:pPr>
      <w:widowControl/>
      <w:pBdr>
        <w:top w:val="single" w:color="auto" w:sz="4" w:space="0"/>
        <w:left w:val="single" w:color="auto" w:sz="4" w:space="0"/>
        <w:bottom w:val="single" w:color="auto" w:sz="4" w:space="0"/>
        <w:right w:val="single" w:color="auto" w:sz="4" w:space="0"/>
      </w:pBdr>
      <w:topLinePunct w:val="0"/>
      <w:spacing w:before="100" w:beforeAutospacing="1" w:after="100" w:afterAutospacing="1"/>
      <w:jc w:val="left"/>
    </w:pPr>
    <w:rPr>
      <w:rFonts w:ascii="宋体" w:hAnsi="宋体" w:cs="宋体"/>
      <w:kern w:val="0"/>
      <w:sz w:val="20"/>
    </w:rPr>
  </w:style>
  <w:style w:type="paragraph" w:customStyle="1" w:styleId="108">
    <w:name w:val="xl72"/>
    <w:basedOn w:val="1"/>
    <w:qFormat/>
    <w:uiPriority w:val="0"/>
    <w:pPr>
      <w:widowControl/>
      <w:pBdr>
        <w:top w:val="single" w:color="auto" w:sz="4" w:space="0"/>
        <w:left w:val="single" w:color="auto" w:sz="4" w:space="0"/>
        <w:bottom w:val="single" w:color="auto" w:sz="4" w:space="0"/>
        <w:right w:val="single" w:color="auto" w:sz="4" w:space="0"/>
      </w:pBdr>
      <w:topLinePunct w:val="0"/>
      <w:spacing w:before="100" w:beforeAutospacing="1" w:after="100" w:afterAutospacing="1"/>
      <w:jc w:val="left"/>
    </w:pPr>
    <w:rPr>
      <w:rFonts w:ascii="宋体" w:hAnsi="宋体" w:cs="宋体"/>
      <w:kern w:val="0"/>
      <w:sz w:val="20"/>
    </w:rPr>
  </w:style>
  <w:style w:type="paragraph" w:customStyle="1" w:styleId="109">
    <w:name w:val="xl73"/>
    <w:basedOn w:val="1"/>
    <w:qFormat/>
    <w:uiPriority w:val="0"/>
    <w:pPr>
      <w:widowControl/>
      <w:pBdr>
        <w:top w:val="single" w:color="auto" w:sz="4" w:space="0"/>
        <w:left w:val="single" w:color="auto" w:sz="4" w:space="0"/>
        <w:bottom w:val="single" w:color="auto" w:sz="4" w:space="0"/>
        <w:right w:val="single" w:color="auto" w:sz="4" w:space="0"/>
      </w:pBdr>
      <w:topLinePunct w:val="0"/>
      <w:spacing w:before="100" w:beforeAutospacing="1" w:after="100" w:afterAutospacing="1"/>
      <w:jc w:val="center"/>
      <w:textAlignment w:val="bottom"/>
    </w:pPr>
    <w:rPr>
      <w:rFonts w:ascii="宋体" w:hAnsi="宋体" w:cs="宋体"/>
      <w:kern w:val="0"/>
      <w:sz w:val="20"/>
    </w:rPr>
  </w:style>
  <w:style w:type="paragraph" w:customStyle="1" w:styleId="110">
    <w:name w:val="xl74"/>
    <w:basedOn w:val="1"/>
    <w:qFormat/>
    <w:uiPriority w:val="0"/>
    <w:pPr>
      <w:widowControl/>
      <w:pBdr>
        <w:top w:val="single" w:color="auto" w:sz="4" w:space="0"/>
        <w:left w:val="single" w:color="auto" w:sz="4" w:space="0"/>
        <w:right w:val="single" w:color="auto" w:sz="4" w:space="0"/>
      </w:pBdr>
      <w:topLinePunct w:val="0"/>
      <w:spacing w:before="100" w:beforeAutospacing="1" w:after="100" w:afterAutospacing="1"/>
      <w:jc w:val="center"/>
    </w:pPr>
    <w:rPr>
      <w:rFonts w:ascii="宋体" w:hAnsi="宋体" w:cs="宋体"/>
      <w:kern w:val="0"/>
      <w:sz w:val="20"/>
    </w:rPr>
  </w:style>
  <w:style w:type="paragraph" w:customStyle="1" w:styleId="111">
    <w:name w:val="List Paragraph"/>
    <w:basedOn w:val="1"/>
    <w:qFormat/>
    <w:uiPriority w:val="0"/>
    <w:pPr>
      <w:topLinePunct w:val="0"/>
      <w:ind w:firstLine="420" w:firstLineChars="200"/>
    </w:pPr>
    <w:rPr>
      <w:rFonts w:ascii="Calibri" w:hAnsi="Calibri"/>
    </w:rPr>
  </w:style>
  <w:style w:type="paragraph" w:customStyle="1" w:styleId="112">
    <w:name w:val="正文 New New New New New New New New New"/>
    <w:qFormat/>
    <w:uiPriority w:val="0"/>
    <w:pPr>
      <w:widowControl w:val="0"/>
      <w:jc w:val="both"/>
    </w:pPr>
    <w:rPr>
      <w:rFonts w:hint="eastAsia" w:ascii="Times New Roman" w:hAnsi="Times New Roman" w:eastAsia="宋体" w:cs="Times New Roman"/>
      <w:kern w:val="2"/>
      <w:sz w:val="21"/>
      <w:szCs w:val="20"/>
      <w:lang w:val="en-US" w:eastAsia="zh-CN" w:bidi="ar-SA"/>
    </w:rPr>
  </w:style>
  <w:style w:type="paragraph" w:customStyle="1" w:styleId="113">
    <w:name w:val="xl63"/>
    <w:basedOn w:val="1"/>
    <w:qFormat/>
    <w:uiPriority w:val="0"/>
    <w:pPr>
      <w:widowControl/>
      <w:pBdr>
        <w:top w:val="single" w:color="auto" w:sz="4" w:space="0"/>
        <w:left w:val="single" w:color="auto" w:sz="4" w:space="0"/>
        <w:bottom w:val="single" w:color="auto" w:sz="4" w:space="0"/>
        <w:right w:val="single" w:color="auto" w:sz="4" w:space="0"/>
      </w:pBdr>
      <w:topLinePunct w:val="0"/>
      <w:spacing w:before="100" w:beforeAutospacing="1" w:after="100" w:afterAutospacing="1"/>
      <w:jc w:val="left"/>
      <w:textAlignment w:val="center"/>
    </w:pPr>
    <w:rPr>
      <w:rFonts w:ascii="宋体" w:hAnsi="宋体" w:cs="宋体"/>
      <w:kern w:val="0"/>
      <w:sz w:val="24"/>
      <w:szCs w:val="24"/>
    </w:rPr>
  </w:style>
  <w:style w:type="paragraph" w:customStyle="1" w:styleId="114">
    <w:name w:val="xl64"/>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topLinePunct w:val="0"/>
      <w:spacing w:before="100" w:beforeAutospacing="1" w:after="100" w:afterAutospacing="1"/>
      <w:jc w:val="left"/>
      <w:textAlignment w:val="center"/>
    </w:pPr>
    <w:rPr>
      <w:rFonts w:ascii="宋体" w:hAnsi="宋体" w:cs="宋体"/>
      <w:kern w:val="0"/>
      <w:sz w:val="24"/>
      <w:szCs w:val="24"/>
    </w:rPr>
  </w:style>
  <w:style w:type="character" w:customStyle="1" w:styleId="115">
    <w:name w:val="页码1"/>
    <w:basedOn w:val="13"/>
    <w:qFormat/>
    <w:uiPriority w:val="0"/>
  </w:style>
  <w:style w:type="character" w:customStyle="1" w:styleId="116">
    <w:name w:val="页脚 Char1"/>
    <w:basedOn w:val="13"/>
    <w:link w:val="117"/>
    <w:qFormat/>
    <w:uiPriority w:val="0"/>
    <w:rPr>
      <w:rFonts w:ascii="Times New Roman" w:hAnsi="Times New Roman" w:eastAsia="宋体"/>
      <w:sz w:val="18"/>
    </w:rPr>
  </w:style>
  <w:style w:type="paragraph" w:customStyle="1" w:styleId="117">
    <w:name w:val="页脚1"/>
    <w:basedOn w:val="1"/>
    <w:link w:val="116"/>
    <w:qFormat/>
    <w:uiPriority w:val="0"/>
    <w:pPr>
      <w:tabs>
        <w:tab w:val="center" w:pos="4153"/>
        <w:tab w:val="right" w:pos="8306"/>
      </w:tabs>
      <w:snapToGrid w:val="0"/>
      <w:jc w:val="left"/>
    </w:pPr>
    <w:rPr>
      <w:rFonts w:cstheme="minorBidi"/>
      <w:sz w:val="18"/>
      <w:szCs w:val="22"/>
    </w:rPr>
  </w:style>
  <w:style w:type="paragraph" w:customStyle="1" w:styleId="118">
    <w:name w:val="font0"/>
    <w:basedOn w:val="1"/>
    <w:qFormat/>
    <w:uiPriority w:val="0"/>
    <w:pPr>
      <w:widowControl/>
      <w:topLinePunct w:val="0"/>
      <w:spacing w:before="100" w:beforeAutospacing="1" w:after="100" w:afterAutospacing="1"/>
      <w:jc w:val="left"/>
    </w:pPr>
    <w:rPr>
      <w:rFonts w:ascii="Arial" w:hAnsi="Arial" w:cs="Arial"/>
      <w:kern w:val="0"/>
      <w:sz w:val="20"/>
    </w:rPr>
  </w:style>
  <w:style w:type="paragraph" w:customStyle="1" w:styleId="119">
    <w:name w:val="font1"/>
    <w:basedOn w:val="1"/>
    <w:qFormat/>
    <w:uiPriority w:val="0"/>
    <w:pPr>
      <w:widowControl/>
      <w:topLinePunct w:val="0"/>
      <w:spacing w:before="100" w:beforeAutospacing="1" w:after="100" w:afterAutospacing="1"/>
      <w:jc w:val="left"/>
    </w:pPr>
    <w:rPr>
      <w:rFonts w:ascii="宋体" w:hAnsi="宋体" w:cs="宋体"/>
      <w:color w:val="000000"/>
      <w:kern w:val="0"/>
      <w:sz w:val="22"/>
      <w:szCs w:val="22"/>
    </w:rPr>
  </w:style>
  <w:style w:type="paragraph" w:customStyle="1" w:styleId="120">
    <w:name w:val="xl137"/>
    <w:basedOn w:val="1"/>
    <w:qFormat/>
    <w:uiPriority w:val="0"/>
    <w:pPr>
      <w:widowControl/>
      <w:pBdr>
        <w:left w:val="single" w:color="auto" w:sz="4" w:space="0"/>
        <w:bottom w:val="single" w:color="auto" w:sz="4" w:space="0"/>
        <w:right w:val="single" w:color="auto" w:sz="4" w:space="0"/>
      </w:pBdr>
      <w:shd w:val="clear" w:color="000000" w:fill="FFFFFF"/>
      <w:topLinePunct w:val="0"/>
      <w:spacing w:before="100" w:beforeAutospacing="1" w:after="100" w:afterAutospacing="1"/>
      <w:jc w:val="center"/>
      <w:textAlignment w:val="center"/>
    </w:pPr>
    <w:rPr>
      <w:rFonts w:ascii="宋体" w:hAnsi="宋体" w:cs="宋体"/>
      <w:kern w:val="0"/>
      <w:sz w:val="24"/>
      <w:szCs w:val="24"/>
    </w:rPr>
  </w:style>
  <w:style w:type="paragraph" w:customStyle="1" w:styleId="121">
    <w:name w:val="xl138"/>
    <w:basedOn w:val="1"/>
    <w:qFormat/>
    <w:uiPriority w:val="0"/>
    <w:pPr>
      <w:widowControl/>
      <w:pBdr>
        <w:left w:val="single" w:color="auto" w:sz="4" w:space="0"/>
        <w:bottom w:val="single" w:color="auto" w:sz="4" w:space="0"/>
        <w:right w:val="single" w:color="auto" w:sz="4" w:space="0"/>
      </w:pBdr>
      <w:shd w:val="clear" w:color="000000" w:fill="FFFFFF"/>
      <w:topLinePunct w:val="0"/>
      <w:spacing w:before="100" w:beforeAutospacing="1" w:after="100" w:afterAutospacing="1"/>
      <w:jc w:val="center"/>
      <w:textAlignment w:val="center"/>
    </w:pPr>
    <w:rPr>
      <w:rFonts w:ascii="宋体" w:hAnsi="宋体" w:cs="宋体"/>
      <w:kern w:val="0"/>
      <w:sz w:val="24"/>
      <w:szCs w:val="24"/>
    </w:rPr>
  </w:style>
  <w:style w:type="paragraph" w:customStyle="1" w:styleId="122">
    <w:name w:val="xl139"/>
    <w:basedOn w:val="1"/>
    <w:qFormat/>
    <w:uiPriority w:val="0"/>
    <w:pPr>
      <w:widowControl/>
      <w:pBdr>
        <w:top w:val="single" w:color="auto" w:sz="4" w:space="0"/>
        <w:left w:val="single" w:color="auto" w:sz="4" w:space="0"/>
        <w:right w:val="single" w:color="auto" w:sz="4" w:space="0"/>
      </w:pBdr>
      <w:shd w:val="clear" w:color="000000" w:fill="FFFFFF"/>
      <w:topLinePunct w:val="0"/>
      <w:spacing w:before="100" w:beforeAutospacing="1" w:after="100" w:afterAutospacing="1"/>
      <w:jc w:val="center"/>
      <w:textAlignment w:val="center"/>
    </w:pPr>
    <w:rPr>
      <w:rFonts w:ascii="宋体" w:hAnsi="宋体" w:cs="宋体"/>
      <w:kern w:val="0"/>
      <w:sz w:val="24"/>
      <w:szCs w:val="24"/>
    </w:rPr>
  </w:style>
  <w:style w:type="paragraph" w:customStyle="1" w:styleId="123">
    <w:name w:val="xl140"/>
    <w:basedOn w:val="1"/>
    <w:qFormat/>
    <w:uiPriority w:val="0"/>
    <w:pPr>
      <w:widowControl/>
      <w:pBdr>
        <w:left w:val="single" w:color="auto" w:sz="4" w:space="0"/>
        <w:right w:val="single" w:color="auto" w:sz="4" w:space="0"/>
      </w:pBdr>
      <w:shd w:val="clear" w:color="000000" w:fill="FFFFFF"/>
      <w:topLinePunct w:val="0"/>
      <w:spacing w:before="100" w:beforeAutospacing="1" w:after="100" w:afterAutospacing="1"/>
      <w:jc w:val="center"/>
      <w:textAlignment w:val="center"/>
    </w:pPr>
    <w:rPr>
      <w:rFonts w:ascii="宋体" w:hAnsi="宋体" w:cs="宋体"/>
      <w:kern w:val="0"/>
      <w:sz w:val="24"/>
      <w:szCs w:val="24"/>
    </w:rPr>
  </w:style>
  <w:style w:type="paragraph" w:customStyle="1" w:styleId="124">
    <w:name w:val="xl141"/>
    <w:basedOn w:val="1"/>
    <w:qFormat/>
    <w:uiPriority w:val="0"/>
    <w:pPr>
      <w:widowControl/>
      <w:pBdr>
        <w:left w:val="single" w:color="auto" w:sz="4" w:space="0"/>
        <w:right w:val="single" w:color="auto" w:sz="4" w:space="0"/>
      </w:pBdr>
      <w:shd w:val="clear" w:color="000000" w:fill="FFFFFF"/>
      <w:topLinePunct w:val="0"/>
      <w:spacing w:before="100" w:beforeAutospacing="1" w:after="100" w:afterAutospacing="1"/>
      <w:jc w:val="center"/>
      <w:textAlignment w:val="center"/>
    </w:pPr>
    <w:rPr>
      <w:rFonts w:ascii="宋体" w:hAnsi="宋体" w:cs="宋体"/>
      <w:kern w:val="0"/>
      <w:sz w:val="24"/>
      <w:szCs w:val="24"/>
    </w:rPr>
  </w:style>
  <w:style w:type="paragraph" w:customStyle="1" w:styleId="125">
    <w:name w:val="xl142"/>
    <w:basedOn w:val="1"/>
    <w:qFormat/>
    <w:uiPriority w:val="0"/>
    <w:pPr>
      <w:widowControl/>
      <w:pBdr>
        <w:left w:val="single" w:color="auto" w:sz="4" w:space="0"/>
        <w:bottom w:val="single" w:color="auto" w:sz="4" w:space="0"/>
        <w:right w:val="single" w:color="auto" w:sz="4" w:space="0"/>
      </w:pBdr>
      <w:shd w:val="clear" w:color="000000" w:fill="FFFFFF"/>
      <w:topLinePunct w:val="0"/>
      <w:spacing w:before="100" w:beforeAutospacing="1" w:after="100" w:afterAutospacing="1"/>
      <w:jc w:val="center"/>
      <w:textAlignment w:val="center"/>
    </w:pPr>
    <w:rPr>
      <w:rFonts w:ascii="宋体" w:hAnsi="宋体" w:cs="宋体"/>
      <w:kern w:val="0"/>
      <w:sz w:val="24"/>
      <w:szCs w:val="24"/>
    </w:rPr>
  </w:style>
  <w:style w:type="paragraph" w:customStyle="1" w:styleId="126">
    <w:name w:val="xl143"/>
    <w:basedOn w:val="1"/>
    <w:qFormat/>
    <w:uiPriority w:val="0"/>
    <w:pPr>
      <w:widowControl/>
      <w:pBdr>
        <w:left w:val="single" w:color="auto" w:sz="4" w:space="0"/>
        <w:bottom w:val="single" w:color="auto" w:sz="4" w:space="0"/>
        <w:right w:val="single" w:color="auto" w:sz="4" w:space="0"/>
      </w:pBdr>
      <w:shd w:val="clear" w:color="000000" w:fill="FFFFFF"/>
      <w:topLinePunct w:val="0"/>
      <w:spacing w:before="100" w:beforeAutospacing="1" w:after="100" w:afterAutospacing="1"/>
      <w:jc w:val="center"/>
      <w:textAlignment w:val="center"/>
    </w:pPr>
    <w:rPr>
      <w:rFonts w:ascii="宋体" w:hAnsi="宋体" w:cs="宋体"/>
      <w:kern w:val="0"/>
      <w:sz w:val="24"/>
      <w:szCs w:val="24"/>
    </w:rPr>
  </w:style>
  <w:style w:type="paragraph" w:customStyle="1" w:styleId="127">
    <w:name w:val="列出段落1"/>
    <w:basedOn w:val="1"/>
    <w:qFormat/>
    <w:uiPriority w:val="34"/>
    <w:pPr>
      <w:topLinePunct w:val="0"/>
      <w:ind w:firstLine="420" w:firstLineChars="200"/>
    </w:pPr>
    <w:rPr>
      <w:rFonts w:asciiTheme="minorHAnsi" w:hAnsiTheme="minorHAnsi" w:eastAsiaTheme="minorEastAsia" w:cstheme="minorBidi"/>
      <w:szCs w:val="22"/>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numbering" Target="numbering.xml"/><Relationship Id="rId11" Type="http://schemas.openxmlformats.org/officeDocument/2006/relationships/image" Target="media/image4.png"/><Relationship Id="rId10" Type="http://schemas.openxmlformats.org/officeDocument/2006/relationships/image" Target="media/image3.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EE3ADE-37E0-4216-8837-8947378B89CB}">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9</Pages>
  <Words>6386</Words>
  <Characters>7036</Characters>
  <Lines>341</Lines>
  <Paragraphs>96</Paragraphs>
  <TotalTime>27</TotalTime>
  <ScaleCrop>false</ScaleCrop>
  <LinksUpToDate>false</LinksUpToDate>
  <CharactersWithSpaces>7325</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2016-02-02T08:47:00Z</dcterms:created>
  <dc:creator>Microsoft</dc:creator>
  <cp:lastModifiedBy>qzuser</cp:lastModifiedBy>
  <cp:lastPrinted>2020-06-01T08:00:00Z</cp:lastPrinted>
  <dcterms:modified xsi:type="dcterms:W3CDTF">2023-01-31T02:30:23Z</dcterms:modified>
  <cp:revision>1069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2828132C5EBB4E80AEDAF7580A39425C</vt:lpwstr>
  </property>
</Properties>
</file>